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9A2BF" w14:textId="77777777" w:rsidR="00520367" w:rsidRPr="00E814BB" w:rsidRDefault="005E51F7" w:rsidP="009737A9">
      <w:pPr>
        <w:spacing w:before="0" w:after="0" w:line="276" w:lineRule="auto"/>
        <w:ind w:firstLine="567"/>
        <w:jc w:val="both"/>
        <w:rPr>
          <w:rFonts w:ascii="Arial" w:eastAsia="Lora" w:hAnsi="Arial" w:cs="Arial"/>
          <w:b/>
          <w:bCs/>
        </w:rPr>
      </w:pPr>
      <w:r>
        <w:rPr>
          <w:rFonts w:ascii="Arial" w:eastAsia="Lora" w:hAnsi="Arial" w:cs="Arial"/>
          <w:b/>
          <w:bCs/>
        </w:rPr>
        <w:t>EXCELENTÍSSIMO SENHOR DOUTOR JUIZ DE DIREITO DA VARA ÚNICA DA COMARCA DE MIGUEL ALVES-PI</w:t>
      </w:r>
    </w:p>
    <w:p w14:paraId="297555A0" w14:textId="77777777" w:rsidR="00520367" w:rsidRPr="00E814BB" w:rsidRDefault="0052036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</w:rPr>
      </w:pPr>
    </w:p>
    <w:p w14:paraId="1562A59B" w14:textId="77777777" w:rsidR="00520367" w:rsidRPr="00E814BB" w:rsidRDefault="0052036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</w:rPr>
      </w:pPr>
    </w:p>
    <w:p w14:paraId="0477F3EB" w14:textId="77777777" w:rsidR="00520367" w:rsidRPr="00E814BB" w:rsidRDefault="0052036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</w:rPr>
      </w:pPr>
    </w:p>
    <w:p w14:paraId="18085B00" w14:textId="1B2FBAF1" w:rsid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DANIELA BRAGA PEREIRA</w:t>
      </w:r>
      <w:r>
        <w:rPr>
          <w:rFonts w:ascii="Arial" w:hAnsi="Arial" w:cs="Arial"/>
        </w:rPr>
        <w:t xml:space="preserve">, inscrita no CPF nº </w:t>
      </w:r>
      <w:r>
        <w:rPr>
          <w:rStyle w:val="Forte"/>
          <w:rFonts w:ascii="Arial" w:hAnsi="Arial" w:cs="Arial"/>
        </w:rPr>
        <w:t>077.327.393-02</w:t>
      </w:r>
      <w:r>
        <w:rPr>
          <w:rFonts w:ascii="Arial" w:hAnsi="Arial" w:cs="Arial"/>
        </w:rPr>
        <w:t xml:space="preserve">, residente e domiciliada na </w:t>
      </w:r>
      <w:r>
        <w:rPr>
          <w:rStyle w:val="Forte"/>
          <w:rFonts w:ascii="Arial" w:hAnsi="Arial" w:cs="Arial"/>
        </w:rPr>
        <w:t>Rua Estreito, nº 207, Bairro Matadouro, CEP 64130-000, Miguel Alves/PI</w:t>
      </w:r>
      <w:r>
        <w:rPr>
          <w:rFonts w:ascii="Arial" w:hAnsi="Arial" w:cs="Arial"/>
        </w:rPr>
        <w:t xml:space="preserve">, telefone </w:t>
      </w:r>
      <w:r>
        <w:rPr>
          <w:rStyle w:val="Forte"/>
          <w:rFonts w:ascii="Arial" w:hAnsi="Arial" w:cs="Arial"/>
        </w:rPr>
        <w:t>(86) 99423-0280</w:t>
      </w:r>
      <w:r>
        <w:rPr>
          <w:rFonts w:ascii="Arial" w:eastAsia="Lora Medium" w:hAnsi="Arial" w:cs="Arial"/>
        </w:rPr>
        <w:t xml:space="preserve">, por intermédio de seu advogado, constituído mediante procuração em anexo, cujo endereço físico está situado na Rua Rio Grande do Sul, nº 1641, Bairro São Miguel, Miguel Alves-PI, CEP nº: 64.130-000 e eletrônico: </w:t>
      </w:r>
      <w:r>
        <w:rPr>
          <w:rFonts w:ascii="Arial" w:eastAsia="Lora Medium" w:hAnsi="Arial" w:cs="Arial"/>
          <w:i/>
          <w:iCs/>
        </w:rPr>
        <w:t>paduanetojus@gmail.com</w:t>
      </w:r>
      <w:r>
        <w:rPr>
          <w:rFonts w:ascii="Arial" w:eastAsia="Lora Medium" w:hAnsi="Arial" w:cs="Arial"/>
        </w:rPr>
        <w:t xml:space="preserve">, </w:t>
      </w:r>
      <w:r>
        <w:rPr>
          <w:rFonts w:ascii="Arial" w:hAnsi="Arial" w:cs="Arial"/>
        </w:rPr>
        <w:t xml:space="preserve">vem, respeitosamente, à presença de Vossa Excelência, com fundamento nos arts. 5º, V e X, da Constituição Federal, arts. 186 e 927 do Código Civil, e, especialmente, nos arts. 4º, I, 6º, III, IV, VI e VIII, 7º, parágrafo único, 18 e demais dispositivos aplicáveis do Código de Defesa do Consumidor, propor a presente</w:t>
      </w:r>
    </w:p>
    <w:p w14:paraId="11236940" w14:textId="77777777" w:rsidR="009737A9" w:rsidRPr="00E814BB" w:rsidRDefault="009737A9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</w:p>
    <w:p w14:paraId="1397BDC2" w14:textId="16896A7C" w:rsidR="00E814BB" w:rsidRDefault="00E814BB" w:rsidP="00A264EA">
      <w:pPr>
        <w:pStyle w:val="Ttulo1"/>
        <w:spacing w:before="0" w:line="276" w:lineRule="auto"/>
        <w:ind w:firstLine="567"/>
        <w:jc w:val="center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>AÇÃO DE RESOLUÇÃO CONTRATUAL C/C RESTITUIÇÃO DE QUANTIA PAGA, INDENIZAÇÃO POR DANOS MATERIAIS E MORAIS</w:t>
      </w:r>
    </w:p>
    <w:p w14:paraId="30C6CD4C" w14:textId="77777777" w:rsidR="009737A9" w:rsidRPr="009737A9" w:rsidRDefault="009737A9" w:rsidP="009737A9"/>
    <w:p w14:paraId="1A42418E" w14:textId="52F9FE6C" w:rsidR="00E814BB" w:rsidRPr="009808FB" w:rsidRDefault="00E814BB" w:rsidP="009808FB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em face de BUD COMÉRCIO DE ELETRODOMÉSTICOS LTDA</w:t>
      </w:r>
      <w:r>
        <w:rPr>
          <w:rFonts w:ascii="Arial" w:hAnsi="Arial" w:cs="Arial"/>
        </w:rPr>
        <w:t xml:space="preserve">, pessoa jurídica de direito privado, inscrita no CNPJ sob nº </w:t>
      </w:r>
      <w:r>
        <w:rPr>
          <w:rStyle w:val="Forte"/>
          <w:rFonts w:ascii="Arial" w:hAnsi="Arial" w:cs="Arial"/>
        </w:rPr>
        <w:t>62.058.318/0012-33</w:t>
      </w:r>
      <w:r>
        <w:rPr>
          <w:rFonts w:ascii="Arial" w:hAnsi="Arial" w:cs="Arial"/>
        </w:rPr>
        <w:t>, com endereço na Rua Manoel Cesar de Melo, s/n, Condomínio CBI-LOG, Galpão Sul, Módulos 4, 5 e 6, Distrito Industrial, Alhandra/PB, CEP 58320-000, endereço que consta da documentação fiscal; e</w:t>
      </w:r>
    </w:p>
    <w:p w14:paraId="0A83E139" w14:textId="105FAAD3" w:rsidR="009808FB" w:rsidRPr="00E814BB" w:rsidRDefault="009808FB" w:rsidP="009808FB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WHIRLPOOL S.A., Unidade de eletrodomésticos, </w:t>
      </w:r>
      <w:r>
        <w:rPr>
          <w:rFonts w:ascii="Arial" w:hAnsi="Arial" w:cs="Arial"/>
        </w:rPr>
        <w:t xml:space="preserve">pessoa jurídica de direito privado, inscrita no CNPJ sob nº </w:t>
      </w:r>
      <w:r>
        <w:rPr>
          <w:rStyle w:val="Forte"/>
          <w:rFonts w:ascii="Arial" w:hAnsi="Arial" w:cs="Arial"/>
        </w:rPr>
        <w:t>59.105.999/0028-04</w:t>
      </w:r>
      <w:r>
        <w:rPr>
          <w:rFonts w:ascii="Arial" w:hAnsi="Arial" w:cs="Arial"/>
        </w:rPr>
        <w:t xml:space="preserve">, com endereço na Rua Olympia Semeraro, Nº 675, Jardim Santa Emília, São Paulo/SP, CEP 04183-090, fabricante dos produtos da marca </w:t>
      </w:r>
      <w:r>
        <w:rPr>
          <w:rStyle w:val="Forte"/>
          <w:rFonts w:ascii="Arial" w:hAnsi="Arial" w:cs="Arial"/>
        </w:rPr>
        <w:t>Consul</w:t>
      </w:r>
      <w:r>
        <w:rPr>
          <w:rFonts w:ascii="Arial" w:hAnsi="Arial" w:cs="Arial"/>
        </w:rPr>
        <w:t>, pelos fatos e fundamentos jurídicos a seguir expostos.</w:t>
      </w:r>
    </w:p>
    <w:p w14:paraId="5C609936" w14:textId="4C5C4304" w:rsidR="00520367" w:rsidRPr="00E814BB" w:rsidRDefault="00520367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</w:p>
    <w:tbl>
      <w:tblPr>
        <w:tblStyle w:val="a6"/>
        <w:tblW w:w="105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15"/>
      </w:tblGrid>
      <w:tr w:rsidR="00520367" w:rsidRPr="00E814BB" w14:paraId="0FDF4A90" w14:textId="77777777">
        <w:tc>
          <w:tcPr>
            <w:tcW w:w="10515" w:type="dxa"/>
            <w:tcBorders>
              <w:top w:val="single" w:sz="8" w:space="0" w:color="123BB8"/>
              <w:left w:val="single" w:sz="8" w:space="0" w:color="123BB8"/>
              <w:bottom w:val="single" w:sz="8" w:space="0" w:color="123BB8"/>
              <w:right w:val="single" w:sz="8" w:space="0" w:color="123BB8"/>
            </w:tcBorders>
            <w:shd w:val="clear" w:color="auto" w:fill="123BB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979E" w14:textId="77777777" w:rsidR="00520367" w:rsidRPr="00E814BB" w:rsidRDefault="005E51F7" w:rsidP="00316F81">
            <w:pPr>
              <w:widowControl w:val="0"/>
              <w:spacing w:before="0" w:after="0" w:line="276" w:lineRule="auto"/>
              <w:ind w:right="1323" w:firstLine="567"/>
              <w:jc w:val="both"/>
              <w:rPr>
                <w:rFonts w:ascii="Arial" w:eastAsia="Lora" w:hAnsi="Arial" w:cs="Arial"/>
                <w:b/>
                <w:bCs/>
                <w:i/>
                <w:iCs/>
                <w:color w:val="FFFFFF"/>
                <w:shd w:val="clear" w:color="auto" w:fill="123BB8"/>
              </w:rPr>
            </w:pPr>
            <w:r>
              <w:rPr>
                <w:rFonts w:ascii="Arial" w:eastAsia="Lora" w:hAnsi="Arial" w:cs="Arial"/>
                <w:b/>
                <w:bCs/>
                <w:i/>
                <w:iCs/>
                <w:color w:val="FFFFFF"/>
              </w:rPr>
              <w:t>PRELIMINARES</w:t>
            </w:r>
          </w:p>
        </w:tc>
      </w:tr>
    </w:tbl>
    <w:p w14:paraId="043C38B4" w14:textId="77777777" w:rsidR="00520367" w:rsidRPr="00E814BB" w:rsidRDefault="0052036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</w:rPr>
      </w:pPr>
    </w:p>
    <w:p w14:paraId="15580DD3" w14:textId="77777777" w:rsidR="00520367" w:rsidRPr="00E814BB" w:rsidRDefault="005E51F7" w:rsidP="004A3A2E">
      <w:pPr>
        <w:spacing w:before="0" w:after="0" w:line="276" w:lineRule="auto"/>
        <w:jc w:val="both"/>
        <w:rPr>
          <w:rFonts w:ascii="Arial" w:eastAsia="Lora" w:hAnsi="Arial" w:cs="Arial"/>
          <w:b/>
          <w:bCs/>
          <w:i/>
          <w:iCs/>
        </w:rPr>
      </w:pPr>
      <w:r>
        <w:rPr>
          <w:rFonts w:ascii="Arial" w:eastAsia="Lora" w:hAnsi="Arial" w:cs="Arial"/>
          <w:b/>
          <w:bCs/>
          <w:i/>
          <w:iCs/>
        </w:rPr>
        <w:t xml:space="preserve"> Da justiça gratuita:</w:t>
      </w:r>
    </w:p>
    <w:p w14:paraId="6E170ADD" w14:textId="77777777" w:rsidR="00520367" w:rsidRPr="00E814BB" w:rsidRDefault="0052036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  <w:i/>
          <w:iCs/>
        </w:rPr>
      </w:pPr>
    </w:p>
    <w:p w:rsidR="00520367" w:rsidRPr="00E814BB" w:rsidRDefault="005E51F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  <w:i/>
          <w:iCs/>
        </w:rPr>
      </w:pPr>
      <w:r>
        <w:rPr>
          <w:rFonts w:ascii="Arial" w:hAnsi="Arial" w:cs="Arial"/>
        </w:rPr>
        <w:t xml:space="preserve">A Autora não possui condições de arcar com as custas e despesas processuais sem prejuízo do próprio sustento e de sua família, razão pela qual requer, desde já, os benefícios da gratuidade da justiça, nos termos do art. 5º, LXXIV, da Constituição Federal e dos arts. 98 e 99 do Código de Processo Civil, </w:t>
      </w:r>
      <w:r>
        <w:rPr>
          <w:rStyle w:val="Forte"/>
          <w:rFonts w:ascii="Arial" w:hAnsi="Arial" w:cs="Arial"/>
        </w:rPr>
        <w:t xml:space="preserve">conforme declaração de hipossuficiência e comprovante de renda em anexo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shd w:val="clear" w:color="auto" w:fill="FFF200"/>
        </w:rPr>
        <w:t xml:space="preserve">[Doc. 02 – declaração de hipossuficiência e prova de renda: CadÚnico, CTPS, extrato bancário ou declaração de isenção do IR]</w:t>
      </w:r>
      <w:r>
        <w:rPr>
          <w:rFonts w:ascii="Arial" w:hAnsi="Arial" w:cs="Arial"/>
        </w:rPr>
        <w:t xml:space="preserve">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520367" w:rsidRPr="00E814BB" w:rsidRDefault="005E51F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  <w:i/>
          <w:iCs/>
        </w:rPr>
      </w:pPr>
      <w:r>
        <w:rPr>
          <w:rFonts w:ascii="Arial" w:hAnsi="Arial" w:cs="Arial"/>
        </w:rPr>
        <w:t xml:space="preserve">Embora o acesso aos Juizados Especiais independa, em primeiro grau, do pagamento de custas (art. 54 da Lei nº 9.099/1995), o pedido é formulado desde logo em razão do preparo exigido para eventual recurso, que compreende todas as despesas processuais, inclusive as dispensadas em primeiro grau (art. 54, parágrafo único, da mesma lei).</w:t>
      </w:r>
    </w:p>
    <w:p w14:paraId="39CC3448" w14:textId="77777777" w:rsidR="00520367" w:rsidRPr="00E814BB" w:rsidRDefault="00520367" w:rsidP="00316F81">
      <w:pPr>
        <w:spacing w:before="0" w:after="0" w:line="276" w:lineRule="auto"/>
        <w:ind w:left="3401" w:firstLine="567"/>
        <w:jc w:val="both"/>
        <w:rPr>
          <w:rFonts w:ascii="Arial" w:eastAsia="Lora Medium" w:hAnsi="Arial" w:cs="Arial"/>
          <w:i/>
          <w:iCs/>
        </w:rPr>
      </w:pPr>
    </w:p>
    <w:p w14:paraId="69FE7257" w14:textId="77777777" w:rsidR="00520367" w:rsidRPr="00E814BB" w:rsidRDefault="005E51F7" w:rsidP="004A3A2E">
      <w:pPr>
        <w:spacing w:before="0" w:after="0" w:line="276" w:lineRule="auto"/>
        <w:jc w:val="both"/>
        <w:rPr>
          <w:rFonts w:ascii="Arial" w:eastAsia="Lora" w:hAnsi="Arial" w:cs="Arial"/>
          <w:b/>
          <w:bCs/>
          <w:i/>
          <w:iCs/>
        </w:rPr>
      </w:pPr>
      <w:r>
        <w:rPr>
          <w:rFonts w:ascii="Arial" w:eastAsia="Lora" w:hAnsi="Arial" w:cs="Arial"/>
          <w:b/>
          <w:bCs/>
          <w:i/>
          <w:iCs/>
        </w:rPr>
        <w:t xml:space="preserve">Da audiência de conciliação:</w:t>
      </w:r>
    </w:p>
    <w:p w14:paraId="617558AF" w14:textId="77777777" w:rsidR="00520367" w:rsidRPr="00E814BB" w:rsidRDefault="00520367" w:rsidP="00316F81">
      <w:pPr>
        <w:spacing w:before="0" w:after="0" w:line="276" w:lineRule="auto"/>
        <w:ind w:left="720" w:firstLine="567"/>
        <w:jc w:val="both"/>
        <w:rPr>
          <w:rFonts w:ascii="Arial" w:eastAsia="Lora" w:hAnsi="Arial" w:cs="Arial"/>
          <w:b/>
          <w:bCs/>
          <w:i/>
          <w:iCs/>
        </w:rPr>
      </w:pPr>
    </w:p>
    <w:p w:rsidR="00520367" w:rsidRDefault="005E51F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</w:rPr>
      </w:pPr>
      <w:r>
        <w:rPr>
          <w:rFonts w:ascii="Arial" w:hAnsi="Arial" w:cs="Arial"/>
        </w:rPr>
        <w:t xml:space="preserve">A parte autora manifesta interesse na realização de audiência de conciliação, nos termos do art. 319, VII, do Código de Processo Civil e do art. 21 da Lei nº 9.099/1995.</w:t>
      </w:r>
    </w:p>
    <w:p w14:paraId="63882BCE" w14:textId="77777777" w:rsidR="004A3A2E" w:rsidRPr="00E814BB" w:rsidRDefault="004A3A2E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</w:rPr>
      </w:pPr>
    </w:p>
    <w:p w14:paraId="7DCC933D" w14:textId="56318B89" w:rsidR="00E814BB" w:rsidRPr="00E814BB" w:rsidRDefault="00E814BB" w:rsidP="004A3A2E">
      <w:pPr>
        <w:pStyle w:val="NormalWeb"/>
        <w:spacing w:before="0" w:beforeAutospacing="0" w:after="0" w:afterAutospacing="0"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>Da Competência</w:t>
      </w:r>
      <w:r>
        <w:rPr>
          <w:rFonts w:ascii="Arial" w:hAnsi="Arial" w:cs="Arial"/>
        </w:rPr>
        <w:t xml:space="preserve"> </w:t>
      </w:r>
    </w:p>
    <w:p w14:paraId="201B49BD" w14:textId="6619CC1C" w:rsidR="00E814BB" w:rsidRPr="009808FB" w:rsidRDefault="00E814BB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presente demanda decorre de relação de consumo e tem por objeto a reparação dos danos decorrentes de vício de produto adquirido pela Autora na condição de destinatária final. Nos termos do art. 101, I, do Código de Defesa do Consumidor, a ação de responsabilidade civil do fornecedor pode ser proposta no </w:t>
      </w:r>
      <w:r>
        <w:rPr>
          <w:rStyle w:val="Forte"/>
          <w:rFonts w:ascii="Arial" w:hAnsi="Arial" w:cs="Arial"/>
        </w:rPr>
        <w:t>domicílio do consumidor</w:t>
      </w:r>
      <w:r>
        <w:rPr>
          <w:rFonts w:ascii="Arial" w:hAnsi="Arial" w:cs="Arial"/>
        </w:rPr>
        <w:t xml:space="preserve">. </w:t>
      </w:r>
    </w:p>
    <w:p w14:paraId="51E888AA" w14:textId="77777777" w:rsidR="00E814BB" w:rsidRPr="009808FB" w:rsidRDefault="00E814BB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Assim, considerando que a Autora reside em </w:t>
      </w:r>
      <w:r>
        <w:rPr>
          <w:rStyle w:val="Forte"/>
          <w:rFonts w:ascii="Arial" w:hAnsi="Arial" w:cs="Arial"/>
        </w:rPr>
        <w:t>Miguel Alves/PI</w:t>
      </w:r>
      <w:r>
        <w:rPr>
          <w:rFonts w:ascii="Arial" w:hAnsi="Arial" w:cs="Arial"/>
        </w:rPr>
        <w:t>, é competente o Juízo da Comarca de Miguel Alves para processamento e julgamento da presente demanda.</w:t>
      </w:r>
    </w:p>
    <w:p w14:paraId="24D6BD76" w14:textId="4E1E62AE" w:rsidR="00E814BB" w:rsidRPr="00E814BB" w:rsidRDefault="00E814BB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âmbito do Tribunal de Justiça do Estado do Piauí, a Vara Única da Comarca de Miguel Alves acumula competência para processamento de demandas submetidas ao procedimento dos Juizados Especiais, conforme registros oficiais do próprio Tribunal. </w:t>
      </w:r>
    </w:p>
    <w:p w14:paraId="7DA5CD50" w14:textId="77777777" w:rsidR="00520367" w:rsidRPr="00E814BB" w:rsidRDefault="00520367" w:rsidP="00316F81">
      <w:pPr>
        <w:spacing w:before="0" w:after="0" w:line="276" w:lineRule="auto"/>
        <w:ind w:firstLine="567"/>
        <w:jc w:val="both"/>
        <w:rPr>
          <w:rFonts w:ascii="Arial" w:eastAsia="Lora Medium" w:hAnsi="Arial" w:cs="Arial"/>
          <w:highlight w:val="white"/>
        </w:rPr>
      </w:pPr>
    </w:p>
    <w:tbl>
      <w:tblPr>
        <w:tblStyle w:val="a6"/>
        <w:tblW w:w="105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15"/>
      </w:tblGrid>
      <w:tr w:rsidR="00520367" w:rsidRPr="00E814BB" w14:paraId="0FDF4A90" w14:textId="77777777">
        <w:tc>
          <w:tcPr>
            <w:tcW w:w="10515" w:type="dxa"/>
            <w:tcBorders>
              <w:top w:val="single" w:sz="8" w:space="0" w:color="123BB8"/>
              <w:left w:val="single" w:sz="8" w:space="0" w:color="123BB8"/>
              <w:bottom w:val="single" w:sz="8" w:space="0" w:color="123BB8"/>
              <w:right w:val="single" w:sz="8" w:space="0" w:color="123BB8"/>
            </w:tcBorders>
            <w:shd w:val="clear" w:color="auto" w:fill="123BB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2979E" w14:textId="77777777" w:rsidR="00520367" w:rsidRPr="00E814BB" w:rsidRDefault="005E51F7" w:rsidP="00316F81">
            <w:pPr>
              <w:widowControl w:val="0"/>
              <w:spacing w:before="0" w:after="0" w:line="276" w:lineRule="auto"/>
              <w:ind w:right="1323" w:firstLine="567"/>
              <w:jc w:val="both"/>
              <w:rPr>
                <w:rFonts w:ascii="Arial" w:eastAsia="Lora" w:hAnsi="Arial" w:cs="Arial"/>
                <w:b/>
                <w:bCs/>
                <w:i/>
                <w:iCs/>
                <w:color w:val="FFFFFF"/>
                <w:shd w:val="clear" w:color="auto" w:fill="123BB8"/>
              </w:rPr>
            </w:pPr>
            <w:r>
              <w:rPr>
                <w:rFonts w:ascii="Arial" w:eastAsia="Lora" w:hAnsi="Arial" w:cs="Arial"/>
                <w:b/>
                <w:bCs/>
                <w:i/>
                <w:iCs/>
                <w:color w:val="FFFFFF"/>
              </w:rPr>
              <w:t>DOS FATOS</w:t>
            </w:r>
          </w:p>
        </w:tc>
      </w:tr>
    </w:tbl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03 de junho de 2025, a Autora adquiriu, por meio do site magazineluiza.com.br (pedido nº 1441970456788957), um refrigerador doméstico 2 portas, 386 L, 220V, marca Consul, modelo CRM44AKBNA, </w:t>
      </w:r>
      <w:r>
        <w:rPr>
          <w:rStyle w:val="Forte"/>
          <w:rFonts w:ascii="Arial" w:hAnsi="Arial" w:cs="Arial"/>
        </w:rPr>
        <w:t xml:space="preserve">vendido e entregue pela loja Consul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shd w:val="clear" w:color="auto" w:fill="FFF200"/>
        </w:rPr>
        <w:t xml:space="preserve">[Doc. 03 – e-mail de confirmação do pedido]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Nota Fiscal Eletrônica nº 000.496.852 foi emitida pela 1ª Ré, BUD Comércio de Eletrodomésticos Ltda., em 06 de junho de 2025, no valor total de </w:t>
      </w:r>
      <w:r>
        <w:rPr>
          <w:rStyle w:val="Forte"/>
          <w:rFonts w:ascii="Arial" w:hAnsi="Arial" w:cs="Arial"/>
        </w:rPr>
        <w:t xml:space="preserve">R$ 3.438,90</w:t>
      </w:r>
      <w:r>
        <w:rPr>
          <w:rFonts w:ascii="Arial" w:hAnsi="Arial" w:cs="Arial"/>
        </w:rPr>
        <w:t xml:space="preserve"> (R$ 3.329,00 do produto e R$ 109,90 de frete), chave de acesso 2525 0662 0583 1800 1233 5500 1000 4968 5219 8186 8756 </w:t>
      </w:r>
      <w:r>
        <w:rPr>
          <w:rFonts w:ascii="Arial" w:hAnsi="Arial" w:cs="Arial"/>
          <w:b/>
          <w:bCs/>
          <w:shd w:val="clear" w:color="auto" w:fill="FFF200"/>
        </w:rPr>
        <w:t xml:space="preserve">[Doc. 04 – NF-e nº 000.496.852]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 pouco tempo de uso, o refrigerador </w:t>
      </w:r>
      <w:r>
        <w:rPr>
          <w:rStyle w:val="Forte"/>
          <w:rFonts w:ascii="Arial" w:hAnsi="Arial" w:cs="Arial"/>
        </w:rPr>
        <w:t xml:space="preserve">deixou de refrigerar</w:t>
      </w:r>
      <w:r>
        <w:rPr>
          <w:rFonts w:ascii="Arial" w:hAnsi="Arial" w:cs="Arial"/>
        </w:rPr>
        <w:t xml:space="preserve"> e, em 23 de outubro de 2025, foi encaminhado à assistência técnica indicada pela fabricante, a autorizada Jainara da Rocha Saraiva Ltda. A visita técnica foi realizada, mas o defeito persistiu, e o produto não foi consertado no prazo de 30 dias previsto no art. 18, §1º, do CDC.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26 de novembro de 2025, a Autora registrou reclamação no PROCON/ALEPI (atendimento nº 25.11.0023.001.00431-3) contra a autorizada, a Magazine Luiza S.A. e a Whirlpool S.A., pedindo a substituição do produto </w:t>
      </w:r>
      <w:r>
        <w:rPr>
          <w:rFonts w:ascii="Arial" w:hAnsi="Arial" w:cs="Arial"/>
          <w:b/>
          <w:bCs/>
          <w:shd w:val="clear" w:color="auto" w:fill="FFF200"/>
        </w:rPr>
        <w:t xml:space="preserve">[Doc. 05 – reclamação e notificações do PROCON]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resposta datada de 03 de dezembro de 2025, a Whirlpool S.A. </w:t>
      </w:r>
      <w:r>
        <w:rPr>
          <w:rStyle w:val="Forte"/>
          <w:rFonts w:ascii="Arial" w:hAnsi="Arial" w:cs="Arial"/>
        </w:rPr>
        <w:t xml:space="preserve">reconheceu que a visita técnica foi realizada e que o defeito persistia</w:t>
      </w:r>
      <w:r>
        <w:rPr>
          <w:rFonts w:ascii="Arial" w:hAnsi="Arial" w:cs="Arial"/>
        </w:rPr>
        <w:t xml:space="preserve">, informando que a troca estava em análise </w:t>
      </w:r>
      <w:r>
        <w:rPr>
          <w:rFonts w:ascii="Arial" w:hAnsi="Arial" w:cs="Arial"/>
          <w:b/>
          <w:bCs/>
          <w:shd w:val="clear" w:color="auto" w:fill="FFF200"/>
        </w:rPr>
        <w:t xml:space="preserve">[Doc. 06 – resposta da Whirlpool ao PROCON]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Em 11 de dezembro de 2025, a 2ª Ré realizou a troca, na modalidade “coleta simultânea”: recolheu o aparelho da Autora e entregou outra unidade do mesmo modelo. A operação está documentada na NF-e nº 000.263.479, emitida pela Whirlpool S.A. (CNPJ 59.105.999/0039-59), que registra o recolhimento do refrigerador CRM44AKBNA com o motivo expresso </w:t>
      </w:r>
      <w:r>
        <w:rPr>
          <w:rStyle w:val="Forte"/>
          <w:rFonts w:ascii="Arial" w:hAnsi="Arial" w:cs="Arial"/>
        </w:rPr>
        <w:t xml:space="preserve">“DEV-Troca em Garantia”</w:t>
      </w:r>
      <w:r>
        <w:rPr>
          <w:rFonts w:ascii="Arial" w:hAnsi="Arial" w:cs="Arial"/>
        </w:rPr>
        <w:t xml:space="preserve"> e faz referência à nota de entrega do novo produto, NF nº 005064874-1 </w:t>
      </w:r>
      <w:r>
        <w:rPr>
          <w:rFonts w:ascii="Arial" w:hAnsi="Arial" w:cs="Arial"/>
          <w:b/>
          <w:bCs/>
          <w:shd w:val="clear" w:color="auto" w:fill="FFF200"/>
        </w:rPr>
        <w:t xml:space="preserve">[Doc. 07 – NF-e nº 000.263.479 e NF nº 005064874-1 (pendente com a cliente)]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aparelho entregue nessa troca, contudo, não era novo: apresentava amassados e deformações na chapa da porta, ruptura da borda junto à dobradiça e resíduos de cola e vedante aplicados nas junções, características de equipamento recuperado, conforme as fotografias abaixo </w:t>
      </w:r>
      <w:r>
        <w:rPr>
          <w:rFonts w:ascii="Arial" w:hAnsi="Arial" w:cs="Arial"/>
          <w:b/>
          <w:bCs/>
          <w:shd w:val="clear" w:color="auto" w:fill="FFF200"/>
        </w:rPr>
        <w:t xml:space="preserve">[confirmar com a cliente que as fotos são do aparelho entregue em 11/12/2025 – Doc. 08, arquivos originais das fotografias]</w:t>
      </w:r>
      <w:r>
        <w:rPr>
          <w:rFonts w:ascii="Arial" w:hAnsi="Arial" w:cs="Arial"/>
        </w:rPr>
        <w:t xml:space="preserve">: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28"/>
        <w:gridCol w:w="4528"/>
      </w:tblGrid>
      <w:tr w:rsidR="00876140" w14:paraId="41265403" w14:textId="77777777" w:rsidTr="009808FB">
        <w:tc>
          <w:tcPr>
            <w:tcW w:w="4528" w:type="dxa"/>
          </w:tcPr>
          <w:p w14:paraId="4573010A" w14:textId="185D7753" w:rsidR="009808FB" w:rsidRDefault="009808FB" w:rsidP="009808F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lastRenderedPageBreak/>
              <w:drawing>
                <wp:inline distT="0" distB="0" distL="0" distR="0" wp14:anchorId="54B77C00" wp14:editId="66DEC668">
                  <wp:extent cx="2781300" cy="3286125"/>
                  <wp:effectExtent l="0" t="0" r="0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9193" cy="3295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8" w:type="dxa"/>
          </w:tcPr>
          <w:p w14:paraId="67FBC7A1" w14:textId="3FF50136" w:rsidR="009808FB" w:rsidRDefault="009808FB" w:rsidP="009808F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53C41B8" wp14:editId="31F43722">
                  <wp:extent cx="2724150" cy="33147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837" cy="3335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6140" w14:paraId="1CBF9E0F" w14:textId="77777777" w:rsidTr="009808FB">
        <w:tc>
          <w:tcPr>
            <w:tcW w:w="4528" w:type="dxa"/>
          </w:tcPr>
          <w:p w14:paraId="7671DFD6" w14:textId="39889F1E" w:rsidR="009808FB" w:rsidRDefault="00876140" w:rsidP="009808F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494D0A47" wp14:editId="50612C74">
                  <wp:extent cx="2838450" cy="3996055"/>
                  <wp:effectExtent l="0" t="0" r="0" b="444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460" cy="401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28" w:type="dxa"/>
          </w:tcPr>
          <w:p w14:paraId="09A51267" w14:textId="229FE85D" w:rsidR="009808FB" w:rsidRDefault="00876140" w:rsidP="009808FB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6BA1F1A1" wp14:editId="1745515C">
                  <wp:extent cx="2838450" cy="3975735"/>
                  <wp:effectExtent l="0" t="0" r="0" b="571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317" cy="398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Tais condições são incompatíveis com produto novo e com a exigência legal de substituição por outro da mesma espécie </w:t>
      </w:r>
      <w:r>
        <w:rPr>
          <w:rStyle w:val="Forte"/>
          <w:rFonts w:ascii="Arial" w:hAnsi="Arial" w:cs="Arial"/>
        </w:rPr>
        <w:t xml:space="preserve">“em perfeitas condições de uso”</w:t>
      </w:r>
      <w:r>
        <w:rPr>
          <w:rFonts w:ascii="Arial" w:hAnsi="Arial" w:cs="Arial"/>
        </w:rPr>
        <w:t xml:space="preserve"> (art. 18, §1º, I, do CDC). A reclamação prosseguiu no PROCON, que designou audiência de conciliação para 03 de março de 2026.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Na audiência, a 2ª Ré propôs, e a Autora aceitou, a troca do produto pelo modelo superior </w:t>
      </w:r>
      <w:r>
        <w:rPr>
          <w:rStyle w:val="Forte"/>
          <w:rFonts w:ascii="Arial" w:hAnsi="Arial" w:cs="Arial"/>
        </w:rPr>
        <w:t xml:space="preserve">Geladeira Frost Free 412 Litros Inox Consul, modelo CRM50MK</w:t>
      </w:r>
      <w:r>
        <w:rPr>
          <w:rFonts w:ascii="Arial" w:hAnsi="Arial" w:cs="Arial"/>
        </w:rPr>
        <w:t xml:space="preserve">, a ser entregue em até 30 dias úteis, com recolhimento do aparelho anterior </w:t>
      </w:r>
      <w:r>
        <w:rPr>
          <w:rFonts w:ascii="Arial" w:hAnsi="Arial" w:cs="Arial"/>
          <w:b/>
          <w:bCs/>
          <w:shd w:val="clear" w:color="auto" w:fill="FFF200"/>
        </w:rPr>
        <w:t xml:space="preserve">[Doc. 09 – Termo de Compromisso e Responsabilidade]</w:t>
      </w:r>
      <w:r>
        <w:rPr>
          <w:rFonts w:ascii="Arial" w:hAnsi="Arial" w:cs="Arial"/>
        </w:rPr>
        <w:t xml:space="preserve">. O termo limitou-se a essa obrigação de troca e não conferiu quitação a qualquer das partes. O acordo foi homologado pelo CEJUSC da Comarca de Teresina em 08 de março de 2026 (processo nº 0812504-87.2026.8.18.0140) </w:t>
      </w:r>
      <w:r>
        <w:rPr>
          <w:rFonts w:ascii="Arial" w:hAnsi="Arial" w:cs="Arial"/>
          <w:b/>
          <w:bCs/>
          <w:shd w:val="clear" w:color="auto" w:fill="FFF200"/>
        </w:rPr>
        <w:t xml:space="preserve">[Doc. 10 – sentença homologatória]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refrigerador CRM50MK foi entregue em </w:t>
      </w:r>
      <w:r>
        <w:rPr>
          <w:rFonts w:ascii="Arial" w:hAnsi="Arial" w:cs="Arial"/>
          <w:b/>
          <w:bCs/>
          <w:shd w:val="clear" w:color="auto" w:fill="FFF200"/>
        </w:rPr>
        <w:t xml:space="preserve">[data – Doc. 11, NF de entrega]</w:t>
      </w:r>
      <w:r>
        <w:rPr>
          <w:rFonts w:ascii="Arial" w:hAnsi="Arial" w:cs="Arial"/>
        </w:rPr>
        <w:t xml:space="preserve">. Em </w:t>
      </w:r>
      <w:r>
        <w:rPr>
          <w:rFonts w:ascii="Arial" w:hAnsi="Arial" w:cs="Arial"/>
          <w:b/>
          <w:bCs/>
          <w:shd w:val="clear" w:color="auto" w:fill="FFF200"/>
        </w:rPr>
        <w:t xml:space="preserve">[data]</w:t>
      </w:r>
      <w:r>
        <w:rPr>
          <w:rFonts w:ascii="Arial" w:hAnsi="Arial" w:cs="Arial"/>
        </w:rPr>
        <w:t xml:space="preserve">, também ele passou a apresentar defeito </w:t>
      </w:r>
      <w:r>
        <w:rPr>
          <w:rFonts w:ascii="Arial" w:hAnsi="Arial" w:cs="Arial"/>
          <w:b/>
          <w:bCs/>
          <w:shd w:val="clear" w:color="auto" w:fill="FFF200"/>
        </w:rPr>
        <w:t xml:space="preserve">[descrever o defeito]</w:t>
      </w:r>
      <w:r>
        <w:rPr>
          <w:rFonts w:ascii="Arial" w:hAnsi="Arial" w:cs="Arial"/>
        </w:rPr>
        <w:t xml:space="preserve">. A Autora acionou o atendimento oficial da Consul, que encaminhou o caso à mesma assistência técnica autorizada, Jainara da Rocha Saraiva </w:t>
      </w:r>
      <w:r>
        <w:rPr>
          <w:rFonts w:ascii="Arial" w:hAnsi="Arial" w:cs="Arial"/>
          <w:b/>
          <w:bCs/>
          <w:shd w:val="clear" w:color="auto" w:fill="FFF200"/>
        </w:rPr>
        <w:t xml:space="preserve">[Doc. 12 – conversa com o atendimento Consul]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b/>
          <w:bCs/>
          <w:shd w:val="clear" w:color="auto" w:fill="FFF200"/>
        </w:rPr>
        <w:t xml:space="preserve">[Descrever o desfecho: se a visita foi agendada ou realizada, se houve ordem de serviço e qual o resultado – confirmar com a cliente]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Atualmente, a Autora está privada de refrigerador em funcionamento e utiliza a geladeira de sua mãe para as necessidades domésticas básicas, enquanto o CRM50MK permanece sem uso em sua residência </w:t>
      </w:r>
      <w:r>
        <w:rPr>
          <w:rFonts w:ascii="Arial" w:hAnsi="Arial" w:cs="Arial"/>
          <w:b/>
          <w:bCs/>
          <w:shd w:val="clear" w:color="auto" w:fill="FFF200"/>
        </w:rPr>
        <w:t xml:space="preserve">[Doc. 13 – fotos e vídeos do defeito atual]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situação pode ser sintetizada da seguinte forma: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14:paraId="584F560D" w14:textId="662F6D8B" w:rsidR="00D93385" w:rsidRDefault="00D93385" w:rsidP="003000FE">
      <w:pPr>
        <w:pStyle w:val="NormalWeb"/>
        <w:spacing w:before="0" w:beforeAutospacing="0" w:after="0" w:afterAutospacing="0" w:line="276" w:lineRule="auto"/>
        <w:ind w:firstLine="567"/>
        <w:jc w:val="center"/>
        <w:rPr>
          <w:rStyle w:val="Forte"/>
          <w:rFonts w:ascii="Arial" w:hAnsi="Arial" w:cs="Arial"/>
          <w:sz w:val="20"/>
          <w:szCs w:val="20"/>
        </w:rPr>
      </w:pPr>
      <w:r>
        <w:rPr>
          <w:rStyle w:val="Forte"/>
          <w:rFonts w:ascii="Arial" w:hAnsi="Arial" w:cs="Arial"/>
          <w:sz w:val="20"/>
          <w:szCs w:val="20"/>
        </w:rPr>
        <w:t xml:space="preserve">COMPRA DO PRODUTO NOVO (06/06/2025)</w:t>
      </w:r>
      <w:r>
        <w:rPr>
          <w:rFonts w:ascii="Arial" w:hAnsi="Arial" w:cs="Arial"/>
          <w:sz w:val="20"/>
          <w:szCs w:val="20"/>
        </w:rPr>
        <w:br/>
        <w:t xml:space="preserve">↓</w:t>
        <w:br/>
      </w:r>
      <w:r>
        <w:rPr>
          <w:rStyle w:val="Forte"/>
          <w:rFonts w:ascii="Arial" w:hAnsi="Arial" w:cs="Arial"/>
          <w:sz w:val="20"/>
          <w:szCs w:val="20"/>
        </w:rPr>
        <w:t xml:space="preserve">DEFEITO: NÃO REFRIGERA</w:t>
      </w:r>
      <w:r>
        <w:rPr>
          <w:rFonts w:ascii="Arial" w:hAnsi="Arial" w:cs="Arial"/>
          <w:sz w:val="20"/>
          <w:szCs w:val="20"/>
        </w:rPr>
        <w:br/>
        <w:t xml:space="preserve">↓</w:t>
        <w:br/>
      </w:r>
      <w:r>
        <w:rPr>
          <w:rStyle w:val="Forte"/>
          <w:rFonts w:ascii="Arial" w:hAnsi="Arial" w:cs="Arial"/>
          <w:sz w:val="20"/>
          <w:szCs w:val="20"/>
        </w:rPr>
        <w:t xml:space="preserve">ASSISTÊNCIA TÉCNICA (23/10/2025) – DEFEITO NÃO SANADO EM 30 DIAS</w:t>
      </w:r>
      <w:r>
        <w:rPr>
          <w:rFonts w:ascii="Arial" w:hAnsi="Arial" w:cs="Arial"/>
          <w:sz w:val="20"/>
          <w:szCs w:val="20"/>
        </w:rPr>
        <w:br/>
        <w:t xml:space="preserve">↓</w:t>
        <w:br/>
      </w:r>
      <w:r>
        <w:rPr>
          <w:rStyle w:val="Forte"/>
          <w:rFonts w:ascii="Arial" w:hAnsi="Arial" w:cs="Arial"/>
          <w:sz w:val="20"/>
          <w:szCs w:val="20"/>
        </w:rPr>
        <w:t xml:space="preserve">RECLAMAÇÃO NO PROCON (26/11/2025)</w:t>
      </w:r>
      <w:r>
        <w:rPr>
          <w:rFonts w:ascii="Arial" w:hAnsi="Arial" w:cs="Arial"/>
          <w:sz w:val="20"/>
          <w:szCs w:val="20"/>
        </w:rPr>
        <w:br/>
        <w:t xml:space="preserve">↓</w:t>
        <w:br/>
      </w:r>
      <w:r>
        <w:rPr>
          <w:rStyle w:val="Forte"/>
          <w:rFonts w:ascii="Arial" w:hAnsi="Arial" w:cs="Arial"/>
          <w:sz w:val="20"/>
          <w:szCs w:val="20"/>
        </w:rPr>
        <w:t xml:space="preserve">1ª TROCA EM GARANTIA (11/12/2025) – APARELHO RECUPERADO</w:t>
      </w:r>
      <w:r>
        <w:rPr>
          <w:rFonts w:ascii="Arial" w:hAnsi="Arial" w:cs="Arial"/>
          <w:sz w:val="20"/>
          <w:szCs w:val="20"/>
        </w:rPr>
        <w:br/>
        <w:t xml:space="preserve">↓</w:t>
        <w:br/>
      </w:r>
      <w:r>
        <w:rPr>
          <w:rStyle w:val="Forte"/>
          <w:rFonts w:ascii="Arial" w:hAnsi="Arial" w:cs="Arial"/>
          <w:sz w:val="20"/>
          <w:szCs w:val="20"/>
        </w:rPr>
        <w:t xml:space="preserve">ACORDO NO PROCON – 2ª TROCA (03/03/2026), HOMOLOGADO EM 08/03/2026</w:t>
      </w:r>
      <w:r>
        <w:rPr>
          <w:rFonts w:ascii="Arial" w:hAnsi="Arial" w:cs="Arial"/>
          <w:sz w:val="20"/>
          <w:szCs w:val="20"/>
        </w:rPr>
        <w:br/>
        <w:t xml:space="preserve">↓</w:t>
        <w:br/>
      </w:r>
      <w:r>
        <w:rPr>
          <w:rStyle w:val="Forte"/>
          <w:rFonts w:ascii="Arial" w:hAnsi="Arial" w:cs="Arial"/>
          <w:sz w:val="20"/>
          <w:szCs w:val="20"/>
        </w:rPr>
        <w:t xml:space="preserve">DEFEITO NO CRM50MK – PRODUTO SEM USO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Esgotadas as tentativas de solução administrativa, inclusive perante o PROCON, não restou à consumidora alternativa senão buscar a tutela jurisdicional.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tbl>
      <w:tblPr>
        <w:tblStyle w:val="a7"/>
        <w:tblW w:w="105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15"/>
      </w:tblGrid>
      <w:tr w:rsidR="00520367" w:rsidRPr="00E814BB" w14:paraId="2B81FD8D" w14:textId="77777777">
        <w:trPr>
          <w:trHeight w:val="572"/>
        </w:trPr>
        <w:tc>
          <w:tcPr>
            <w:tcW w:w="10515" w:type="dxa"/>
            <w:tcBorders>
              <w:top w:val="single" w:sz="8" w:space="0" w:color="123BB8"/>
              <w:left w:val="single" w:sz="8" w:space="0" w:color="123BB8"/>
              <w:bottom w:val="single" w:sz="8" w:space="0" w:color="123BB8"/>
              <w:right w:val="single" w:sz="8" w:space="0" w:color="123BB8"/>
            </w:tcBorders>
            <w:shd w:val="clear" w:color="auto" w:fill="123BB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277FD" w14:textId="77777777" w:rsidR="00520367" w:rsidRPr="00E814BB" w:rsidRDefault="005E51F7" w:rsidP="00316F81">
            <w:pPr>
              <w:widowControl w:val="0"/>
              <w:spacing w:before="0" w:after="0" w:line="276" w:lineRule="auto"/>
              <w:ind w:firstLine="567"/>
              <w:jc w:val="both"/>
              <w:rPr>
                <w:rFonts w:ascii="Arial" w:eastAsia="Lora" w:hAnsi="Arial" w:cs="Arial"/>
                <w:b/>
                <w:bCs/>
                <w:i/>
                <w:iCs/>
                <w:color w:val="FFFFFF"/>
                <w:shd w:val="clear" w:color="auto" w:fill="123BB8"/>
              </w:rPr>
            </w:pPr>
            <w:r>
              <w:rPr>
                <w:rFonts w:ascii="Arial" w:eastAsia="Lora" w:hAnsi="Arial" w:cs="Arial"/>
                <w:b/>
                <w:bCs/>
                <w:i/>
                <w:iCs/>
                <w:color w:val="FFFFFF"/>
                <w:shd w:val="clear" w:color="auto" w:fill="123BB8"/>
              </w:rPr>
              <w:t>MÉRITO</w:t>
            </w:r>
          </w:p>
        </w:tc>
      </w:tr>
    </w:tbl>
    <w:p w14:paraId="34E8DF7E" w14:textId="77777777" w:rsidR="00520367" w:rsidRPr="00E814BB" w:rsidRDefault="005E51F7" w:rsidP="00316F81">
      <w:pPr>
        <w:spacing w:before="0" w:after="0" w:line="276" w:lineRule="auto"/>
        <w:ind w:firstLine="567"/>
        <w:jc w:val="both"/>
        <w:rPr>
          <w:rFonts w:ascii="Arial" w:eastAsia="Lora" w:hAnsi="Arial" w:cs="Arial"/>
          <w:b/>
          <w:bCs/>
          <w:i/>
          <w:iCs/>
        </w:rPr>
      </w:pPr>
      <w:r>
        <w:rPr>
          <w:rFonts w:ascii="Arial" w:eastAsia="Lora" w:hAnsi="Arial" w:cs="Arial"/>
          <w:b/>
          <w:bCs/>
        </w:rPr>
        <w:t xml:space="preserve"> </w:t>
      </w: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I) DA RELAÇÃO DE CONSUMO E DA RESPONSABILIDADE SOLIDÁRIA DAS RÉS</w:t>
      </w:r>
    </w:p>
    <w:p w14:paraId="7254DC66" w14:textId="77777777" w:rsidR="004A3A2E" w:rsidRPr="004A3A2E" w:rsidRDefault="004A3A2E" w:rsidP="004A3A2E"/>
    <w:p w14:paraId="4BA1B228" w14:textId="3753EA4F"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relação jurídica estabelecida entre as partes é inequivocamente de consumo. A Autora adquiriu, como destinatária final, um refrigerador doméstico, enquanto as Rés integram a cadeia de fornecimento do produto, sendo a primeira responsável pela comercialização e a segunda fabricante do eletrodoméstico da marca Consul.</w:t>
      </w:r>
    </w:p>
    <w:p w14:paraId="153C7F9A" w14:textId="2950AD12"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art. 18 do Código de Defesa do Consumidor estabelece expressamente a </w:t>
      </w:r>
      <w:r>
        <w:rPr>
          <w:rStyle w:val="Forte"/>
          <w:rFonts w:ascii="Arial" w:hAnsi="Arial" w:cs="Arial"/>
        </w:rPr>
        <w:t>responsabilidade solidária dos fornecedores</w:t>
      </w:r>
      <w:r>
        <w:rPr>
          <w:rFonts w:ascii="Arial" w:hAnsi="Arial" w:cs="Arial"/>
        </w:rPr>
        <w:t xml:space="preserve"> pelos vícios de qualidade que tornem o produto impróprio ou inadequado ao consumo ou diminuam seu valor. </w:t>
      </w:r>
    </w:p>
    <w:p w14:paraId="4CF7ECF8" w14:textId="77777777"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>A solidariedade decorre da própria estrutura da relação de consumo, não sendo admissível que comerciante e fabricante transfiram entre si a responsabilidade pela solução de um vício apresentado pelo produto colocado no mercado.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caso concreto, a responsabilidade da fabricante é ainda mais evidente: a venda foi realizada pela loja Consul, e a própria Whirlpool S.A. conduziu a troca em garantia (NF-e nº 000.263.479) e firmou o acordo perante o PROCON.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Também não socorre a comerciante eventual invocação do art. 13 do CDC, que disciplina a responsabilidade pelo fato do produto (acidente de consumo), e não o vício do produto, regido pelo art. 18. Nesse sentido, o Tribunal de Justiça do Piauí: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“Nos termos do art. 18 do Código de Defesa do Consumidor,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fabricante e comerciante respondem solidariamente pelos vícios do produto colocado no mercado, sendo facultado ao consumidor demandar qualquer integrante da cadeia de fornecimento</w:t>
      </w:r>
      <w:r>
        <w:rPr>
          <w:rFonts w:ascii="Arial" w:hAnsi="Arial" w:cs="Arial"/>
          <w:i/>
          <w:iCs/>
          <w:sz w:val="20"/>
          <w:szCs w:val="20"/>
        </w:rPr>
        <w:t xml:space="preserve">.” (TJPI – APELAÇÃO CÍVEL 0818494-30.2024.8.18.0140 – Relator: Des. OLÍMPIO JOSÉ PASSOS GALVÃO – 4ª Câmara Especializada Cível – Data de publicação 19/07/2026 – tese de julgamento)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“É solidária a responsabilidade civil dos comerciantes e dos fabricantes por vícios dos produtos. [...]” (TJPI – RECURSO INOMINADO CÍVEL 0801197-20.2021.8.18.0009 – Relator: REGINALDO PEREIRA LIMA DE ALENCAR – 3ª Turma Recursal – Data de publicação 17/05/2024)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mesmo sentido é a pacífica jurisprudência do Superior Tribunal de Justiça: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“8. Consoante a pacífica jurisprudência deste Tribunal,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há responsabilidade solidária de todos os integrantes da cadeia de fornecimento por vício no produto adquirido pelo consumidor, aí incluindo-se o fornecedor direto</w:t>
      </w:r>
      <w:r>
        <w:rPr>
          <w:rFonts w:ascii="Arial" w:hAnsi="Arial" w:cs="Arial"/>
          <w:i/>
          <w:iCs/>
          <w:sz w:val="20"/>
          <w:szCs w:val="20"/>
        </w:rPr>
        <w:t xml:space="preserve"> (in casu, a concessionária)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e o fornecedor indireto</w:t>
      </w:r>
      <w:r>
        <w:rPr>
          <w:rFonts w:ascii="Arial" w:hAnsi="Arial" w:cs="Arial"/>
          <w:i/>
          <w:iCs/>
          <w:sz w:val="20"/>
          <w:szCs w:val="20"/>
        </w:rPr>
        <w:t xml:space="preserve"> (a fabricante do veículo). Precedentes.” (STJ – REsp 1.684.132/CE – Rel. Ministra NANCY ANDRIGHI – Terceira Turma – julgado em 02/10/2018 – DJe 04/10/2018)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II) DO ACORDO HOMOLOGADO E DO VÍCIO SUPERVENIENTE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acordo firmado no PROCON em 03 de março de 2026 e homologado em 08 de março de 2026 (processo nº 0812504-87.2026.8.18.0140) não impede a presente demanda. Seu objeto restringiu-se à troca do produto pelo modelo CRM50MK, sem renúncia de direitos e sem quitação geral quanto aos fatos anteriores.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transação interpreta-se restritivamente (art. 843 do Código Civil), e a coisa julgada decorrente da homologação alcança apenas a questão efetivamente resolvida, ou seja, a obrigação de troca (art. 503 do CPC). Essa obrigação foi cumprida. O novo refrigerador passou então a estar coberto pela mesma garantia legal, e o defeito que nele surgiu constitui </w:t>
      </w:r>
      <w:r>
        <w:rPr>
          <w:rStyle w:val="Forte"/>
          <w:rFonts w:ascii="Arial" w:hAnsi="Arial" w:cs="Arial"/>
        </w:rPr>
        <w:t xml:space="preserve">vício novo, posterior ao acordo</w:t>
      </w:r>
      <w:r>
        <w:rPr>
          <w:rFonts w:ascii="Arial" w:hAnsi="Arial" w:cs="Arial"/>
        </w:rPr>
        <w:t xml:space="preserve">, com causa de pedir própria, não abrangida pela transação nem pela sentença homologatória.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Não há, portanto, coisa julgada a ser reconhecida. Nos termos do art. 337, §§ 2º e 4º, do CPC, só há coisa julgada quando se repete ação idêntica, com as mesmas partes, a </w:t>
      </w:r>
      <w:r>
        <w:rPr>
          <w:rStyle w:val="Forte"/>
          <w:rFonts w:ascii="Arial" w:hAnsi="Arial" w:cs="Arial"/>
        </w:rPr>
        <w:t xml:space="preserve">mesma causa de pedir</w:t>
      </w:r>
      <w:r>
        <w:rPr>
          <w:rFonts w:ascii="Arial" w:hAnsi="Arial" w:cs="Arial"/>
        </w:rPr>
        <w:t xml:space="preserve"> e o </w:t>
      </w:r>
      <w:r>
        <w:rPr>
          <w:rStyle w:val="Forte"/>
          <w:rFonts w:ascii="Arial" w:hAnsi="Arial" w:cs="Arial"/>
        </w:rPr>
        <w:t xml:space="preserve">mesmo pedido</w:t>
      </w:r>
      <w:r>
        <w:rPr>
          <w:rFonts w:ascii="Arial" w:hAnsi="Arial" w:cs="Arial"/>
        </w:rPr>
        <w:t xml:space="preserve">. A homologação teve por causa de pedir o vício do refrigerador CRM44AKBNA e por pedido a sua substituição. A presente ação funda-se no vício superveniente do refrigerador CRM50MK e pede a resolução do contrato, a restituição do preço e a indenização dos danos. Faltam, assim, dois dos três elementos de identidade.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histórico anterior, por sua vez, não é rediscutido como obrigação autônoma. Ele demonstra a reiteração do vício e o tempo despendido pela consumidora, elementos relevantes para a escolha da restituição (art. 18, §§1º e 3º, do CDC) e para a configuração do dano moral.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III) DO VÍCIO REITERADO DO PRODUTO E DO DESCUMPRIMENTO DO ART. 18 DO CDC</w:t>
      </w:r>
    </w:p>
    <w:p w14:paraId="763BFC97" w14:textId="77777777" w:rsidR="00D93385" w:rsidRPr="00E814BB" w:rsidRDefault="00D93385" w:rsidP="00193709">
      <w:pPr>
        <w:pStyle w:val="NormalWeb"/>
        <w:spacing w:before="24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caso não se resume a um defeito pontual apresentado por um produto recém-adquirido.</w:t>
      </w:r>
    </w:p>
    <w:p w14:paraId="76561873" w14:textId="77777777" w:rsidR="00D93385" w:rsidRPr="00E814BB" w:rsidRDefault="00D93385" w:rsidP="00193709">
      <w:pPr>
        <w:pStyle w:val="NormalWeb"/>
        <w:spacing w:before="24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que existe é uma </w:t>
      </w:r>
      <w:r>
        <w:rPr>
          <w:rStyle w:val="Forte"/>
          <w:rFonts w:ascii="Arial" w:hAnsi="Arial" w:cs="Arial"/>
        </w:rPr>
        <w:t>sucessão de vícios e substituições</w:t>
      </w:r>
      <w:r>
        <w:rPr>
          <w:rFonts w:ascii="Arial" w:hAnsi="Arial" w:cs="Arial"/>
        </w:rPr>
        <w:t>, sem que a consumidora tenha conseguido obter um produto adequado e funcional.</w:t>
      </w:r>
    </w:p>
    <w:p w14:paraId="5FF4EDAF" w14:textId="77777777" w:rsidR="00D93385" w:rsidRPr="00E814BB" w:rsidRDefault="00D93385" w:rsidP="00193709">
      <w:pPr>
        <w:pStyle w:val="NormalWeb"/>
        <w:spacing w:before="24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art. 18 do CDC estabelece:</w:t>
      </w:r>
    </w:p>
    <w:p w14:paraId="524F40CB" w14:textId="77777777"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“Os fornecedores de produtos de consumo duráveis ou não duráveis respondem solidariamente pelos vícios de qualidade ou quantidade que os tornem impróprios ou inadequados ao consumo a que se destinam ou lhes diminuam o valor (...)”.</w:t>
      </w:r>
    </w:p>
    <w:p w14:paraId="45758D01" w14:textId="77777777"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E estabelece, em seu §1º, que, não sendo o vício sanado no prazo máximo de 30 dias, o consumidor poderá escolher entre:</w:t>
      </w:r>
    </w:p>
    <w:p w14:paraId="49AF305C" w14:textId="22FD8C6B" w:rsidR="00D93385" w:rsidRPr="00193709" w:rsidRDefault="00D93385" w:rsidP="00AC4279">
      <w:pPr>
        <w:pStyle w:val="PargrafodaLista"/>
        <w:numPr>
          <w:ilvl w:val="0"/>
          <w:numId w:val="4"/>
        </w:numPr>
        <w:tabs>
          <w:tab w:val="clear" w:pos="720"/>
        </w:tabs>
        <w:spacing w:before="0" w:after="0" w:line="276" w:lineRule="auto"/>
        <w:ind w:firstLine="2824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a substituição do produto;</w:t>
      </w:r>
    </w:p>
    <w:p w14:paraId="60DF20D2" w14:textId="77777777" w:rsidR="00D93385" w:rsidRPr="00193709" w:rsidRDefault="00D93385" w:rsidP="00AC4279">
      <w:pPr>
        <w:numPr>
          <w:ilvl w:val="0"/>
          <w:numId w:val="4"/>
        </w:numPr>
        <w:spacing w:before="0" w:after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a restituição imediata da quantia paga, monetariamente atualizada;</w:t>
      </w:r>
    </w:p>
    <w:p w14:paraId="6AFB0B9A" w14:textId="49507DCA" w:rsidR="00D93385" w:rsidRPr="00193709" w:rsidRDefault="00D93385" w:rsidP="00AC4279">
      <w:pPr>
        <w:numPr>
          <w:ilvl w:val="0"/>
          <w:numId w:val="4"/>
        </w:numPr>
        <w:spacing w:before="0" w:after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ou o abatimento proporcional do preço. </w:t>
      </w:r>
    </w:p>
    <w:p w14:paraId="2FF68467" w14:textId="77777777" w:rsidR="00AC4279" w:rsidRPr="00AC4279" w:rsidRDefault="00AC4279" w:rsidP="00AC4279">
      <w:pPr>
        <w:spacing w:before="0" w:after="0" w:line="276" w:lineRule="auto"/>
        <w:ind w:left="3544"/>
        <w:jc w:val="both"/>
        <w:rPr>
          <w:rFonts w:ascii="Arial" w:hAnsi="Arial" w:cs="Arial"/>
          <w:sz w:val="22"/>
          <w:szCs w:val="22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situação é ainda mais grave porque a primeira troca sequer atendeu à lei: o aparelho entregue em 11/12/2025 era recuperado, com amassados, ruptura da borda da porta e remendos com cola, quando o art. 18, §1º, I, do CDC exige a substituição “por outro da mesma espécie, em perfeitas condições de uso”. O Superior Tribunal de Justiça é claro ao exigir que a substituição se dê por produto novo: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“6- Na hipótese de responsabilidade pelo vício,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a substituição do produto “por outro da mesma espécie” – prevista no inciso I, do § 1º, do art. 18, do CDC – implica a substituição por outro produto novo na data da substituição</w:t>
      </w:r>
      <w:r>
        <w:rPr>
          <w:rFonts w:ascii="Arial" w:hAnsi="Arial" w:cs="Arial"/>
          <w:i/>
          <w:iCs/>
          <w:sz w:val="20"/>
          <w:szCs w:val="20"/>
        </w:rPr>
        <w:t xml:space="preserve">.” (STJ – REsp 1.982.739/MT – Rel. Ministra NANCY ANDRIGHI – Terceira Turma – julgado em 15/03/2022 – DJe 21/03/2022)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Antes disso, o defeito original não foi sanado pela assistência técnica no prazo de 30 dias, como reconheceu a própria fabricante em sua resposta ao PROCON. E a segunda troca, acordada no PROCON, também não solucionou o problema. O prazo legal, ademais, não se renova a cada nova tentativa de reparo: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“6.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Em havendo sucessiva manifestação do mesmo vício no produto, o trintídio legal é computado de forma corrida</w:t>
      </w:r>
      <w:r>
        <w:rPr>
          <w:rFonts w:ascii="Arial" w:hAnsi="Arial" w:cs="Arial"/>
          <w:i/>
          <w:iCs/>
          <w:sz w:val="20"/>
          <w:szCs w:val="20"/>
        </w:rPr>
        <w:t xml:space="preserve">, isto é, sem que haja o reinício do prazo toda vez que o bem for entregue ao fornecedor para a resolução de idêntico problema, nem a suspensão quando devolvido o produto ao consumidor sem o devido reparo. 7. Hipótese em que o aludido prazo foi excedido pelas fornecedoras, circunstância que legitima a pretensão de devolução da quantia paga pelo veículo.” (STJ – REsp 1.684.132/CE – Rel. Ministra NANCY ANDRIGHI – Terceira Turma – julgado em 02/10/2018 – DJe 04/10/2018)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14:paraId="5AC2A8C2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Não se mostra razoável exigir que a consumidora continue indefinidamente submetida a novas trocas, reparos e procedimentos administrativos para obter aquilo que já deveria ter recebido desde a primeira entrega: </w:t>
      </w:r>
      <w:r>
        <w:rPr>
          <w:rStyle w:val="Forte"/>
          <w:rFonts w:ascii="Arial" w:hAnsi="Arial" w:cs="Arial"/>
        </w:rPr>
        <w:t>um refrigerador em perfeitas condições de funcionamento</w:t>
      </w:r>
      <w:r>
        <w:rPr>
          <w:rFonts w:ascii="Arial" w:hAnsi="Arial" w:cs="Arial"/>
        </w:rPr>
        <w:t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Tribunal de Justiça do Piauí, em caso envolvendo refrigerador comercializado pela própria 1ª Ré, BUD Comércio de Eletrodomésticos Ltda., assim decidiu: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“5. Não há nos autos qualquer comprovação de que tenha havido o efeito reparo/substituição do produto objeto da demanda no prazo de 30 dias previsto no art. 18 do CDC, restando evidenciada a falha na prestação do serviço. 6. Neste cenário,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não atendidas as reclamações da autora/apelante, em tempo e de forma satisfatória, é plenamente viável o reembolso dos valores despendidos para a aquisição do produto</w:t>
      </w:r>
      <w:r>
        <w:rPr>
          <w:rFonts w:ascii="Arial" w:hAnsi="Arial" w:cs="Arial"/>
          <w:i/>
          <w:iCs/>
          <w:sz w:val="20"/>
          <w:szCs w:val="20"/>
        </w:rPr>
        <w:t xml:space="preserve">. 7. Com efeito, resta demonstrada a responsabilidade do apelante no caso em apreço, inclusive o dever de indenizar a autora pelos danos morais sofridos, haja vista que a inadimplência quanto ao reparo ou substituição do produto ensejou reclamação, sem sucesso, junto ao PROCON [...], fatos estes que ultrapassam o mero aborrecimento e dissabor.” (TJPI – APELAÇÃO CÍVEL 0000693-24.2017.8.18.0062 – Relator: Des. OTON MÁRIO JOSÉ LUSTOSA TORRES – 4ª Câmara Especializada Cível – Data de publicação 31/05/2021)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 mesmo sentido, a 1ª Turma Recursal do TJPI, em caso de refrigerador com vício não solucionado: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“RECURSO INOMINADO. RELAÇÃO DE CONSUMO. [...]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COMPRA DE REFRIGERADOR. VÍCIOS OCULTOS. PRODUTO DENTRO DA GARANTIA. APLICAÇÃO DO ART. 18, II DO CDC</w:t>
      </w:r>
      <w:r>
        <w:rPr>
          <w:rFonts w:ascii="Arial" w:hAnsi="Arial" w:cs="Arial"/>
          <w:i/>
          <w:iCs/>
          <w:sz w:val="20"/>
          <w:szCs w:val="20"/>
        </w:rPr>
        <w:t xml:space="preserve">. [...] DANO MORAL CONFIGURADO. [...]” (TJPI – RECURSO INOMINADO CÍVEL 0800144-67.2022.8.18.0009 – Relator: LEONARDO LÚCIO FREIRE TRIGUEIRO – 1ª Turma Recursal – julgado em 27/08/2024)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IV) DA ESSENCIALIDADE DO BEM E DA INADEQUAÇÃO DE NOVAS TENTATIVAS DE REPARO OU SUBSTITUIÇÃO</w:t>
      </w:r>
    </w:p>
    <w:p w14:paraId="7378E6F3" w14:textId="0397EE49" w:rsidR="00D93385" w:rsidRPr="00E814BB" w:rsidRDefault="00430BC0" w:rsidP="00193709">
      <w:pPr>
        <w:pStyle w:val="NormalWeb"/>
        <w:spacing w:before="48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Uma geladeira não constitui mero objeto de conveniência. Sua finalidade está diretamente relacionada à </w:t>
      </w:r>
      <w:r>
        <w:rPr>
          <w:rStyle w:val="Forte"/>
          <w:rFonts w:ascii="Arial" w:hAnsi="Arial" w:cs="Arial"/>
        </w:rPr>
        <w:t>conservação de alimentos</w:t>
      </w:r>
      <w:r>
        <w:rPr>
          <w:rFonts w:ascii="Arial" w:hAnsi="Arial" w:cs="Arial"/>
        </w:rPr>
        <w:t>, sendo utilizada diariamente no ambiente doméstico.</w:t>
      </w:r>
    </w:p>
    <w:p w14:paraId="0040E9A6" w14:textId="769D199E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próprio </w:t>
      </w:r>
      <w:r>
        <w:rPr>
          <w:rFonts w:ascii="Arial" w:hAnsi="Arial" w:cs="Arial"/>
          <w:b/>
          <w:bCs/>
        </w:rPr>
        <w:t>art. 18, §3º, do CDC</w:t>
      </w:r>
      <w:r>
        <w:rPr>
          <w:rFonts w:ascii="Arial" w:hAnsi="Arial" w:cs="Arial"/>
        </w:rPr>
        <w:t xml:space="preserve"> prevê que o consumidor pode fazer uso imediato das alternativas previstas no §1º quando, em razão da extensão do vício, a substituição das partes puder comprometer as características do produto, diminuir seu valor ou </w:t>
      </w:r>
      <w:r>
        <w:rPr>
          <w:rStyle w:val="Forte"/>
          <w:rFonts w:ascii="Arial" w:hAnsi="Arial" w:cs="Arial"/>
        </w:rPr>
        <w:t>quando se tratar de produto essencial</w:t>
      </w:r>
      <w:r>
        <w:rPr>
          <w:rFonts w:ascii="Arial" w:hAnsi="Arial" w:cs="Arial"/>
        </w:rPr>
        <w:t xml:space="preserve">. 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Superior Tribunal de Justiça reconhece expressamente que, nessas hipóteses, o fornecedor não dispõe do prazo de 30 dias para o reparo: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“Cumpre lembrar, outrossim, que o próprio CDC estabelece hipóteses em que não será concedida essa faculdade ao fornecedor, as quais estão previstas no parágrafo terceiro do dispositivo em comento: (i) quando, em razão da extensão do vício, a substituição das partes viciadas puder comprometer a qualidade ou características do produto ou diminuir-lhe o valor;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(ii) quando se tratar de produto essencial</w:t>
      </w:r>
      <w:r>
        <w:rPr>
          <w:rFonts w:ascii="Arial" w:hAnsi="Arial" w:cs="Arial"/>
          <w:i/>
          <w:iCs/>
          <w:sz w:val="20"/>
          <w:szCs w:val="20"/>
        </w:rPr>
        <w:t xml:space="preserve">.” (STJ – REsp 1.684.132/CE – Rel. Ministra NANCY ANDRIGHI – Terceira Turma – julgado em 02/10/2018 – DJe 04/10/2018 – trecho do voto)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 o Tribunal de Justiça do Piauí já qualificou o refrigerador como bem essencial, em caso análogo: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“RECURSO INOMINADO. DIREITO DO CONSUMIDOR. VÍCIO DO PRODUTO.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BEM ESSENCIAL. AUSÊNCIA DE SUBSTITUIÇÃO DO PRODUTO NO TRINTÍDIO LEGAL. RESSARCIMENTO INTEGRAL</w:t>
      </w:r>
      <w:r>
        <w:rPr>
          <w:rFonts w:ascii="Arial" w:hAnsi="Arial" w:cs="Arial"/>
          <w:i/>
          <w:iCs/>
          <w:sz w:val="20"/>
          <w:szCs w:val="20"/>
        </w:rPr>
        <w:t xml:space="preserve">. [...]” (TJPI – RECURSO INOMINADO CÍVEL 0800464-66.2022.8.18.0123 – Relator: JOÃO HENRIQUE SOUSA GOMES – 2ª Turma Recursal – julgado em 15/08/2024)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14:paraId="2AEEE148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Portanto, ainda que não se pretenda estabelecer uma regra abstrata de que toda e qualquer geladeira seja automaticamente considerada produto essencial, </w:t>
      </w:r>
      <w:r>
        <w:rPr>
          <w:rStyle w:val="Forte"/>
          <w:rFonts w:ascii="Arial" w:hAnsi="Arial" w:cs="Arial"/>
        </w:rPr>
        <w:t xml:space="preserve">as </w:t>
        <w:lastRenderedPageBreak/>
        <w:t>circunstâncias específicas desta demanda demonstram que a privação de um refrigerador funcional produz impacto concreto na vida cotidiana da consumidora</w:t>
      </w:r>
      <w:r>
        <w:rPr>
          <w:rFonts w:ascii="Arial" w:hAnsi="Arial" w:cs="Arial"/>
        </w:rPr>
        <w:t>.</w:t>
      </w:r>
    </w:p>
    <w:p w14:paraId="61418AF0" w14:textId="42EE20E0" w:rsidR="00D93385" w:rsidRPr="00E814BB" w:rsidRDefault="00D93385" w:rsidP="00997DF2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Mais importante ainda, aqui não se discute apenas a necessidade de aguardar uma primeira tentativa de reparo. A Autora </w:t>
      </w:r>
      <w:r>
        <w:rPr>
          <w:rStyle w:val="Forte"/>
          <w:rFonts w:ascii="Arial" w:hAnsi="Arial" w:cs="Arial"/>
        </w:rPr>
        <w:t>já passou por sucessivas tentativas de solução e substituições</w:t>
      </w:r>
      <w:r>
        <w:rPr>
          <w:rFonts w:ascii="Arial" w:hAnsi="Arial" w:cs="Arial"/>
        </w:rPr>
        <w:t>, inclusive uma formalmente documentada como troca em garantia.</w:t>
      </w:r>
    </w:p>
    <w:p w14:paraId="2A7C07E5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insistência em submetê-la a novos ciclos de reparo e substituição representaria, na prática, prolongar indefinidamente uma situação que já se mostrou inadequadamente solucionada.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Por isso, ainda que se entenda que a fornecedora não dispôs do prazo de 30 dias para sanar o vício do último aparelho, a Autora pode fazer uso imediato da restituição da quantia paga, nos termos do art. 18, §3º, do CDC. Não se pode exigir da consumidora que continue submetendo o produto à assistência técnica indefinidamente, como já decidiu o TJPI: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“Embora a parte apelante alegue que a apelada tenha se negado a encaminhar o produto novamente para a assistência técnica,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não se pode exigir do consumidor que permaneça na posse de um produto que não presta para o fim a que se destina, necessitando ser encaminhado diversas vezes para a assistência técnica, sem que os vícios sejam efetivamente reparados</w:t>
      </w:r>
      <w:r>
        <w:rPr>
          <w:rFonts w:ascii="Arial" w:hAnsi="Arial" w:cs="Arial"/>
          <w:i/>
          <w:iCs/>
          <w:sz w:val="20"/>
          <w:szCs w:val="20"/>
        </w:rPr>
        <w:t xml:space="preserve">, sendo evidente a necessidade de restituição do valor desembolsado [...]” (TJPI – APELAÇÃO CÍVEL 0800277-66.2020.8.18.0046 – Relator: Des. HAROLDO OLIVEIRA REHEM – 1ª Câmara Especializada Cível – julgado em 20/11/2023 – trecho do voto)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V) DA INEXISTÊNCIA DE DECADÊNCIA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prazo de 90 dias para reclamar de vícios em produtos duráveis (art. 26, II, do CDC) não se consumou. O vício do último aparelho surgiu em </w:t>
      </w:r>
      <w:r>
        <w:rPr>
          <w:rFonts w:ascii="Arial" w:hAnsi="Arial" w:cs="Arial"/>
          <w:b/>
          <w:bCs/>
          <w:shd w:val="clear" w:color="auto" w:fill="FFF200"/>
        </w:rPr>
        <w:t xml:space="preserve">[data]</w:t>
      </w:r>
      <w:r>
        <w:rPr>
          <w:rFonts w:ascii="Arial" w:hAnsi="Arial" w:cs="Arial"/>
        </w:rPr>
        <w:t xml:space="preserve">, e a Autora o reclamou perante a fornecedora em </w:t>
      </w:r>
      <w:r>
        <w:rPr>
          <w:rFonts w:ascii="Arial" w:hAnsi="Arial" w:cs="Arial"/>
          <w:b/>
          <w:bCs/>
          <w:shd w:val="clear" w:color="auto" w:fill="FFF200"/>
        </w:rPr>
        <w:t xml:space="preserve">[data]</w:t>
      </w:r>
      <w:r>
        <w:rPr>
          <w:rFonts w:ascii="Arial" w:hAnsi="Arial" w:cs="Arial"/>
        </w:rPr>
        <w:t xml:space="preserve">, por meio do atendimento oficial da Consul </w:t>
      </w:r>
      <w:r>
        <w:rPr>
          <w:rFonts w:ascii="Arial" w:hAnsi="Arial" w:cs="Arial"/>
          <w:b/>
          <w:bCs/>
          <w:shd w:val="clear" w:color="auto" w:fill="FFF200"/>
        </w:rPr>
        <w:t xml:space="preserve">[Doc. 12]</w:t>
      </w:r>
      <w:r>
        <w:rPr>
          <w:rFonts w:ascii="Arial" w:hAnsi="Arial" w:cs="Arial"/>
        </w:rPr>
        <w:t xml:space="preserve"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reclamação comprovadamente formulada perante o fornecedor obsta a decadência até a resposta negativa correspondente, transmitida de forma inequívoca (art. 26, §2º, I, do CDC) </w:t>
      </w:r>
      <w:r>
        <w:rPr>
          <w:rFonts w:ascii="Arial" w:hAnsi="Arial" w:cs="Arial"/>
          <w:b/>
          <w:bCs/>
          <w:shd w:val="clear" w:color="auto" w:fill="FFF200"/>
        </w:rPr>
        <w:t xml:space="preserve">[confirmar com a cliente se houve resposta negativa da fornecedora e em que data]</w:t>
      </w:r>
      <w:r>
        <w:rPr>
          <w:rFonts w:ascii="Arial" w:hAnsi="Arial" w:cs="Arial"/>
        </w:rPr>
        <w:t xml:space="preserve">. É o entendimento pacífico do Superior Tribunal de Justiça: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“4. “Tratando-se de vício oculto do produto, o prazo decadencial tem início no momento em que evidenciado o defeito, e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a reclamação do consumidor formulada diretamente ao fornecedor obsta o prazo de decadência até a resposta negativa deste</w:t>
      </w:r>
      <w:r>
        <w:rPr>
          <w:rFonts w:ascii="Arial" w:hAnsi="Arial" w:cs="Arial"/>
          <w:i/>
          <w:iCs/>
          <w:sz w:val="20"/>
          <w:szCs w:val="20"/>
        </w:rPr>
        <w:t xml:space="preserve">” (REsp n. 1.303.510/SP, relator Ministro João Otávio de Noronha, Terceira Turma, DJe de 6/11/2015).” (STJ – AgInt no AREsp 2.174.028/SP – Rel. Ministro HUMBERTO MARTINS – Terceira Turma – julgado em 26/02/2024 – DJe 29/02/2024)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reclamação feita pelo canal oficial de atendimento da fabricante, por meio eletrônico, é plenamente válida para esse fim: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“3. A lei não preestabelece uma forma para a realização da reclamação, exigindo apenas comprovação de que o fornecedor tomou ciência inequívoca quanto ao propósito do consumidor de reclamar pelos vícios do produto ou serviço. 4.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A reclamação obstativa da decadência, prevista no art. 26, § 2º, I, do CDC, pode ser feita documentalmente – por meio físico ou eletrônico – ou mesmo verbalmente – pessoalmente ou por telefone</w:t>
      </w:r>
      <w:r>
        <w:rPr>
          <w:rFonts w:ascii="Arial" w:hAnsi="Arial" w:cs="Arial"/>
          <w:i/>
          <w:iCs/>
          <w:sz w:val="20"/>
          <w:szCs w:val="20"/>
        </w:rPr>
        <w:t xml:space="preserve"> – e, consequentemente, a sua comprovação pode dar-se por todos os meios admitidos em direito.” (STJ – REsp 1.442.597/DF – Rel. Ministra NANCY ANDRIGHI – Terceira Turma – julgado em 24/10/2017 – DJe 30/10/2017)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Ainda que assim não fosse, a eventual decadência do direito de exigir as alternativas do art. 18, § 1º, do CDC não alcançaria as pretensões indenizatórias, sujeitas a prazo prescricional, conforme orientação do STJ registrada no mesmo AgInt no AREsp 2.174.028/SP (AgInt no REsp 1.788.020/PB, Rel. Ministro Luis Felipe Salomão, Quarta Turma, DJe de 16/10/2020).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VI) DA RESTITUIÇÃO INTEGRAL DO VALOR PAGO</w:t>
      </w:r>
    </w:p>
    <w:p w14:paraId="1EFAF006" w14:textId="77777777" w:rsidR="00997DF2" w:rsidRPr="00997DF2" w:rsidRDefault="00997DF2" w:rsidP="00997DF2"/>
    <w:p w14:paraId="429D7E56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Diante da persistência do vício e da sucessão de tentativas frustradas de solução, a Autora opta pela </w:t>
      </w:r>
      <w:r>
        <w:rPr>
          <w:rStyle w:val="Forte"/>
          <w:rFonts w:ascii="Arial" w:hAnsi="Arial" w:cs="Arial"/>
        </w:rPr>
        <w:t>restituição integral do valor pago</w:t>
      </w:r>
      <w:r>
        <w:rPr>
          <w:rFonts w:ascii="Arial" w:hAnsi="Arial" w:cs="Arial"/>
        </w:rPr>
        <w:t>, nos termos do art. 18, §1º, II, do CDC.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valor pago pela consumidora foi de </w:t>
      </w:r>
      <w:r>
        <w:rPr>
          <w:rStyle w:val="Forte"/>
          <w:rFonts w:ascii="Arial" w:hAnsi="Arial" w:cs="Arial"/>
        </w:rPr>
        <w:t xml:space="preserve">R$ 3.438,90</w:t>
      </w:r>
      <w:r>
        <w:rPr>
          <w:rFonts w:ascii="Arial" w:hAnsi="Arial" w:cs="Arial"/>
        </w:rPr>
        <w:t xml:space="preserve">, conforme NF-e nº 000.496.852 (chave de acesso 2525 0662 0583 1800 1233 5500 1000 4968 5219 8186 8756).</w:t>
      </w:r>
    </w:p>
    <w:p w14:paraId="5C8CDE22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restituição deve compreender o valor efetivamente desembolsado pela consumidora, devidamente atualizado, sem que lhe seja imposta qualquer redução decorrente do tempo de utilização do produto.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Superior Tribunal de Justiça já decidiu, em ambas as Turmas de Direito Privado, que a restituição prevista no art. 18, §1º, II, do CDC corresponde ao valor pago, corrigido desde o desembolso, sem abatimento pelo uso, e que o uso do bem não afasta os juros de mora: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“3-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O valor a ser restituído deve corresponder à quantia paga, devidamente corrigido monetariamente desde o desembolso</w:t>
      </w:r>
      <w:r>
        <w:rPr>
          <w:rFonts w:ascii="Arial" w:hAnsi="Arial" w:cs="Arial"/>
          <w:i/>
          <w:iCs/>
          <w:sz w:val="20"/>
          <w:szCs w:val="20"/>
        </w:rPr>
        <w:t xml:space="preserve">, conforme determina o inciso II, do § 1º, do art. 18, do CDC,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não sendo devido qualquer abatimento decorrente da utilização do produto pelo consumidor</w:t>
      </w:r>
      <w:r>
        <w:rPr>
          <w:rFonts w:ascii="Arial" w:hAnsi="Arial" w:cs="Arial"/>
          <w:i/>
          <w:iCs/>
          <w:sz w:val="20"/>
          <w:szCs w:val="20"/>
        </w:rPr>
        <w:t xml:space="preserve">. Precedente. 4- Na hipótese de restituição da quantia paga em razão da responsabilidade por vício do produto (art. 18, § 1º, II, do CDC), a utilização do bem pelo consumidor não afasta a incidência de juros de mora.” (STJ – REsp 2.025.169/RS – Rel. Ministra NANCY ANDRIGHI – Terceira Turma – julgado em 07/03/2023 – DJe 10/03/2023)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“5. O valor a ser restituído ao consumidor deve corresponder à quantia paga, corrigida monetariamente desde o desembolso, conforme prevê o inciso II do § 1º do art. 18 do CDC, não sendo devido abatimento decorrente da utilização do produto. Súmula 83/STJ.” (STJ – AgInt no AREsp 2.419.630/SP – Rel. Ministra MARIA ISABEL GALLOTTI – Quarta Turma – julgado em 12/08/2024 – DJe 14/08/2024)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Assim, diante da opção da consumidora pela resolução da relação de consumo, deve ser determinada a restituição do valor pago, com o recolhimento do produto atualmente existente na residência da Autora, às expensas das Rés, em data previamente agendada com a consumidora, tal como determinado pelo TJPI em caso análogo, no qual a devolução se deu por logística reversa organizada e custeada pela fabricante (TJPI – APELAÇÃO CÍVEL 0818494-30.2024.8.18.0140, citada no tópico I).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VII) DOS DANOS MATERIAIS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Além da restituição do preço, a Autora suportou despesas diretamente decorrentes da sucessão de defeitos, que devem ser ressarcidas sem prejuízo da restituição (art. 18, §1º, II, do CDC – “sem prejuízo de eventuais perdas e danos”):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[listar cada gasto com valor e comprovante – ex.: deslocamento de Miguel Alves a Teresina para a audiência no PROCON em 03/03/2026; alimentos perdidos. Sem comprovantes, excluir este tópico e o pedido “h”, e ajustar o valor da causa]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valores comprovados somam R$ </w:t>
      </w:r>
      <w:r>
        <w:rPr>
          <w:rFonts w:ascii="Arial" w:hAnsi="Arial" w:cs="Arial"/>
          <w:b/>
          <w:bCs/>
          <w:shd w:val="clear" w:color="auto" w:fill="FFF200"/>
        </w:rPr>
        <w:t xml:space="preserve">[total]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shd w:val="clear" w:color="auto" w:fill="FFF200"/>
        </w:rPr>
        <w:t xml:space="preserve">[Doc. 14 – comprovantes das despesas]</w:t>
      </w:r>
      <w:r>
        <w:rPr>
          <w:rFonts w:ascii="Arial" w:hAnsi="Arial" w:cs="Arial"/>
        </w:rPr>
        <w:t xml:space="preserve">. O TJPI reconhece a indenização de despesas dessa natureza em caso de refrigerador não reparado, inclusive o aluguel de outro aparelho durante o período (TJPI – APELAÇÃO CÍVEL 0000693-24.2017.8.18.0062, citada no tópico III, item 8 da ementa).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VIII) DO DANO MORAL E DO DESVIO PRODUTIVO DO CONSUMIDOR</w:t>
      </w:r>
    </w:p>
    <w:p w14:paraId="68329C70" w14:textId="77777777" w:rsidR="00D93385" w:rsidRPr="00E814BB" w:rsidRDefault="00D93385" w:rsidP="00193709">
      <w:pPr>
        <w:pStyle w:val="NormalWeb"/>
        <w:spacing w:before="0" w:beforeAutospacing="0" w:after="24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É importante destacar que a pretensão indenizatória não se fundamenta simplesmente no fato de o produto ter apresentado defeito.</w:t>
      </w:r>
    </w:p>
    <w:p w14:paraId="78A8605B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Autora não pretende transformar todo e qualquer problema relacionado a um eletrodoméstico em dano moral automático.</w:t>
      </w:r>
    </w:p>
    <w:p w14:paraId="6E8583EF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que caracteriza a particularidade do presente caso é a </w:t>
      </w:r>
      <w:r>
        <w:rPr>
          <w:rStyle w:val="Forte"/>
          <w:rFonts w:ascii="Arial" w:hAnsi="Arial" w:cs="Arial"/>
        </w:rPr>
        <w:t>reiteração do problema e o prolongamento da tentativa de solução</w:t>
      </w:r>
      <w:r>
        <w:rPr>
          <w:rFonts w:ascii="Arial" w:hAnsi="Arial" w:cs="Arial"/>
        </w:rPr>
        <w:t>, apesar das sucessivas providências adotadas pela consumidora.</w:t>
      </w:r>
    </w:p>
    <w:p w14:paraId="132351DA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Autora:</w:t>
      </w:r>
    </w:p>
    <w:p w:rsidR="00D93385" w:rsidRPr="00E814BB" w:rsidRDefault="00D93385" w:rsidP="00316F81">
      <w:pPr>
        <w:numPr>
          <w:ilvl w:val="0"/>
          <w:numId w:val="5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adquiriu um produto novo, que deixou de refrigerar com pouco tempo de uso;</w:t>
      </w:r>
    </w:p>
    <w:p w:rsidR="00D93385" w:rsidRPr="00E814BB" w:rsidRDefault="00D93385" w:rsidP="00316F81">
      <w:pPr>
        <w:numPr>
          <w:ilvl w:val="0"/>
          <w:numId w:val="5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aguardou a assistência técnica, que não sanou o defeito em 30 dias;</w:t>
      </w:r>
    </w:p>
    <w:p w:rsidR="00D93385" w:rsidRPr="00E814BB" w:rsidRDefault="00D93385" w:rsidP="00316F81">
      <w:pPr>
        <w:numPr>
          <w:ilvl w:val="0"/>
          <w:numId w:val="5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registrou reclamação no PROCON;</w:t>
      </w:r>
    </w:p>
    <w:p w:rsidR="00D93385" w:rsidRPr="00E814BB" w:rsidRDefault="00D93385" w:rsidP="00316F81">
      <w:pPr>
        <w:numPr>
          <w:ilvl w:val="0"/>
          <w:numId w:val="5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recebeu, na primeira troca, um aparelho recuperado, com remendos e amassados;</w:t>
      </w:r>
    </w:p>
    <w:p w:rsidR="00D93385" w:rsidRPr="00E814BB" w:rsidRDefault="00D93385" w:rsidP="00316F81">
      <w:pPr>
        <w:numPr>
          <w:ilvl w:val="0"/>
          <w:numId w:val="5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participou de audiência no PROCON, em Teresina, e aceitou nova troca;</w:t>
      </w:r>
    </w:p>
    <w:p w:rsidR="00D93385" w:rsidRPr="00E814BB" w:rsidRDefault="00D93385" w:rsidP="00316F81">
      <w:pPr>
        <w:numPr>
          <w:ilvl w:val="0"/>
          <w:numId w:val="5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recebeu o modelo CRM50MK, que também apresentou defeito;</w:t>
      </w:r>
    </w:p>
    <w:p w:rsidR="00D93385" w:rsidRPr="00E814BB" w:rsidRDefault="00D93385" w:rsidP="00316F81">
      <w:pPr>
        <w:numPr>
          <w:ilvl w:val="0"/>
          <w:numId w:val="5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e, mesmo após todas essas providências, permanece sem refrigerador em funcionamento.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14:paraId="4A412EAE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Não se trata, portanto, de um simples aborrecimento cotidiano.</w:t>
      </w:r>
    </w:p>
    <w:p w14:paraId="41A8A05A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consumidora foi obrigada a </w:t>
      </w:r>
      <w:r>
        <w:rPr>
          <w:rStyle w:val="Forte"/>
          <w:rFonts w:ascii="Arial" w:hAnsi="Arial" w:cs="Arial"/>
        </w:rPr>
        <w:t>desviar tempo de sua vida pessoal para solucionar problema criado pelos próprios fornecedores</w:t>
      </w:r>
      <w:r>
        <w:rPr>
          <w:rFonts w:ascii="Arial" w:hAnsi="Arial" w:cs="Arial"/>
        </w:rPr>
        <w:t xml:space="preserve">, realizando contatos, reclamações, acompanhamentos e deslocamentos que não deveriam existir se o </w:t>
        <w:lastRenderedPageBreak/>
        <w:t>produto tivesse sido adequadamente fornecido ou se o vício tivesse sido definitivamente solucionado.</w:t>
      </w:r>
    </w:p>
    <w:p w14:paraId="7D1C800C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Essa situação caracteriza o chamado </w:t>
      </w:r>
      <w:r>
        <w:rPr>
          <w:rStyle w:val="Forte"/>
          <w:rFonts w:ascii="Arial" w:hAnsi="Arial" w:cs="Arial"/>
        </w:rPr>
        <w:t>desvio produtivo do consumidor</w:t>
      </w:r>
      <w:r>
        <w:rPr>
          <w:rFonts w:ascii="Arial" w:hAnsi="Arial" w:cs="Arial"/>
        </w:rPr>
        <w:t>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Tribunal de Justiça do Piauí reconhece expressamente essa construção em casos de vício de produto não solucionado:</w:t>
      </w: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“O dano moral resta caracterizado diante do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vício oculto, da frustração do uso do bem essencial e do desvio produtivo do consumidor</w:t>
      </w:r>
      <w:r>
        <w:rPr>
          <w:rFonts w:ascii="Arial" w:hAnsi="Arial" w:cs="Arial"/>
          <w:i/>
          <w:iCs/>
          <w:sz w:val="20"/>
          <w:szCs w:val="20"/>
        </w:rPr>
        <w:t xml:space="preserve">, sendo cabível a majoração da indenização.” (TJPI – APELAÇÃO CÍVEL 0835806-53.2023.8.18.0140 – Relator: Des. MÁRIO BASÍLIO DE MELO – 1ª Câmara Especializada Cível – julgado em 29/05/2026)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193709" w:rsidRDefault="00D93385" w:rsidP="00AC4279">
      <w:pPr>
        <w:pStyle w:val="NormalWeb"/>
        <w:spacing w:before="0" w:beforeAutospacing="0" w:after="0" w:afterAutospacing="0" w:line="276" w:lineRule="auto"/>
        <w:ind w:left="3261" w:firstLine="283"/>
        <w:jc w:val="both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 xml:space="preserve">“2. </w:t>
      </w:r>
      <w:r>
        <w:rPr>
          <w:rStyle w:val="Forte"/>
          <w:rFonts w:ascii="Arial" w:hAnsi="Arial" w:cs="Arial"/>
          <w:i/>
          <w:iCs/>
          <w:sz w:val="20"/>
          <w:szCs w:val="20"/>
        </w:rPr>
        <w:t xml:space="preserve">O dano moral configura-se em razão da teoria do desvio produtivo do consumidor</w:t>
      </w:r>
      <w:r>
        <w:rPr>
          <w:rFonts w:ascii="Arial" w:hAnsi="Arial" w:cs="Arial"/>
          <w:i/>
          <w:iCs/>
          <w:sz w:val="20"/>
          <w:szCs w:val="20"/>
        </w:rPr>
        <w:t xml:space="preserve">, que tentou, mediante contato solucionar o problema, porém não houve a solução pela ré dentro do prazo legal.” (TJPI – RECURSO INOMINADO CÍVEL 0802863-19.2020.8.18.0162 – Relator: SEBASTIÃO FIRMINO LIMA FILHO – 2ª Turma Recursal – julgado em 29/07/2024) (grifo nosso)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Também há precedente da 3ª Turma Recursal reconhecendo dano moral em situação de produto entregue com defeito e demora injustificada na solução do problema (TJPI – RECURSO INOMINADO CÍVEL 0801888-83.2022.8.18.0143 – Relator: REGINALDO PEREIRA LIMA DE ALENCAR – 3ª Turma Recursal – Data de publicação 02/08/2024).</w:t>
      </w:r>
    </w:p>
    <w:p w14:paraId="46203DE6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No presente caso, a reiteração das substituições, a persistência do vício e a necessidade de utilização do PROCON demonstram que o tempo e os esforços da Autora foram indevidamente consumidos na tentativa de obter uma solução que deveria ter sido fornecida espontaneamente pelas Rés.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Quanto ao valor, a gravidade do caso concreto – vício não sanado no prazo legal, troca por aparelho recuperado, reclamação no PROCON, audiência em outra cidade e novo defeito no produto recebido em acordo – justifica indenização acima dos patamares usuais. O TJPI já considerou irrisória a indenização de R$ 3.000,00 em caso de desvio produtivo, majorando-a (AC 0835806-53.2023.8.18.0140, acima citada), e há relator que adota R$ 5.000,00 como parâmetro para vício de produto não solucionado pela assistência técnica (AC 0800277-66.2020.8.18.0046, citada no tópico IV).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Dessa forma, requer a condenação solidária das Rés ao pagamento de indenização por danos morais em valor a ser arbitrado pelo Juízo, sugerindo-se, considerando a extensão concreta dos transtornos, o montante de </w:t>
      </w:r>
      <w:r>
        <w:rPr>
          <w:rStyle w:val="Forte"/>
          <w:rFonts w:ascii="Arial" w:hAnsi="Arial" w:cs="Arial"/>
        </w:rPr>
        <w:t xml:space="preserve">R$ 10.000,00</w:t>
      </w:r>
      <w:r>
        <w:rPr>
          <w:rFonts w:ascii="Arial" w:hAnsi="Arial" w:cs="Arial"/>
        </w:rPr>
        <w:t xml:space="preserve">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IX) DA INVERSÃO DO ÔNUS DA PROVA</w:t>
      </w:r>
    </w:p>
    <w:p w14:paraId="208739C9" w14:textId="77777777" w:rsidR="00D93385" w:rsidRPr="00E814BB" w:rsidRDefault="00D93385" w:rsidP="00193709">
      <w:pPr>
        <w:pStyle w:val="NormalWeb"/>
        <w:spacing w:before="48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O art. 6º, VIII, do CDC assegura ao consumidor a facilitação da defesa de seus direitos, inclusive mediante inversão do ônus da prova, quando presentes a verossimilhança das alegações ou a hipossuficiência do consumidor.</w:t>
      </w:r>
    </w:p>
    <w:p w14:paraId="7EC0A90F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No presente caso, ambos os requisitos estão presentes.</w:t>
      </w:r>
    </w:p>
    <w:p w14:paraId="4022AADF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verossimilhança decorre da própria documentação já existente, especialmente:</w:t>
      </w:r>
    </w:p>
    <w:p w:rsidR="00D93385" w:rsidRPr="00E814BB" w:rsidRDefault="00D93385" w:rsidP="00316F81">
      <w:pPr>
        <w:numPr>
          <w:ilvl w:val="0"/>
          <w:numId w:val="6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nota fiscal da aquisição;</w:t>
      </w:r>
    </w:p>
    <w:p w:rsidR="00D93385" w:rsidRPr="00E814BB" w:rsidRDefault="00D93385" w:rsidP="00316F81">
      <w:pPr>
        <w:numPr>
          <w:ilvl w:val="0"/>
          <w:numId w:val="6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nota fiscal de troca em garantia emitida pela fabricante;</w:t>
      </w:r>
    </w:p>
    <w:p w:rsidR="00D93385" w:rsidRPr="00E814BB" w:rsidRDefault="00D93385" w:rsidP="00316F81">
      <w:pPr>
        <w:numPr>
          <w:ilvl w:val="0"/>
          <w:numId w:val="6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reclamação, resposta da fabricante e Termo de Compromisso do PROCON, além da sentença homologatória;</w:t>
      </w:r>
    </w:p>
    <w:p w:rsidR="00D93385" w:rsidRPr="00E814BB" w:rsidRDefault="00D93385" w:rsidP="00316F81">
      <w:pPr>
        <w:numPr>
          <w:ilvl w:val="0"/>
          <w:numId w:val="6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fotografias do aparelho recuperado e do defeito atual;</w:t>
      </w:r>
    </w:p>
    <w:p w:rsidR="00D93385" w:rsidRPr="00E814BB" w:rsidRDefault="00D93385" w:rsidP="00316F81">
      <w:pPr>
        <w:numPr>
          <w:ilvl w:val="0"/>
          <w:numId w:val="6"/>
        </w:numPr>
        <w:spacing w:before="0" w:after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registros do atendimento Consul e da assistência técnica autorizada.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 TJPI reconhece que a nota fiscal e a reclamação no PROCON bastam para evidenciar a verossimilhança das alegações do consumidor em casos de vício de refrigerador (TJPI – RECURSO INOMINADO CÍVEL 0800464-66.2022.8.18.0123, citado no tópico IV; e APELAÇÃO CÍVEL 0000693-24.2017.8.18.0062, item 1 da ementa, citada no tópico III).</w:t>
      </w:r>
    </w:p>
    <w:p w14:paraId="720E1484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 hipossuficiência também é evidente, sobretudo porque os registros internos relativos às trocas, atendimentos, diagnósticos técnicos, números de série, histórico de reclamações e procedimentos realizados permanecem sob domínio das fornecedoras.</w:t>
      </w:r>
    </w:p>
    <w:p w14:paraId="2135F947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As Rés possuem condições muito superiores de demonstrar:</w:t>
      </w:r>
    </w:p>
    <w:p w14:paraId="2EA8CCDF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a) os defeitos apresentados pelos equipamentos;</w:t>
      </w:r>
    </w:p>
    <w:p w14:paraId="1CC843B5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b) as datas dos atendimentos;</w:t>
      </w:r>
    </w:p>
    <w:p w14:paraId="49DA2F2D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c) as ordens de serviço;</w:t>
      </w:r>
    </w:p>
    <w:p w14:paraId="5250A292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d) os produtos efetivamente fornecidos em substituição;</w:t>
      </w:r>
    </w:p>
    <w:p w14:paraId="7A7990FB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e) a origem e condição dos equipamentos entregues;</w:t>
      </w:r>
    </w:p>
    <w:p w14:paraId="24BBD423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f) os números de série dos aparelhos;</w:t>
      </w:r>
    </w:p>
    <w:p w14:paraId="54C60C5E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g) os diagnósticos realizados;</w:t>
      </w:r>
    </w:p>
    <w:p w14:paraId="4CD56131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>h) as razões pelas quais as sucessivas substituições não solucionaram definitivamente o problema.</w:t>
      </w:r>
    </w:p>
    <w:p w14:paraId="30FE75FC" w14:textId="77777777"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Requer-se, portanto, a </w:t>
      </w:r>
      <w:r>
        <w:rPr>
          <w:rStyle w:val="Forte"/>
          <w:rFonts w:ascii="Arial" w:hAnsi="Arial" w:cs="Arial"/>
        </w:rPr>
        <w:t>inversão do ônus da prova</w:t>
      </w:r>
      <w:r>
        <w:rPr>
          <w:rFonts w:ascii="Arial" w:hAnsi="Arial" w:cs="Arial"/>
        </w:rPr>
        <w:t>, nos termos do art. 6º, VIII, do CDC.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193709" w:rsidRPr="00193709" w:rsidRDefault="00AC4279" w:rsidP="00193709">
      <w:pPr>
        <w:pStyle w:val="Ttulo1"/>
        <w:spacing w:before="0" w:line="276" w:lineRule="auto"/>
        <w:ind w:firstLine="567"/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</w:rPr>
        <w:t xml:space="preserve">X) DOS PEDIDOS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Diante do exposto, requer: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a)</w:t>
      </w:r>
      <w:r>
        <w:rPr>
          <w:rFonts w:ascii="Arial" w:hAnsi="Arial" w:cs="Arial"/>
        </w:rPr>
        <w:t xml:space="preserve"> a concessão dos benefícios da </w:t>
      </w:r>
      <w:r>
        <w:rPr>
          <w:rStyle w:val="Forte"/>
          <w:rFonts w:ascii="Arial" w:hAnsi="Arial" w:cs="Arial"/>
        </w:rPr>
        <w:t xml:space="preserve">gratuidade da justiça</w:t>
      </w:r>
      <w:r>
        <w:rPr>
          <w:rFonts w:ascii="Arial" w:hAnsi="Arial" w:cs="Arial"/>
        </w:rPr>
        <w:t xml:space="preserve">, inclusive para fins de eventual recurso;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b)</w:t>
      </w:r>
      <w:r>
        <w:rPr>
          <w:rFonts w:ascii="Arial" w:hAnsi="Arial" w:cs="Arial"/>
        </w:rPr>
        <w:t xml:space="preserve"> a citação das Rés para comparecimento à audiência de conciliação e, querendo, apresentação de defesa;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c)</w:t>
      </w:r>
      <w:r>
        <w:rPr>
          <w:rFonts w:ascii="Arial" w:hAnsi="Arial" w:cs="Arial"/>
        </w:rPr>
        <w:t xml:space="preserve"> a inversão do ônus da prova, na forma do art. 6º, VIII, do CDC;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d)</w:t>
      </w:r>
      <w:r>
        <w:rPr>
          <w:rFonts w:ascii="Arial" w:hAnsi="Arial" w:cs="Arial"/>
        </w:rPr>
        <w:t xml:space="preserve"> a exibição, pelas Rés, de toda a documentação relativa às sucessivas trocas e atendimentos, incluindo ordens de serviço, protocolos, registros de assistência técnica, notas fiscais e identificação dos aparelhos (art. 396 do CPC);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e)</w:t>
      </w:r>
      <w:r>
        <w:rPr>
          <w:rFonts w:ascii="Arial" w:hAnsi="Arial" w:cs="Arial"/>
        </w:rPr>
        <w:t xml:space="preserve"> ao final, o reconhecimento da relação de consumo e da responsabilidade solidária das Rés (art. 18 do CDC), com a declaração da </w:t>
      </w:r>
      <w:r>
        <w:rPr>
          <w:rStyle w:val="Forte"/>
          <w:rFonts w:ascii="Arial" w:hAnsi="Arial" w:cs="Arial"/>
        </w:rPr>
        <w:t xml:space="preserve">resolução do contrato</w:t>
      </w:r>
      <w:r>
        <w:rPr>
          <w:rFonts w:ascii="Arial" w:hAnsi="Arial" w:cs="Arial"/>
        </w:rPr>
        <w:t xml:space="preserve"> de compra e venda, com fundamento no art. 18, §1º, II, do CDC;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f)</w:t>
      </w:r>
      <w:r>
        <w:rPr>
          <w:rFonts w:ascii="Arial" w:hAnsi="Arial" w:cs="Arial"/>
        </w:rPr>
        <w:t xml:space="preserve"> a condenação solidária das Rés à </w:t>
      </w:r>
      <w:r>
        <w:rPr>
          <w:rStyle w:val="Forte"/>
          <w:rFonts w:ascii="Arial" w:hAnsi="Arial" w:cs="Arial"/>
        </w:rPr>
        <w:t xml:space="preserve">restituição integral de R$ 3.438,90</w:t>
      </w:r>
      <w:r>
        <w:rPr>
          <w:rFonts w:ascii="Arial" w:hAnsi="Arial" w:cs="Arial"/>
        </w:rPr>
        <w:t xml:space="preserve">, sem abatimento pelo uso do produto, com correção monetária desde o desembolso (06/06/2025) e juros de mora desde a citação;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g)</w:t>
      </w:r>
      <w:r>
        <w:rPr>
          <w:rFonts w:ascii="Arial" w:hAnsi="Arial" w:cs="Arial"/>
        </w:rPr>
        <w:t xml:space="preserve"> a condenação das Rés a recolher, às suas expensas, o refrigerador CRM50MK que se encontra na residência da Autora, em data previamente agendada com a consumidora;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h)</w:t>
      </w:r>
      <w:r>
        <w:rPr>
          <w:rFonts w:ascii="Arial" w:hAnsi="Arial" w:cs="Arial"/>
        </w:rPr>
        <w:t xml:space="preserve"> a condenação solidária das Rés ao ressarcimento dos </w:t>
      </w:r>
      <w:r>
        <w:rPr>
          <w:rStyle w:val="Forte"/>
          <w:rFonts w:ascii="Arial" w:hAnsi="Arial" w:cs="Arial"/>
        </w:rPr>
        <w:t xml:space="preserve">danos materiais</w:t>
      </w:r>
      <w:r>
        <w:rPr>
          <w:rFonts w:ascii="Arial" w:hAnsi="Arial" w:cs="Arial"/>
        </w:rPr>
        <w:t xml:space="preserve">, no valor de R$ </w:t>
      </w:r>
      <w:r>
        <w:rPr>
          <w:rFonts w:ascii="Arial" w:hAnsi="Arial" w:cs="Arial"/>
          <w:b/>
          <w:bCs/>
          <w:shd w:val="clear" w:color="auto" w:fill="FFF200"/>
        </w:rPr>
        <w:t xml:space="preserve">[valor comprovado]</w:t>
      </w:r>
      <w:r>
        <w:rPr>
          <w:rFonts w:ascii="Arial" w:hAnsi="Arial" w:cs="Arial"/>
        </w:rPr>
        <w:t xml:space="preserve">, com correção monetária desde cada desembolso e juros de mora desde a citação </w:t>
      </w:r>
      <w:r>
        <w:rPr>
          <w:rFonts w:ascii="Arial" w:hAnsi="Arial" w:cs="Arial"/>
          <w:b/>
          <w:bCs/>
          <w:shd w:val="clear" w:color="auto" w:fill="FFF200"/>
        </w:rPr>
        <w:t xml:space="preserve">[excluir se não houver comprovantes]</w:t>
      </w:r>
      <w:r>
        <w:rPr>
          <w:rFonts w:ascii="Arial" w:hAnsi="Arial" w:cs="Arial"/>
        </w:rPr>
        <w:t xml:space="preserve">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i)</w:t>
      </w:r>
      <w:r>
        <w:rPr>
          <w:rFonts w:ascii="Arial" w:hAnsi="Arial" w:cs="Arial"/>
        </w:rPr>
        <w:t xml:space="preserve"> a condenação solidária das Rés ao pagamento de </w:t>
      </w:r>
      <w:r>
        <w:rPr>
          <w:rStyle w:val="Forte"/>
          <w:rFonts w:ascii="Arial" w:hAnsi="Arial" w:cs="Arial"/>
        </w:rPr>
        <w:t xml:space="preserve">indenização por danos morais</w:t>
      </w:r>
      <w:r>
        <w:rPr>
          <w:rFonts w:ascii="Arial" w:hAnsi="Arial" w:cs="Arial"/>
        </w:rPr>
        <w:t xml:space="preserve"> não inferior a R$ 10.000,00, ou em outro valor que Vossa Excelência entender adequado, com correção monetária desde o arbitramento (Súmula 362 do STJ) e juros de mora desde a citação;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j)</w:t>
      </w:r>
      <w:r>
        <w:rPr>
          <w:rFonts w:ascii="Arial" w:hAnsi="Arial" w:cs="Arial"/>
        </w:rPr>
        <w:t xml:space="preserve"> a produção de todos os meios de prova em direito admitidos, especialmente prova documental suplementar, depoimento pessoal e prova testemunhal;</w:t>
      </w:r>
    </w:p>
    <w:p w:rsidR="00D93385" w:rsidRPr="00E814BB" w:rsidRDefault="00D93385" w:rsidP="00316F81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l)</w:t>
      </w:r>
      <w:r>
        <w:rPr>
          <w:rFonts w:ascii="Arial" w:hAnsi="Arial" w:cs="Arial"/>
        </w:rPr>
        <w:t xml:space="preserve"> a condenação das Rés nas demais cominações legais cabíveis.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Dá-se à causa o valor de </w:t>
      </w:r>
      <w:r>
        <w:rPr>
          <w:rStyle w:val="Forte"/>
          <w:rFonts w:ascii="Arial" w:hAnsi="Arial" w:cs="Arial"/>
        </w:rPr>
        <w:t xml:space="preserve">R$ 18.438,90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shd w:val="clear" w:color="auto" w:fill="FFF200"/>
        </w:rPr>
        <w:t xml:space="preserve">[recalcular: R$ 3.438,90 + danos materiais comprovados + R$ 10.000,00; sem danos materiais, R$ 13.438,90]</w:t>
      </w:r>
      <w:r>
        <w:rPr>
          <w:rFonts w:ascii="Arial" w:hAnsi="Arial" w:cs="Arial"/>
        </w:rPr>
        <w:t xml:space="preserve">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Style w:val="Forte"/>
          <w:rFonts w:ascii="Arial" w:hAnsi="Arial" w:cs="Arial"/>
        </w:rPr>
        <w:t xml:space="preserve">Rol de documentos: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01 – Procuração, documento de identificação e comprovante de residência;]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02 – Declaração de hipossuficiência e prova de renda;]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03 – E-mail de confirmação do pedido Magalu nº 1441970456788957;]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04 – NF-e nº 000.496.852 (BUD Comércio de Eletrodomésticos Ltda.);]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05 – Reclamação e notificações do PROCON/ALEPI (atendimento nº 25.11.0023.001.00431-3);]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06 – Resposta da Whirlpool ao PROCON (03/12/2025);]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07 – NF-e nº 000.263.479 (Whirlpool – troca em garantia) e NF nº 005064874-1;]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08 – Fotografias do aparelho recuperado (arquivos originais);]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09 – Termo de Compromisso e Responsabilidade (PROCON, 03/03/2026);]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10 – Sentença homologatória e intimação (processo nº 0812504-87.2026.8.18.0140);]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11 – NF de entrega do refrigerador CRM50MK;]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12 – Conversa com o atendimento Consul e registros da assistência técnica;]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13 – Fotografias e vídeos do defeito atual;]</w:t>
      </w:r>
    </w:p>
    <w:p w:rsidR="00D93385" w:rsidRPr="00E814BB" w:rsidRDefault="00D93385" w:rsidP="004A3A2E">
      <w:pPr>
        <w:pStyle w:val="NormalWeb"/>
        <w:spacing w:before="0" w:beforeAutospacing="0" w:after="0" w:afterAutospacing="0" w:line="276" w:lineRule="auto"/>
        <w:ind w:firstLine="567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shd w:val="clear" w:color="auto" w:fill="FFF200"/>
        </w:rPr>
        <w:t xml:space="preserve">[Doc. 14 – Comprovantes das despesas (se mantido o pedido de danos materiais).]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14:paraId="61E5626C" w14:textId="77777777" w:rsidR="00D93385" w:rsidRPr="00E814BB" w:rsidRDefault="00D93385" w:rsidP="003F0F3E">
      <w:pPr>
        <w:pStyle w:val="NormalWeb"/>
        <w:spacing w:before="0" w:beforeAutospacing="0" w:after="0" w:afterAutospacing="0" w:line="276" w:lineRule="auto"/>
        <w:ind w:firstLine="567"/>
        <w:jc w:val="center"/>
        <w:rPr>
          <w:rFonts w:ascii="Arial" w:hAnsi="Arial" w:cs="Arial"/>
        </w:rPr>
      </w:pPr>
      <w:r>
        <w:rPr>
          <w:rFonts w:ascii="Arial" w:hAnsi="Arial" w:cs="Arial"/>
        </w:rPr>
        <w:t>Nestes termos,</w:t>
      </w:r>
    </w:p>
    <w:p w14:paraId="37FDBA27" w14:textId="77777777" w:rsidR="00D93385" w:rsidRPr="00E814BB" w:rsidRDefault="00D93385" w:rsidP="003F0F3E">
      <w:pPr>
        <w:pStyle w:val="NormalWeb"/>
        <w:spacing w:before="0" w:beforeAutospacing="0" w:after="0" w:afterAutospacing="0" w:line="276" w:lineRule="auto"/>
        <w:ind w:firstLine="567"/>
        <w:jc w:val="center"/>
        <w:rPr>
          <w:rFonts w:ascii="Arial" w:hAnsi="Arial" w:cs="Arial"/>
        </w:rPr>
      </w:pPr>
      <w:r>
        <w:rPr>
          <w:rFonts w:ascii="Arial" w:hAnsi="Arial" w:cs="Arial"/>
        </w:rPr>
        <w:t>Pede deferimento.</w:t>
      </w:r>
    </w:p>
    <w:p w14:paraId="7ABD2D9C" w14:textId="1EF3F238" w:rsidR="00D93385" w:rsidRPr="00E814BB" w:rsidRDefault="00D93385" w:rsidP="00316F81">
      <w:pPr>
        <w:spacing w:before="0" w:after="0" w:line="276" w:lineRule="auto"/>
        <w:ind w:firstLine="567"/>
        <w:jc w:val="both"/>
        <w:rPr>
          <w:rFonts w:ascii="Arial" w:hAnsi="Arial" w:cs="Arial"/>
        </w:rPr>
      </w:pPr>
    </w:p>
    <w:p w:rsidR="00D93385" w:rsidRPr="00E814BB" w:rsidRDefault="00D93385" w:rsidP="003F0F3E">
      <w:pPr>
        <w:pStyle w:val="NormalWeb"/>
        <w:spacing w:before="0" w:beforeAutospacing="0" w:after="0" w:afterAutospacing="0" w:line="276" w:lineRule="auto"/>
        <w:ind w:firstLine="567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Miguel Alves-PI, datado eletronicamente.</w:t>
      </w:r>
    </w:p>
    <w:p w14:paraId="2CCFA6C9" w14:textId="77777777" w:rsidR="00520367" w:rsidRPr="00E814BB" w:rsidRDefault="00520367" w:rsidP="00316F81">
      <w:pPr>
        <w:spacing w:before="0" w:after="0" w:line="276" w:lineRule="auto"/>
        <w:ind w:left="425" w:right="-37" w:firstLine="567"/>
        <w:jc w:val="both"/>
        <w:rPr>
          <w:rFonts w:ascii="Arial" w:eastAsia="Lora Medium" w:hAnsi="Arial" w:cs="Arial"/>
        </w:rPr>
      </w:pPr>
    </w:p>
    <w:p w14:paraId="2F0390AF" w14:textId="77777777" w:rsidR="00520367" w:rsidRPr="00E814BB" w:rsidRDefault="00520367" w:rsidP="00316F81">
      <w:pPr>
        <w:spacing w:before="0" w:after="0" w:line="276" w:lineRule="auto"/>
        <w:ind w:left="425" w:right="-37" w:firstLine="567"/>
        <w:jc w:val="both"/>
        <w:rPr>
          <w:rFonts w:ascii="Arial" w:eastAsia="Lora" w:hAnsi="Arial" w:cs="Arial"/>
        </w:rPr>
      </w:pPr>
    </w:p>
    <w:p w14:paraId="36D25CD2" w14:textId="77777777" w:rsidR="00520367" w:rsidRPr="00E814BB" w:rsidRDefault="00520367" w:rsidP="00316F81">
      <w:pPr>
        <w:spacing w:before="0" w:after="0" w:line="276" w:lineRule="auto"/>
        <w:ind w:left="425" w:right="-37" w:firstLine="567"/>
        <w:jc w:val="both"/>
        <w:rPr>
          <w:rFonts w:ascii="Arial" w:eastAsia="Lora" w:hAnsi="Arial" w:cs="Arial"/>
        </w:rPr>
      </w:pPr>
    </w:p>
    <w:p w14:paraId="3F3FB690" w14:textId="77777777" w:rsidR="00520367" w:rsidRPr="00E814BB" w:rsidRDefault="00520367" w:rsidP="00316F81">
      <w:pPr>
        <w:spacing w:before="0" w:after="0" w:line="276" w:lineRule="auto"/>
        <w:ind w:left="425" w:right="-37" w:firstLine="567"/>
        <w:jc w:val="both"/>
        <w:rPr>
          <w:rFonts w:ascii="Arial" w:eastAsia="Lora" w:hAnsi="Arial" w:cs="Arial"/>
          <w:b/>
          <w:bCs/>
        </w:rPr>
      </w:pPr>
    </w:p>
    <w:p w14:paraId="3808D65F" w14:textId="77777777" w:rsidR="00520367" w:rsidRPr="00E814BB" w:rsidRDefault="005E51F7" w:rsidP="003F0F3E">
      <w:pPr>
        <w:spacing w:before="0" w:after="0" w:line="276" w:lineRule="auto"/>
        <w:ind w:right="-37"/>
        <w:jc w:val="center"/>
        <w:rPr>
          <w:rFonts w:ascii="Arial" w:eastAsia="Lora" w:hAnsi="Arial" w:cs="Arial"/>
          <w:b/>
          <w:bCs/>
        </w:rPr>
      </w:pPr>
      <w:r>
        <w:rPr>
          <w:rFonts w:ascii="Arial" w:eastAsia="Lora" w:hAnsi="Arial" w:cs="Arial"/>
          <w:b/>
          <w:bCs/>
        </w:rPr>
        <w:t>ANTÔNIO DE PÁDUA SANTOS NETO</w:t>
      </w:r>
    </w:p>
    <w:p w14:paraId="4614D001" w14:textId="337CE88A" w:rsidR="00520367" w:rsidRPr="00E814BB" w:rsidRDefault="003F0F3E" w:rsidP="003F0F3E">
      <w:pPr>
        <w:spacing w:before="0" w:after="0" w:line="276" w:lineRule="auto"/>
        <w:ind w:left="425" w:right="-37" w:firstLine="567"/>
        <w:rPr>
          <w:rFonts w:ascii="Arial" w:eastAsia="Lora" w:hAnsi="Arial" w:cs="Arial"/>
          <w:b/>
          <w:bCs/>
        </w:rPr>
      </w:pPr>
      <w:r>
        <w:rPr>
          <w:rFonts w:ascii="Arial" w:eastAsia="Lora" w:hAnsi="Arial" w:cs="Arial"/>
          <w:b/>
          <w:bCs/>
        </w:rPr>
        <w:t xml:space="preserve">                                          ADVOGADO</w:t>
      </w:r>
    </w:p>
    <w:p w14:paraId="277C99DF" w14:textId="5CE677E2" w:rsidR="00520367" w:rsidRPr="00E814BB" w:rsidRDefault="003F0F3E" w:rsidP="003F0F3E">
      <w:pPr>
        <w:spacing w:before="0" w:after="0" w:line="276" w:lineRule="auto"/>
        <w:ind w:left="425" w:right="-37" w:firstLine="567"/>
        <w:rPr>
          <w:rFonts w:ascii="Arial" w:eastAsia="Lora" w:hAnsi="Arial" w:cs="Arial"/>
          <w:b/>
          <w:bCs/>
        </w:rPr>
      </w:pPr>
      <w:r>
        <w:rPr>
          <w:rFonts w:ascii="Arial" w:eastAsia="Lora" w:hAnsi="Arial" w:cs="Arial"/>
          <w:b/>
          <w:bCs/>
        </w:rPr>
        <w:t xml:space="preserve">                                        OAB/PI 21.320</w:t>
      </w:r>
    </w:p>
    <w:sectPr w:rsidR="00520367" w:rsidRPr="00E814BB">
      <w:headerReference w:type="default" r:id="rId12"/>
      <w:footerReference w:type="default" r:id="rId13"/>
      <w:pgSz w:w="12240" w:h="15840"/>
      <w:pgMar w:top="1440" w:right="1474" w:bottom="1440" w:left="17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532DEB" w14:textId="77777777" w:rsidR="0039161F" w:rsidRDefault="0039161F">
      <w:pPr>
        <w:spacing w:before="0" w:after="0"/>
      </w:pPr>
      <w:r>
        <w:separator/>
      </w:r>
    </w:p>
  </w:endnote>
  <w:endnote w:type="continuationSeparator" w:id="0">
    <w:p w14:paraId="3B4E05AC" w14:textId="77777777" w:rsidR="0039161F" w:rsidRDefault="0039161F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1B5CE30-4975-4179-9564-9218275FF754}"/>
    <w:embedBold r:id="rId2" w:fontKey="{0F341771-5B78-4199-A381-1E4D15C25F59}"/>
    <w:embedItalic r:id="rId3" w:fontKey="{F0ED08CB-D5A1-4E13-ADA5-789A434B95E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23A29B1-7997-4D68-BAC2-852ABFE8E625}"/>
    <w:embedBold r:id="rId5" w:fontKey="{EAC3AB2C-B8F5-4A52-96B4-03D01725ACFC}"/>
    <w:embedItalic r:id="rId6" w:fontKey="{52945225-FAFF-4B00-9A12-0F50D1F1C94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7" w:fontKey="{C5B9E0BA-DC1F-4209-AAD1-B30C3C1FD351}"/>
    <w:embedBold r:id="rId8" w:fontKey="{77F01493-74C5-4BF3-A040-CA785B2C3C63}"/>
    <w:embedItalic r:id="rId9" w:fontKey="{4A80AC02-9BC2-4A84-BAB3-3D8B5AB1033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0" w:fontKey="{C5BC0B75-9746-4AA8-A85D-30849B45693D}"/>
  </w:font>
  <w:font w:name="Lora">
    <w:charset w:val="00"/>
    <w:family w:val="auto"/>
    <w:pitch w:val="default"/>
    <w:embedRegular r:id="rId11" w:fontKey="{3782C606-5492-4553-AF94-6A3616598996}"/>
    <w:embedBold r:id="rId12" w:fontKey="{5C15AD6D-FA44-4A7A-A628-908B3E4FEF25}"/>
    <w:embedBoldItalic r:id="rId13" w:fontKey="{291A1F7C-39C1-4D24-A990-021371BCB186}"/>
  </w:font>
  <w:font w:name="Lora Medium">
    <w:charset w:val="00"/>
    <w:family w:val="auto"/>
    <w:pitch w:val="default"/>
    <w:embedRegular r:id="rId14" w:fontKey="{E318D2BC-68D2-4A41-9DA0-89A255AA3921}"/>
    <w:embedItalic r:id="rId15" w:fontKey="{8D2113DC-D723-46BD-ACB0-12DB6C49F4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995C31" w14:textId="77777777" w:rsidR="00520367" w:rsidRDefault="0039161F">
    <w:pPr>
      <w:spacing w:before="0" w:after="0" w:line="276" w:lineRule="auto"/>
      <w:rPr>
        <w:rFonts w:ascii="Lora" w:eastAsia="Lora" w:hAnsi="Lora" w:cs="Lora"/>
        <w:b/>
        <w:bCs/>
        <w:i/>
        <w:iCs/>
        <w:color w:val="123BB8"/>
        <w:sz w:val="18"/>
        <w:szCs w:val="18"/>
      </w:rPr>
    </w:pPr>
    <w:r>
      <w:pict w14:anchorId="60021F5C">
        <v:rect id="_x0000_i1026" style="width:0;height:1.5pt" o:hralign="center" o:hrstd="t" o:hr="t" fillcolor="#a0a0a0" stroked="f"/>
      </w:pict>
    </w:r>
    <w:r w:rsidR="005E51F7">
      <w:rPr>
        <w:rFonts w:ascii="Lora" w:eastAsia="Lora" w:hAnsi="Lora" w:cs="Lora"/>
        <w:b/>
        <w:bCs/>
        <w:i/>
        <w:iCs/>
        <w:color w:val="123BB8"/>
        <w:sz w:val="18"/>
        <w:szCs w:val="18"/>
      </w:rPr>
      <w:t xml:space="preserve">  </w:t>
    </w:r>
  </w:p>
  <w:p w14:paraId="787296E5" w14:textId="77777777" w:rsidR="00520367" w:rsidRDefault="005E51F7">
    <w:pPr>
      <w:spacing w:before="0" w:after="0" w:line="276" w:lineRule="auto"/>
      <w:jc w:val="center"/>
    </w:pPr>
    <w:r>
      <w:rPr>
        <w:rFonts w:ascii="Lora" w:eastAsia="Lora" w:hAnsi="Lora" w:cs="Lora"/>
        <w:b/>
        <w:bCs/>
        <w:i/>
        <w:iCs/>
        <w:color w:val="123BB8"/>
        <w:sz w:val="18"/>
        <w:szCs w:val="18"/>
      </w:rPr>
      <w:t xml:space="preserve">Rua Rio Grande do Sul, 1641, </w:t>
    </w:r>
    <w:proofErr w:type="spellStart"/>
    <w:r>
      <w:rPr>
        <w:rFonts w:ascii="Lora" w:eastAsia="Lora" w:hAnsi="Lora" w:cs="Lora"/>
        <w:b/>
        <w:bCs/>
        <w:i/>
        <w:iCs/>
        <w:color w:val="123BB8"/>
        <w:sz w:val="18"/>
        <w:szCs w:val="18"/>
      </w:rPr>
      <w:t>bairro</w:t>
    </w:r>
    <w:proofErr w:type="spellEnd"/>
    <w:r>
      <w:rPr>
        <w:rFonts w:ascii="Lora" w:eastAsia="Lora" w:hAnsi="Lora" w:cs="Lora"/>
        <w:b/>
        <w:bCs/>
        <w:i/>
        <w:iCs/>
        <w:color w:val="123BB8"/>
        <w:sz w:val="18"/>
        <w:szCs w:val="18"/>
      </w:rPr>
      <w:t xml:space="preserve">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1BC75A" w14:textId="77777777" w:rsidR="0039161F" w:rsidRDefault="0039161F">
      <w:pPr>
        <w:spacing w:before="0" w:after="0"/>
      </w:pPr>
      <w:r>
        <w:separator/>
      </w:r>
    </w:p>
  </w:footnote>
  <w:footnote w:type="continuationSeparator" w:id="0">
    <w:p w14:paraId="519913A5" w14:textId="77777777" w:rsidR="0039161F" w:rsidRDefault="0039161F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094B96" w14:textId="77777777" w:rsidR="00520367" w:rsidRDefault="005E51F7">
    <w:pPr>
      <w:spacing w:before="0" w:after="0" w:line="276" w:lineRule="auto"/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noProof/>
        <w:sz w:val="22"/>
        <w:szCs w:val="22"/>
      </w:rPr>
      <w:drawing>
        <wp:inline distT="114300" distB="114300" distL="114300" distR="114300" wp14:anchorId="30EA3D8E" wp14:editId="25484661">
          <wp:extent cx="2338439" cy="108108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26400" r="1599" b="28130"/>
                  <a:stretch>
                    <a:fillRect/>
                  </a:stretch>
                </pic:blipFill>
                <pic:spPr>
                  <a:xfrm>
                    <a:off x="0" y="0"/>
                    <a:ext cx="2338439" cy="10810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6A5944E" w14:textId="77777777" w:rsidR="00520367" w:rsidRDefault="0039161F">
    <w:pPr>
      <w:spacing w:before="0" w:after="0"/>
      <w:jc w:val="center"/>
    </w:pPr>
    <w:r>
      <w:pict w14:anchorId="60C0D040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42129D"/>
    <w:multiLevelType w:val="multilevel"/>
    <w:tmpl w:val="AA680470"/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1A3E7F31"/>
    <w:multiLevelType w:val="multilevel"/>
    <w:tmpl w:val="C48E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33C71"/>
    <w:multiLevelType w:val="hybridMultilevel"/>
    <w:tmpl w:val="63FC1D6C"/>
    <w:lvl w:ilvl="0" w:tplc="71FAFE5A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27F90"/>
    <w:multiLevelType w:val="multilevel"/>
    <w:tmpl w:val="E7FEAC1C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Arial" w:eastAsia="Cambria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2169C"/>
    <w:multiLevelType w:val="multilevel"/>
    <w:tmpl w:val="2C0E88E2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1252DF9"/>
    <w:multiLevelType w:val="multilevel"/>
    <w:tmpl w:val="B8923AC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3C312F"/>
    <w:multiLevelType w:val="multilevel"/>
    <w:tmpl w:val="3FF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367"/>
    <w:rsid w:val="00193709"/>
    <w:rsid w:val="001F10A9"/>
    <w:rsid w:val="003000FE"/>
    <w:rsid w:val="00316F81"/>
    <w:rsid w:val="00330D21"/>
    <w:rsid w:val="0039161F"/>
    <w:rsid w:val="003D3E5A"/>
    <w:rsid w:val="003F0F3E"/>
    <w:rsid w:val="00430BC0"/>
    <w:rsid w:val="004A3A2E"/>
    <w:rsid w:val="00520367"/>
    <w:rsid w:val="0054211E"/>
    <w:rsid w:val="005E51F7"/>
    <w:rsid w:val="007C5701"/>
    <w:rsid w:val="008168B6"/>
    <w:rsid w:val="00876140"/>
    <w:rsid w:val="008F560C"/>
    <w:rsid w:val="009737A9"/>
    <w:rsid w:val="009808FB"/>
    <w:rsid w:val="00997DF2"/>
    <w:rsid w:val="00A264EA"/>
    <w:rsid w:val="00AC4279"/>
    <w:rsid w:val="00D93385"/>
    <w:rsid w:val="00E8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D7EC2"/>
  <w15:docId w15:val="{2E3ABA41-4042-488F-A72E-59F90D987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mbria" w:eastAsia="Cambria" w:hAnsi="Cambria" w:cs="Cambria"/>
        <w:sz w:val="24"/>
        <w:szCs w:val="24"/>
        <w:lang w:val="en" w:eastAsia="pt-BR" w:bidi="ar-SA"/>
      </w:rPr>
    </w:rPrDefault>
    <w:pPrDefault>
      <w:pPr>
        <w:spacing w:before="180" w:after="1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35B8A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i/>
      <w:iCs/>
      <w:color w:val="4F81BD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240"/>
      <w:jc w:val="center"/>
    </w:pPr>
    <w:rPr>
      <w:rFonts w:ascii="Calibri" w:eastAsia="Calibri" w:hAnsi="Calibri" w:cs="Calibri"/>
      <w:b/>
      <w:bCs/>
      <w:color w:val="335B8A"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mpact">
    <w:name w:val="Compact"/>
    <w:basedOn w:val="Normal"/>
    <w:qFormat/>
    <w:pPr>
      <w:spacing w:before="36" w:after="36"/>
    </w:pPr>
  </w:style>
  <w:style w:type="paragraph" w:customStyle="1" w:styleId="Authors">
    <w:name w:val="Authors"/>
    <w:next w:val="Normal"/>
    <w:qFormat/>
    <w:pPr>
      <w:keepNext/>
      <w:keepLines/>
      <w:jc w:val="center"/>
    </w:pPr>
  </w:style>
  <w:style w:type="paragraph" w:styleId="Data">
    <w:name w:val="Date"/>
    <w:next w:val="Normal"/>
    <w:qFormat/>
    <w:pPr>
      <w:keepNext/>
      <w:keepLines/>
      <w:jc w:val="center"/>
    </w:pPr>
  </w:style>
  <w:style w:type="paragraph" w:customStyle="1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orpodetexto">
    <w:name w:val="Body Text"/>
    <w:basedOn w:val="Normal"/>
    <w:pPr>
      <w:spacing w:after="120"/>
    </w:pPr>
  </w:style>
  <w:style w:type="paragraph" w:customStyle="1" w:styleId="TableCaption">
    <w:name w:val="Table Caption"/>
    <w:basedOn w:val="Normal"/>
    <w:pPr>
      <w:spacing w:before="0" w:after="120"/>
    </w:pPr>
    <w:rPr>
      <w:i/>
    </w:rPr>
  </w:style>
  <w:style w:type="paragraph" w:customStyle="1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Fontepargpadro"/>
    <w:link w:val="ImageCaption"/>
  </w:style>
  <w:style w:type="character" w:customStyle="1" w:styleId="VerbatimChar">
    <w:name w:val="Verbatim Char"/>
    <w:basedOn w:val="BodyTextChar"/>
    <w:link w:val="SourceCode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customStyle="1" w:styleId="a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elanormal"/>
    <w:tblPr>
      <w:tblStyleRowBandSize w:val="1"/>
      <w:tblStyleColBandSize w:val="1"/>
    </w:tblPr>
  </w:style>
  <w:style w:type="table" w:customStyle="1" w:styleId="a7">
    <w:basedOn w:val="Tabelanormal"/>
    <w:tblPr>
      <w:tblStyleRowBandSize w:val="1"/>
      <w:tblStyleColBandSize w:val="1"/>
    </w:tblPr>
  </w:style>
  <w:style w:type="table" w:customStyle="1" w:styleId="a8">
    <w:basedOn w:val="Tabela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D9338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/>
    </w:rPr>
  </w:style>
  <w:style w:type="character" w:styleId="Forte">
    <w:name w:val="Strong"/>
    <w:basedOn w:val="Fontepargpadro"/>
    <w:uiPriority w:val="22"/>
    <w:qFormat/>
    <w:rsid w:val="00D93385"/>
    <w:rPr>
      <w:b/>
      <w:bCs/>
    </w:rPr>
  </w:style>
  <w:style w:type="character" w:styleId="Hyperlink">
    <w:name w:val="Hyperlink"/>
    <w:basedOn w:val="Fontepargpadro"/>
    <w:uiPriority w:val="99"/>
    <w:semiHidden/>
    <w:unhideWhenUsed/>
    <w:rsid w:val="00D9338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E814BB"/>
    <w:pPr>
      <w:ind w:left="720"/>
      <w:contextualSpacing/>
    </w:pPr>
  </w:style>
  <w:style w:type="table" w:styleId="Tabelacomgrade">
    <w:name w:val="Table Grid"/>
    <w:basedOn w:val="Tabelanormal"/>
    <w:uiPriority w:val="39"/>
    <w:rsid w:val="009808FB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06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dkPEMWk/by1g+95nOEaxd+klVA==">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2956</Words>
  <Characters>15964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M.Christyna Santos</dc:creator>
  <cp:lastModifiedBy>M.Christyna Santos</cp:lastModifiedBy>
  <cp:revision>2</cp:revision>
  <dcterms:created xsi:type="dcterms:W3CDTF">2026-10-10T23:31:00Z</dcterms:created>
  <dcterms:modified xsi:type="dcterms:W3CDTF">2026-10-10T23:31:00Z</dcterms:modified>
</cp:coreProperties>
</file>