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="360"/>
        <w:jc w:val="both"/>
      </w:pPr>
      <w:r>
        <w:rPr>
          <w:rFonts w:ascii="Lora" w:cs="Lora" w:eastAsia="Lora" w:hAnsi="Lora"/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rFonts w:ascii="Lora" w:cs="Lora" w:eastAsia="Lora" w:hAnsi="Lora"/>
          <w:b/>
          <w:bCs/>
        </w:rPr>
        <w:t xml:space="preserve">FRANCISCO BERNARDO SOUSA SANTOS</w:t>
      </w:r>
      <w:r>
        <w:rPr/>
        <w:t xml:space="preserve">, brasileiro, divorciado, professor, nascido em 20/08/1979, inscrito no CPF sob o nº 857.729.763-20, residente e domiciliado na Rua Antônio Dias, s/n, Bairro Beira-Rio, Miguel Alves-PI, CEP 64.130-000,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rFonts w:ascii="Lora" w:cs="Lora" w:eastAsia="Lora" w:hAnsi="Lora"/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rFonts w:ascii="Lora" w:cs="Lora" w:eastAsia="Lora" w:hAnsi="Lora"/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rFonts w:ascii="Lora" w:cs="Lora" w:eastAsia="Lora" w:hAnsi="Lora"/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Preliminares.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justiça gratuita:</w:t>
      </w:r>
    </w:p>
    <w:p>
      <w:pPr>
        <w:spacing w:after="60" w:line="360"/>
        <w:ind w:firstLine="850"/>
        <w:jc w:val="both"/>
      </w:pPr>
      <w:r>
        <w:rPr/>
        <w:t xml:space="preserve">O Requerente solicita que lhe sejam concedidos os benefícios da gratuidade da justiça, nos termos do art. 98 e seguintes do CPC, combinado com a Lei nº 1.060/50, uma vez que não possui condições de arcar com as despesas processuais sem prejuízo do seu sustento e do de sua família, por ser hipossuficiente economicamente.</w:t>
      </w:r>
    </w:p>
    <w:p>
      <w:pPr>
        <w:spacing w:after="60" w:line="360"/>
        <w:ind w:firstLine="850"/>
        <w:jc w:val="both"/>
      </w:pPr>
      <w:r>
        <w:rPr/>
        <w:t xml:space="preserve">Solicita, ainda, que o benefício abranja todos os atos do processo.</w:t>
      </w:r>
    </w:p>
    <w:p>
      <w:pPr>
        <w:spacing w:after="60" w:line="360"/>
        <w:ind w:firstLine="850"/>
        <w:jc w:val="both"/>
      </w:pPr>
      <w:r>
        <w:rPr/>
        <w:t xml:space="preserve">Para tanto, na análise de provas da situação financeira, constata-se que o Autor está em situação de superendividamento, de modo que as dívidas superam a remuneração percebida. A própria natureza da presente ação, com pedido de repactuação de dívidas, torna evidente a hipossuficiência do Autor. Nesse sentido: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JUSTIÇA GRATUITA. PESSOA NATURAL. PROVA SUFICIENTE. SUPERENDIVIDAMENTO. Recurso interposto contra decisão que indeferiu a gratuidade da justiça, no processamento da petição inicial. Na forma do artigo 98 do Código de Processo Civil, a pessoa natural ou jurídica com insuficiência de recursos para pagar as custas, as despesas processuais e os honorários advocatícios tem direito à gratuidade da justiça. No caso dos autos, não há elementos que invalidem a presunção de hipossuficiência financeira. </w:t>
      </w:r>
      <w:r>
        <w:rPr>
          <w:sz w:val="18"/>
          <w:szCs w:val="18"/>
          <w:rFonts w:ascii="Lora" w:cs="Lora" w:eastAsia="Lora" w:hAnsi="Lora"/>
          <w:b/>
          <w:bCs/>
        </w:rPr>
        <w:t xml:space="preserve">Não se exige o estado de miséria absoluta para a concessão dos benefícios.</w:t>
      </w:r>
      <w:r>
        <w:rPr>
          <w:sz w:val="18"/>
          <w:szCs w:val="18"/>
        </w:rPr>
        <w:t xml:space="preserve"> Na análise de provas da situação financeira, até o momento disponível nos autos, constata-se que o autor está em situação superendividamento. </w:t>
      </w:r>
      <w:r>
        <w:rPr>
          <w:sz w:val="18"/>
          <w:szCs w:val="18"/>
          <w:rFonts w:ascii="Lora" w:cs="Lora" w:eastAsia="Lora" w:hAnsi="Lora"/>
          <w:b/>
          <w:bCs/>
        </w:rPr>
        <w:t xml:space="preserve">Dívidas que superam a remuneração percebida. Pedido de repactuação de dívidas que torna evidente a hipossuficiência do autor.</w:t>
      </w:r>
      <w:r>
        <w:rPr>
          <w:sz w:val="18"/>
          <w:szCs w:val="18"/>
        </w:rPr>
        <w:t xml:space="preserve"> Precedentes do Tribunal de Justiça de São Paulo. DECISÃO REFORMADA. AGRAVO PROVIDO.” (TJ-SP – AI: 2259685-51.2022.8.26.0000, Relator: Alexandre David Malfatti, 12ª Câmara de Direito Privado, j. 09/11/2022, p. 09/11/2022)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“AGRAVO DE INSTRUMENTO. ‘AÇÃO REVISIONAL DE CONTRATOS DE EMPRÉSTIMO C/C OBRIGAÇÃO DE FAZER POR SUPERENDIVIDAMENTO C/C TUTELA DE URGÊNCIA’. GRATUIDADE DA JUSTIÇA. DECISÃO. INDEFERIMENTO. RECURSO DA AUTORA. ACOLHIMENTO. ELEMENTOS CARREADOS AO PROCESSO QUE DEMONSTRAM A ALEGADA HIPOSSUFICIÊNCIA FINANCEIRA (CPC, ARTS. 98 E 99; CF/1988, ART. 5º, LXXIV). </w:t>
      </w:r>
      <w:r>
        <w:rPr>
          <w:sz w:val="18"/>
          <w:szCs w:val="18"/>
          <w:rFonts w:ascii="Lora" w:cs="Lora" w:eastAsia="Lora" w:hAnsi="Lora"/>
          <w:b/>
          <w:bCs/>
        </w:rPr>
        <w:t xml:space="preserve">EXISTÊNCIA DE DÍVIDAS QUE, NO CASO, COMPROMETEM A ALTA RENDA MENSAL AUFERIDA PELA AUTORA, GERANDO ATÉ MESMO DEFICIT.</w:t>
      </w:r>
      <w:r>
        <w:rPr>
          <w:sz w:val="18"/>
          <w:szCs w:val="18"/>
        </w:rPr>
        <w:t xml:space="preserve"> PRECEDENTES. APARENTE SITUAÇÃO DE SUPERENDIVIDAMENTO. BENEFÍCIO CONCEDIDO. DECISÃO REFORMADA. AGRAVO DE INSTRUMENTO CONHECIDO E PROVIDO.” (TJ-PR – AI: 0046282-46.2021.8.16.0000, Tomazina, Relator: Des. João Antônio de Marchi, 14ª Câmara Cível, j. 21/03/2022, p. 21/03/2022)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Da audiência de conciliação:</w:t>
      </w:r>
    </w:p>
    <w:p>
      <w:pPr>
        <w:spacing w:after="60" w:line="360"/>
        <w:ind w:firstLine="850"/>
        <w:jc w:val="both"/>
      </w:pPr>
      <w:r>
        <w:rPr/>
        <w:t xml:space="preserve">O Autor manifesta interesse na realização da audiência de conciliação global prevista no art. 104-A do Código de Defesa do Consumidor e no art. 319, VII, do Código de Processo Civil, preferencialmente por videoconferência.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competência:</w:t>
      </w:r>
    </w:p>
    <w:p>
      <w:pPr>
        <w:spacing w:after="60" w:line="360"/>
        <w:ind w:firstLine="850"/>
        <w:jc w:val="both"/>
      </w:pPr>
      <w:r>
        <w:rPr/>
        <w:t xml:space="preserve">A demanda decorre de relação de consumo, e o Autor reside em </w:t>
      </w:r>
      <w:r>
        <w:rPr>
          <w:rFonts w:ascii="Lora" w:cs="Lora" w:eastAsia="Lora" w:hAnsi="Lora"/>
          <w:b/>
          <w:bCs/>
        </w:rPr>
        <w:t xml:space="preserve">Miguel Alves/PI</w:t>
      </w:r>
      <w:r>
        <w:rPr/>
        <w:t xml:space="preserve">. Nos termos do art. 101, I, do Código de Defesa do Consumidor, é competente o Juízo da Comarca de Miguel Alves para o processamento e julgamento da presente demanda.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rFonts w:ascii="Lora" w:cs="Lora" w:eastAsia="Lora" w:hAnsi="Lora"/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rFonts w:ascii="Lora" w:cs="Lora" w:eastAsia="Lora" w:hAnsi="Lora"/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rFonts w:ascii="Lora" w:cs="Lora" w:eastAsia="Lora" w:hAnsi="Lora"/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rFonts w:ascii="Lora" w:cs="Lora" w:eastAsia="Lora" w:hAnsi="Lora"/>
          <w:b/>
          <w:bCs/>
        </w:rPr>
        <w:t xml:space="preserve">R$ 3.348,97</w:t>
      </w:r>
      <w:r>
        <w:rPr/>
        <w:t xml:space="preserve">. A remuneração líquida dos dois vínculos, sobre a qual incidem os consignados, é, portanto, de </w:t>
      </w:r>
      <w:r>
        <w:rPr>
          <w:rFonts w:ascii="Lora" w:cs="Lora" w:eastAsia="Lora" w:hAnsi="Lora"/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rFonts w:ascii="Lora" w:cs="Lora" w:eastAsia="Lora" w:hAnsi="Lora"/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família, além da aquisição de um imóvel e das respectivas obras, pagas à vista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Segundo o próprio aplicativo do Banco do Brasil, o Autor mantém com essa instituição </w:t>
      </w:r>
      <w:r>
        <w:rPr>
          <w:rFonts w:ascii="Lora" w:cs="Lora" w:eastAsia="Lora" w:hAnsi="Lora"/>
          <w:b/>
          <w:bCs/>
        </w:rPr>
        <w:t xml:space="preserve">onze contratos ativos</w:t>
      </w:r>
      <w:r>
        <w:rPr/>
        <w:t xml:space="preserve">, que somam </w:t>
      </w:r>
      <w:r>
        <w:rPr>
          <w:rFonts w:ascii="Lora" w:cs="Lora" w:eastAsia="Lora" w:hAnsi="Lora"/>
          <w:b/>
          <w:bCs/>
        </w:rPr>
        <w:t xml:space="preserve">R$ 345.206,06</w:t>
      </w:r>
      <w:r>
        <w:rPr/>
        <w:t xml:space="preserve"> em valores liberados: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nº 166175821, de 26/09/2024: R$ 46.000,00, em 96 parcelas de R$ 1.137,45 (juros de 2,00%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nº 169916342, de 03/12/2024: R$ 45.000,00, em 96 parcelas de R$ 1.122,58 (2,04% a.m.), descontado na folha de União até abril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nº 179103613, de 16/04/2025: R$ 20.000,00, em 120 parcelas de R$ 644,95 (2,35% a.m.; CET de 3,06%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nº 180848571 (“BB Crédito Salário”), de 14/05/2025: R$ 11.000,00, em 72 parcelas de R$ 735,60, com juros de </w:t>
      </w:r>
      <w:r>
        <w:rPr>
          <w:rFonts w:ascii="Lora" w:cs="Lora" w:eastAsia="Lora" w:hAnsi="Lora"/>
          <w:b/>
          <w:bCs/>
        </w:rPr>
        <w:t xml:space="preserve">4,94% a.m.</w:t>
      </w:r>
      <w:r>
        <w:rPr/>
        <w:t xml:space="preserve"> e </w:t>
      </w:r>
      <w:r>
        <w:rPr>
          <w:rFonts w:ascii="Lora" w:cs="Lora" w:eastAsia="Lora" w:hAnsi="Lora"/>
          <w:b/>
          <w:bCs/>
        </w:rPr>
        <w:t xml:space="preserve">CET de 81,53% ao ano</w:t>
      </w:r>
      <w:r>
        <w:rPr/>
        <w:t xml:space="preserve">, debitado em conta corrente;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nº 204465045, de 03/03/2026: R$ 7.200,00, em 120 parcelas de R$ 241,37 (2,40% a.m.; CET de 3,25%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nº 206541263 (“BB Renovação Consignação”), de 09/03/2026: </w:t>
      </w:r>
      <w:r>
        <w:rPr>
          <w:rFonts w:ascii="Lora" w:cs="Lora" w:eastAsia="Lora" w:hAnsi="Lora"/>
          <w:b/>
          <w:bCs/>
        </w:rPr>
        <w:t xml:space="preserve">R$ 188.859,35</w:t>
      </w:r>
      <w:r>
        <w:rPr/>
        <w:t xml:space="preserve">, em 120 parcelas de R$ 4.014,58 (1,90%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nº 208660618, de 31/03/2026: R$ 5.300,00, em 120 parcelas de R$ 140,35 (2,40% a.m.), descontado na folha de Miguel Alves;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quatro antecipações de 13º salário (nº 213871312, nº 213871664, nº 213871665 e uma quarta operação), </w:t>
      </w:r>
      <w:r>
        <w:rPr>
          <w:rFonts w:ascii="Lora" w:cs="Lora" w:eastAsia="Lora" w:hAnsi="Lora"/>
          <w:b/>
          <w:bCs/>
        </w:rPr>
        <w:t xml:space="preserve">todas contratadas no mesmo dia, 26/06/2026</w:t>
      </w:r>
      <w:r>
        <w:rPr/>
        <w:t xml:space="preserve">, que somam R$ 21.846,71 liberados e </w:t>
      </w:r>
      <w:r>
        <w:rPr>
          <w:rFonts w:ascii="Lora" w:cs="Lora" w:eastAsia="Lora" w:hAnsi="Lora"/>
          <w:b/>
          <w:bCs/>
        </w:rPr>
        <w:t xml:space="preserve">R$ 25.411,74</w:t>
      </w:r>
      <w:r>
        <w:rPr/>
        <w:t xml:space="preserve"> a pagar em parcela única, com juros de 3,92% a.m. e CET de até 67,53% ao ano. Três delas, que somam R$ 21.646,35, venceram em setembro de 2026, antes mesmo do pagamento do 13º salário que lhes serviria de garantia.</w:t>
      </w:r>
    </w:p>
    <w:p>
      <w:pPr>
        <w:spacing w:after="60" w:line="360"/>
        <w:ind w:firstLine="850"/>
        <w:jc w:val="both"/>
      </w:pPr>
      <w:r>
        <w:rPr/>
        <w:t xml:space="preserve">Com o </w:t>
      </w:r>
      <w:r>
        <w:rPr>
          <w:rFonts w:ascii="Lora" w:cs="Lora" w:eastAsia="Lora" w:hAnsi="Lora"/>
          <w:b/>
          <w:bCs/>
        </w:rPr>
        <w:t xml:space="preserve">Bradesco</w:t>
      </w:r>
      <w:r>
        <w:rPr/>
        <w:t xml:space="preserve">, o Autor mantém: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o consignado averbado na folha de União desde maio de 2026 (CDC CONSIG. BRADESCO-I),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 mensais, cujo contrato não está disponível ao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os contratos nº 503906781 e nº 504307147, celebrados na agência de Miguel Alves em 120 parcelas (R$ 641,28 e R$ 3.392,75, total de </w:t>
      </w:r>
      <w:r>
        <w:rPr>
          <w:rFonts w:ascii="Lora" w:cs="Lora" w:eastAsia="Lora" w:hAnsi="Lora"/>
          <w:b/>
          <w:bCs/>
        </w:rPr>
        <w:t xml:space="preserve">R$ 4.034,03</w:t>
      </w:r>
      <w:r>
        <w:rPr/>
        <w:t xml:space="preserve"> mensais), que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rFonts w:ascii="Lora" w:cs="Lora" w:eastAsia="Lora" w:hAnsi="Lora"/>
          <w:b/>
          <w:bCs/>
        </w:rPr>
        <w:t xml:space="preserve">“OPERAÇÕES VENCIDAS”</w:t>
      </w:r>
      <w:r>
        <w:rPr/>
        <w:t xml:space="preserve"> passou de </w:t>
      </w:r>
      <w:r>
        <w:rPr>
          <w:rFonts w:ascii="Lora" w:cs="Lora" w:eastAsia="Lora" w:hAnsi="Lora"/>
          <w:b/>
          <w:bCs/>
        </w:rPr>
        <w:t xml:space="preserve">R$ 73.453,99</w:t>
      </w:r>
      <w:r>
        <w:rPr/>
        <w:t xml:space="preserve"> em 18/06/2026 para </w:t>
      </w:r>
      <w:r>
        <w:rPr>
          <w:rFonts w:ascii="Lora" w:cs="Lora" w:eastAsia="Lora" w:hAnsi="Lora"/>
          <w:b/>
          <w:bCs/>
        </w:rPr>
        <w:t xml:space="preserve">R$ 93.223,57</w:t>
      </w:r>
      <w:r>
        <w:rPr/>
        <w:t xml:space="preserve"> em 14/10/2026, um acréscimo de </w:t>
      </w:r>
      <w:r>
        <w:rPr>
          <w:rFonts w:ascii="Lora" w:cs="Lora" w:eastAsia="Lora" w:hAnsi="Lora"/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O impacto desses contratos sobre a remuneração do Autor, extraído dos contracheques, é o seguinte: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rFonts w:ascii="Lora" w:cs="Lora" w:eastAsia="Lora" w:hAnsi="Lora"/>
          <w:b/>
          <w:bCs/>
        </w:rPr>
        <w:t xml:space="preserve">Município de Miguel Alves</w:t>
      </w:r>
      <w:r>
        <w:rPr/>
        <w:t xml:space="preserve">, os quatro consignados do Banco do Brasil (contratos 3, 5, 6 e 7) consomem </w:t>
      </w:r>
      <w:r>
        <w:rPr>
          <w:rFonts w:ascii="Lora" w:cs="Lora" w:eastAsia="Lora" w:hAnsi="Lora"/>
          <w:b/>
          <w:bCs/>
        </w:rPr>
        <w:t xml:space="preserve">R$ 5.041,53</w:t>
      </w:r>
      <w:r>
        <w:rPr/>
        <w:t xml:space="preserve"> mensais, o que corresponde a </w:t>
      </w:r>
      <w:r>
        <w:rPr>
          <w:rFonts w:ascii="Lora" w:cs="Lora" w:eastAsia="Lora" w:hAnsi="Lora"/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rFonts w:ascii="Lora" w:cs="Lora" w:eastAsia="Lora" w:hAnsi="Lora"/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rFonts w:ascii="Lora" w:cs="Lora" w:eastAsia="Lora" w:hAnsi="Lora"/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rFonts w:ascii="Lora" w:cs="Lora" w:eastAsia="Lora" w:hAnsi="Lora"/>
          <w:b/>
          <w:bCs/>
        </w:rPr>
        <w:t xml:space="preserve">Município de União</w:t>
      </w:r>
      <w:r>
        <w:rPr/>
        <w:t xml:space="preserve">, a partir de maio de 2026, os dois consignados do Banco do Brasil (contratos 1 e 2) deixaram de ser descontados em folha, onde passou a figurar o consignado do Bradesco, de </w:t>
      </w:r>
      <w:r>
        <w:rPr>
          <w:rFonts w:ascii="Lora" w:cs="Lora" w:eastAsia="Lora" w:hAnsi="Lora"/>
          <w:b/>
          <w:bCs/>
        </w:rPr>
        <w:t xml:space="preserve">R$ 2.266,17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rFonts w:ascii="Lora" w:cs="Lora" w:eastAsia="Lora" w:hAnsi="Lora"/>
          <w:b/>
          <w:bCs/>
        </w:rPr>
        <w:t xml:space="preserve">margem consignável de R$ 1.168,24</w:t>
      </w:r>
      <w:r>
        <w:rPr/>
        <w:t xml:space="preserve">. Os contratos do Banco do Brasil continuam ativos e passaram a ser cobrados em conta corrente, onde estão em atraso desde julho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em folha alcançam </w:t>
      </w:r>
      <w:r>
        <w:rPr>
          <w:rFonts w:ascii="Lora" w:cs="Lora" w:eastAsia="Lora" w:hAnsi="Lora"/>
          <w:b/>
          <w:bCs/>
        </w:rPr>
        <w:t xml:space="preserve">R$ 7.307,70</w:t>
      </w:r>
      <w:r>
        <w:rPr/>
        <w:t xml:space="preserve"> mensais, ou </w:t>
      </w:r>
      <w:r>
        <w:rPr>
          <w:rFonts w:ascii="Lora" w:cs="Lora" w:eastAsia="Lora" w:hAnsi="Lora"/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rFonts w:ascii="Lora" w:cs="Lora" w:eastAsia="Lora" w:hAnsi="Lora"/>
          <w:b/>
          <w:bCs/>
        </w:rPr>
        <w:t xml:space="preserve">R$ 2.336,37</w:t>
      </w:r>
      <w:r>
        <w:rPr/>
        <w:t xml:space="preserve"> por mês.</w:t>
      </w:r>
    </w:p>
    <w:p>
      <w:pPr>
        <w:spacing w:after="60" w:line="360"/>
        <w:ind w:firstLine="850"/>
        <w:jc w:val="both"/>
      </w:pPr>
      <w:r>
        <w:rPr/>
        <w:t xml:space="preserve">Somadas às parcelas cobradas em conta corrente pelo Banco do Brasil (R$ 2.260,03 dos consignados de União e R$ 735,60 do Crédito Salário), as cobranças mensais atingem </w:t>
      </w:r>
      <w:r>
        <w:rPr>
          <w:rFonts w:ascii="Lora" w:cs="Lora" w:eastAsia="Lora" w:hAnsi="Lora"/>
          <w:b/>
          <w:bCs/>
        </w:rPr>
        <w:t xml:space="preserve">R$ 10.303,33</w:t>
      </w:r>
      <w:r>
        <w:rPr/>
        <w:t xml:space="preserve">, isto é, </w:t>
      </w:r>
      <w:r>
        <w:rPr>
          <w:rFonts w:ascii="Lora" w:cs="Lora" w:eastAsia="Lora" w:hAnsi="Lora"/>
          <w:b/>
          <w:bCs/>
        </w:rPr>
        <w:t xml:space="preserve">72,54%</w:t>
      </w:r>
      <w:r>
        <w:rPr/>
        <w:t xml:space="preserve"> da remuneração líquida do Autor e </w:t>
      </w:r>
      <w:r>
        <w:rPr>
          <w:rFonts w:ascii="Lora" w:cs="Lora" w:eastAsia="Lora" w:hAnsi="Lora"/>
          <w:b/>
          <w:bCs/>
        </w:rPr>
        <w:t xml:space="preserve">91,15%</w:t>
      </w:r>
      <w:r>
        <w:rPr/>
        <w:t xml:space="preserve"> do que lhe resta após a pensão alimentícia. Acrescidas as parcelas do Bradesco de Miguel Alves (R$ 4.034,03), chegariam a </w:t>
      </w:r>
      <w:r>
        <w:rPr>
          <w:rFonts w:ascii="Lora" w:cs="Lora" w:eastAsia="Lora" w:hAnsi="Lora"/>
          <w:b/>
          <w:bCs/>
        </w:rPr>
        <w:t xml:space="preserve">R$ 14.337,36</w:t>
      </w:r>
      <w:r>
        <w:rPr/>
        <w:t xml:space="preserve">, mais do que toda a sua remuneração líquida (</w:t>
      </w:r>
      <w:r>
        <w:rPr>
          <w:rFonts w:ascii="Lora" w:cs="Lora" w:eastAsia="Lora" w:hAnsi="Lora"/>
          <w:b/>
          <w:bCs/>
        </w:rPr>
        <w:t xml:space="preserve">100,94%</w:t>
      </w:r>
      <w:r>
        <w:rPr/>
        <w:t xml:space="preserve">). Além disso, estão vencidos R$ 21.646,35 das antecipações de 13º salário.</w:t>
      </w:r>
    </w:p>
    <w:p>
      <w:pPr>
        <w:spacing w:after="60" w:line="360"/>
        <w:ind w:firstLine="850"/>
        <w:jc w:val="both"/>
      </w:pPr>
      <w:r>
        <w:rPr/>
        <w:t xml:space="preserve">Os próprios contratos revelam como se formou esse quadro. Em março de 2026, com margem consignável praticamente nula, o Banco do Brasil celebrou </w:t>
      </w:r>
      <w:r>
        <w:rPr>
          <w:rFonts w:ascii="Lora" w:cs="Lora" w:eastAsia="Lora" w:hAnsi="Lora"/>
          <w:b/>
          <w:bCs/>
        </w:rPr>
        <w:t xml:space="preserve">três contratos consignados em menos de um mês</w:t>
      </w:r>
      <w:r>
        <w:rPr/>
        <w:t xml:space="preserve"> (contratos 5, 6 e 7). A “Renovação Consignação” de 09/03/2026, de R$ 188.859,35, foi usada quase integralmente para quitar contratos anteriores do próprio banco: apenas </w:t>
      </w:r>
      <w:r>
        <w:rPr>
          <w:rFonts w:ascii="Lora" w:cs="Lora" w:eastAsia="Lora" w:hAnsi="Lora"/>
          <w:b/>
          <w:bCs/>
        </w:rPr>
        <w:t xml:space="preserve">R$ 7.500,00</w:t>
      </w:r>
      <w:r>
        <w:rPr/>
        <w:t xml:space="preserve"> foram creditados na conta do Autor, e, desse valor, R$ 2.274,12 foram debitados no mesmo dia para amortizar a renegociação nº 196434985. O mesmo ocorreu com os demais créditos do mês: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rFonts w:ascii="Lora" w:cs="Lora" w:eastAsia="Lora" w:hAnsi="Lora"/>
          <w:b/>
          <w:bCs/>
        </w:rPr>
        <w:t xml:space="preserve">04/03/2026</w:t>
      </w:r>
      <w:r>
        <w:rPr/>
        <w:t xml:space="preserve">, creditou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rFonts w:ascii="Lora" w:cs="Lora" w:eastAsia="Lora" w:hAnsi="Lora"/>
          <w:b/>
          <w:bCs/>
        </w:rPr>
        <w:t xml:space="preserve">09/03/2026</w:t>
      </w:r>
      <w:r>
        <w:rPr/>
        <w:t xml:space="preserve">, creditou R$ 7.500,00 (contrato nº 206541263)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rFonts w:ascii="Lora" w:cs="Lora" w:eastAsia="Lora" w:hAnsi="Lora"/>
          <w:b/>
          <w:bCs/>
        </w:rPr>
        <w:t xml:space="preserve">31/03/2026</w:t>
      </w:r>
      <w:r>
        <w:rPr/>
        <w:t xml:space="preserve">, creditou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Em troca de 120 parcelas de R$ 4.014,58 — </w:t>
      </w:r>
      <w:r>
        <w:rPr>
          <w:rFonts w:ascii="Lora" w:cs="Lora" w:eastAsia="Lora" w:hAnsi="Lora"/>
          <w:b/>
          <w:bCs/>
        </w:rPr>
        <w:t xml:space="preserve">R$ 481.749,60</w:t>
      </w:r>
      <w:r>
        <w:rPr/>
        <w:t xml:space="preserve"> ao final —, o Autor recebeu, em março de 2026, pouco mais de R$ 5.000,00 em dinheiro. Três meses depois, sem qualquer margem, recebeu mais quatro antecipações de 13º salário no mesmo dia, e o padrão se repetiu: em 26/06/2026, mesma data em que creditou os R$ 21.846,71, o banco debitou </w:t>
      </w:r>
      <w:r>
        <w:rPr>
          <w:rFonts w:ascii="Lora" w:cs="Lora" w:eastAsia="Lora" w:hAnsi="Lora"/>
          <w:b/>
          <w:bCs/>
        </w:rPr>
        <w:t xml:space="preserve">R$ 3.322,93</w:t>
      </w:r>
      <w:r>
        <w:rPr/>
        <w:t xml:space="preserve"> para cobrir parcelas em atraso de seus próprios contratos (R$ 1.196,73 e R$ 1.181,56 dos consignados de União, R$ 773,95 do Crédito Salário, R$ 163,09 da renegociação nº 212050896 e tarifas). Os extratos de junho e agosto de 2026 registram ainda, nos lançamentos futuros, créditos automáticos sob a rubrica “EMPRÉSTIMO” destinados a cobrir as parcelas em atraso, acrescidas de encargos, dos consignados de União e do Crédito Salário: em 06/08/2026, por exemplo, débitos de R$ 1.156,24,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rFonts w:ascii="Lora" w:cs="Lora" w:eastAsia="Lora" w:hAnsi="Lora"/>
          <w:b/>
          <w:bCs/>
        </w:rPr>
        <w:t xml:space="preserve">R$ 4.998,04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mensalidades escolares dos dois filhos: R$ 890,00 (2 × R$ 445,00);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aluguel do imóvel em que reside, na Rua Antônio Dias, Bairro Beira-Rio: R$ 600,00 (por se tratar de imóvel alugado, as contas de água e energia permanecem em nome de terceiros);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financiamento do veículo utilizado nesse deslocamento (Banco PAN): cerca de R$ 1.850,00, dívida garantida pelo próprio bem e, por isso, não incluída nesta repactuação (art. 104-A, § 1º, do CDC);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6.	energia elétrica: R$ 221,24 (setembro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7.	internet: R$ 84,90;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8.	água: R$ 51,90 (agosto de 2026).</w:t>
      </w:r>
    </w:p>
    <w:p>
      <w:pPr>
        <w:spacing w:after="60" w:line="360"/>
        <w:ind w:firstLine="850"/>
        <w:jc w:val="both"/>
      </w:pPr>
      <w:r>
        <w:rPr/>
        <w:t xml:space="preserve">Essas despesas já não são pagas em dia. A fatura de energia de setembro de 2026 traz multa, juros e correção monetária e registra débito de agosto em aberto (R$ 164,49); a conta de água de agosto de 2026 está vencida e </w:t>
      </w:r>
      <w:r>
        <w:rPr>
          <w:rFonts w:ascii="Lora" w:cs="Lora" w:eastAsia="Lora" w:hAnsi="Lora"/>
          <w:b/>
          <w:bCs/>
        </w:rPr>
        <w:t xml:space="preserve">sujeita a corte a partir de 08/10/2026</w:t>
      </w:r>
      <w:r>
        <w:rPr/>
        <w:t xml:space="preserve">; e a conta de internet de junho de 2026, serviço indispensável ao exercício da docência, só pôde ser paga em segunda via, acrescida de encargos. O valor líquido creditado pelos dois municípios em setembro de 2026 foi de </w:t>
      </w:r>
      <w:r>
        <w:rPr>
          <w:rFonts w:ascii="Lora" w:cs="Lora" w:eastAsia="Lora" w:hAnsi="Lora"/>
          <w:b/>
          <w:bCs/>
        </w:rPr>
        <w:t xml:space="preserve">R$ 3.871,05</w:t>
      </w:r>
      <w:r>
        <w:rPr/>
        <w:t xml:space="preserve">, inferior às despesas essenciais do Autor e, ainda assim, sujeito aos débitos automáticos do Banco do Brasil.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mérito.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celebrou três consignados em um único mês, com margem de R$ 1,26, usando-os para quitar seus próprios contratos, concedeu quatro antecipações de 13º salário no mesmo dia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rFonts w:ascii="Lora" w:cs="Lora" w:eastAsia="Lora" w:hAnsi="Lora"/>
          <w:b/>
          <w:bCs/>
          <w:i/>
          <w:iCs/>
        </w:rPr>
        <w:t xml:space="preserve">e.	Da inaplicabilidade do Tema 1.085 do STJ:</w:t>
      </w:r>
    </w:p>
    <w:p>
      <w:pPr>
        <w:spacing w:after="60" w:line="360"/>
        <w:ind w:firstLine="850"/>
        <w:jc w:val="both"/>
      </w:pPr>
      <w:r>
        <w:rPr/>
        <w:t xml:space="preserve">Não se aplica ao caso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rFonts w:ascii="Lora" w:cs="Lora" w:eastAsia="Lora" w:hAnsi="Lora"/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rFonts w:ascii="Lora" w:cs="Lora" w:eastAsia="Lora" w:hAnsi="Lora"/>
          <w:b/>
          <w:bCs/>
        </w:rPr>
        <w:t xml:space="preserve">60 (sessenta) meses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Como o montante das dívidas, pelos elementos disponíveis, supera o que o Autor pode pagar em 60 meses sem comprometer o mínimo existencial, requer que o saldo eventualmente remanescente seja pago ao final, nas mesmas condições, sem juros de mora e com a redução dos juros remuneratórios autorizada pelo art. 54-D, parágrafo único, do CDC, solução semelhante à adotada por este Juízo no Processo nº 0800070-46.2025.8.18.0061, em que se determinou o pagamento do saldo remanescente ao final dos contratos, sem juros de mora.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240" w:line="240"/>
        <w:ind w:left="0" w:firstLine="0"/>
      </w:pPr>
      <w:r>
        <w:rPr>
          <w:rFonts w:ascii="Lora" w:cs="Lora" w:eastAsia="Lora" w:hAnsi="Lora"/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dos benefícios da </w:t>
      </w:r>
      <w:r>
        <w:rPr>
          <w:rFonts w:ascii="Lora" w:cs="Lora" w:eastAsia="Lora" w:hAnsi="Lora"/>
          <w:b/>
          <w:bCs/>
        </w:rPr>
        <w:t xml:space="preserve">gratuidade da justiça</w:t>
      </w:r>
      <w:r>
        <w:rPr/>
        <w:t xml:space="preserve">, abrangendo todos os atos do processo;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rFonts w:ascii="Lora" w:cs="Lora" w:eastAsia="Lora" w:hAnsi="Lora"/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rFonts w:ascii="Lora" w:cs="Lora" w:eastAsia="Lora" w:hAnsi="Lora"/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empréstimos, de reter seu 13º salário para quitação das antecipações contratadas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rFonts w:ascii="Lora" w:cs="Lora" w:eastAsia="Lora" w:hAnsi="Lora"/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rFonts w:ascii="Lora" w:cs="Lora" w:eastAsia="Lora" w:hAnsi="Lora"/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inclusive as renegociações nº 196434985 e nº 212050896 do Banco do Brasil e, quanto ao Bradesco, o consignado averbado na folha de União e os contratos nº 503906781 e nº 504307147,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rFonts w:ascii="Lora" w:cs="Lora" w:eastAsia="Lora" w:hAnsi="Lora"/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rFonts w:ascii="Lora" w:cs="Lora" w:eastAsia="Lora" w:hAnsi="Lora"/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ao final, sem juros de mora;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rFonts w:ascii="Lora" w:cs="Lora" w:eastAsia="Lora" w:hAnsi="Lora"/>
          <w:b/>
          <w:bCs/>
        </w:rPr>
        <w:t xml:space="preserve">R$ 438.429,63</w:t>
      </w:r>
      <w:r>
        <w:rPr/>
        <w:t xml:space="preserve">, correspondente à soma dos valores liberados nos contratos do Banco do Brasil (R$ 345.206,06) e do saldo vencido junto ao Bradesco (R$ 93.223,57), sem prejuízo de sua retificação após a exibição dos demonstrativos de saldo devedor.</w:t>
      </w:r>
    </w:p>
    <w:p>
      <w:pPr>
        <w:spacing w:after="60" w:line="360"/>
        <w:ind w:firstLine="850"/>
        <w:jc w:val="both"/>
      </w:pPr>
      <w:r>
        <w:rPr/>
        <w:t xml:space="preserve">Instruem a inicial os seguintes documentos: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01. procuração;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02. documento de identificação do Autor;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03. comprovante de residência (fatura de internet em nome do Autor);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04. declaração de hipossuficiência;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05. contracheques do Município de Miguel Alves (março, abril, maio, julho, agosto e 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06. contracheques do Município de União (março a setembro de 2026);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07. Declaração de Margem Consignável emitida pela Secretaria Municipal de Educação de Miguel Alves em 07/10/2026;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08. telas do aplicativo do Banco do Brasil com os contratos ativos (“Meus empréstimos” e detalhes de cada operação);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09. extratos da conta corrente do Banco do Brasil (agência 2298-5, conta 6198-0) de março a setembro de 2026, incluindo os lançamentos futuros de junho e agosto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10. extratos da conta do Bradesco (agência 5792, conta 231325-1) e tela de “Operações Vencidas” de 14/10/2026;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11. comprovantes de despesas essenciais (energia, água e mensalidades escolares);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Doc.	12. cópia do acórdão do Agravo de Instrumento nº 0757054-31.2025.8.18.0000 e da sentença do Processo nº 0800070-46.2025.8.18.0061.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Nestes termos,</w:t>
      </w:r>
    </w:p>
    <w:p>
      <w:pPr>
        <w:keepNext/>
        <w:spacing w:after="0" w:line="360"/>
        <w:jc w:val="center"/>
      </w:pPr>
      <w:r>
        <w:rPr/>
        <w:t xml:space="preserve">Pede deferimento.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/>
        <w:t xml:space="preserve">Miguel Alves-PI, datado eletronicamente.</w:t>
      </w:r>
    </w:p>
    <w:p>
      <w:pPr>
        <w:keepNext/>
        <w:spacing w:after="0" w:line="360"/>
      </w:pP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rFonts w:ascii="Lora" w:cs="Lora" w:eastAsia="Lora" w:hAnsi="Lora"/>
          <w:b/>
          <w:bCs/>
        </w:rPr>
        <w:t xml:space="preserve">ADVOGADO - OAB/PI 21.320</w:t>
      </w:r>
    </w:p>
    <w:sectPr>
      <w:headerReference r:id="rId11" w:type="default"/>
      <w:footerReference r:id="rId12" w:type="default"/>
      <w:pgSz w:h="16838" w:w="11906" w:orient="portrait"/>
      <w:pgMar w:bottom="1500" w:top="2330" w:left="1134" w:right="1134" w:header="500" w:footer="50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color="9aa0a6" w:space="4" w:sz="6" w:val="single"/>
      </w:pBdr>
      <w:spacing w:line="240" w:lineRule="auto"/>
      <w:jc w:val="center"/>
      <w:rPr/>
    </w:pPr>
    <w:r w:rsidDel="00000000" w:rsidR="00000000" w:rsidRPr="00000000">
      <w:rPr>
        <w:b w:val="1"/>
        <w:bCs w:val="1"/>
        <w:i w:val="1"/>
        <w:iCs w:val="1"/>
        <w:color w:val="123bb8"/>
        <w:sz w:val="16"/>
        <w:szCs w:val="16"/>
        <w:rtl w:val="0"/>
      </w:rPr>
      <w:t xml:space="preserve">Rua Rio Grande do Sul, 1641, bairro São Miguel, CEP: 64.130-000, Miguel Alves-PI - (86) 9 7400-9869 - paduanetojus@gmail.com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spacing w:after="0" w:lineRule="auto"/>
      <w:jc w:val="center"/>
      <w:rPr/>
    </w:pPr>
    <w:r w:rsidDel="00000000" w:rsidR="00000000" w:rsidRPr="00000000">
      <w:rPr/>
      <w:drawing>
        <wp:inline distB="0" distT="0" distL="0" distR="0">
          <wp:extent cx="1809750" cy="952500"/>
          <wp:effectExtent b="0" l="0" r="0" t="0"/>
          <wp:docPr id="107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09750" cy="952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bottom w:color="9aa0a6" w:space="1" w:sz="6" w:val="single"/>
      </w:pBdr>
      <w:spacing w:after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ora Medium" w:cs="Lora Medium" w:eastAsia="Lora Medium" w:hAnsi="Lora Medium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Lora Medium" w:cs="Lora Medium" w:eastAsia="Lora Medium" w:hAnsi="Lora Medium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jp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5" Type="http://schemas.openxmlformats.org/officeDocument/2006/relationships/font" Target="fonts/Lora-regular.ttf"/><Relationship Id="rId6" Type="http://schemas.openxmlformats.org/officeDocument/2006/relationships/font" Target="fonts/Lora-bold.ttf"/><Relationship Id="rId7" Type="http://schemas.openxmlformats.org/officeDocument/2006/relationships/font" Target="fonts/Lora-italic.ttf"/><Relationship Id="rId8" Type="http://schemas.openxmlformats.org/officeDocument/2006/relationships/font" Target="fonts/Lora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hkBs1nZ2c8AH8WR/Yzo6Z+Yvaw==">CgMxLjA4AHIhMVh0d19zTkZLY0l3T0NncUw1SmdFVmlCb2JMWW5Zd3py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2026-10-03T02:33:01.698Z</dcterms:created>
  <dc:creator>Antônio de Pádua Santos Neto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