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both"/>
      </w:pPr>
      <w:r>
        <w:rPr>
          <w:b/>
          <w:bCs/>
        </w:rPr>
        <w:t xml:space="preserve">EXCELENTÍSSIMO SENHOR DOUTOR JUIZ DE DIREITO DA VARA ÚNICA DA COMARCA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FRANCISCO BERNARDO SOUSA SANTOS</w:t>
      </w:r>
      <w:r>
        <w:rPr/>
        <w:t xml:space="preserve">, brasileiro, divorciado, professor, nascido em 20/08/1979, portador do RG nº </w:t>
      </w:r>
      <w:r>
        <w:rPr>
          <w:highlight w:val="yellow"/>
        </w:rPr>
        <w:t xml:space="preserve">[__]</w:t>
      </w:r>
      <w:r>
        <w:rPr/>
        <w:t xml:space="preserve">, inscrito no CPF sob o nº 857.729.763-20, residente e domiciliado na Rua Antônio Dias, s/n, Bairro Beira-Rio, Miguel Alves-PI, CEP 64.130-000, endereço eletrônico </w:t>
      </w:r>
      <w:r>
        <w:rPr>
          <w:highlight w:val="yellow"/>
        </w:rPr>
        <w:t xml:space="preserve">[__]</w:t>
      </w:r>
      <w:r>
        <w:rPr/>
        <w:t xml:space="preserve">, por meio de seu advogado, ANTÔNIO DE PÁDUA SANTOS NETO, advogado, inscrito nos quadros da OAB-PI sob o nº 21.320, constituído mediante procuração em anexo, cujo endereço físico está situado na Rua Rio Grande do Sul, nº 1641, Bairro São Miguel, Miguel Alves-PI, CEP nº: 64.130-000 e eletrônico: paduanetojus@gmail.com, vem, respeitosamente, à presença de Vossa Excelência, com fundamento nos arts. 6º, XI e XII, 54-A, 54-D, 104-A e 104-B do Código de Defesa do Consumidor e no art. 300 do Código de Processo Civil, propor a presente</w:t>
      </w:r>
    </w:p>
    <w:p>
      <w:pPr>
        <w:spacing w:before="120" w:after="120" w:line="360"/>
        <w:jc w:val="center"/>
      </w:pPr>
      <w:r>
        <w:rPr>
          <w:b/>
          <w:bCs/>
        </w:rPr>
        <w:t xml:space="preserve">AÇÃO DE REPACTUAÇÃO DE DÍVIDAS POR SUPERENDIVIDAMENTO C/C TUTELA DE URGÊNCIA</w:t>
      </w:r>
    </w:p>
    <w:p>
      <w:pPr>
        <w:spacing w:after="0" w:line="360"/>
        <w:jc w:val="both"/>
      </w:pPr>
      <w:r>
        <w:rPr/>
        <w:t xml:space="preserve">em face de </w:t>
      </w:r>
      <w:r>
        <w:rPr>
          <w:b/>
          <w:bCs/>
        </w:rPr>
        <w:t xml:space="preserve">BANCO DO BRASIL S.A.</w:t>
      </w:r>
      <w:r>
        <w:rPr/>
        <w:t xml:space="preserve">, sociedade de economia mista, inscrita no CNPJ sob o nº 00.000.000/0001-91, com sede no SAUN, Quadra 5, Lote B, Torre I, Edifício Banco do Brasil, Asa Norte, Brasília-DF, CEP 70.040-912, e de </w:t>
      </w:r>
      <w:r>
        <w:rPr>
          <w:b/>
          <w:bCs/>
        </w:rPr>
        <w:t xml:space="preserve">BANCO BRADESCO S.A.</w:t>
      </w:r>
      <w:r>
        <w:rPr/>
        <w:t xml:space="preserve">, pessoa jurídica de direito privado, inscrita no CNPJ sob o nº 60.746.948/0001-12, com sede no Núcleo Cidade de Deus, s/n, Vila Yara, Osasco-SP, CEP 06.029-900, pelos fundamentos de fato e de direito a seguir expostos.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gratuidade da justiça.</w:t>
      </w:r>
    </w:p>
    <w:p>
      <w:pPr>
        <w:spacing w:after="60" w:line="360"/>
        <w:ind w:firstLine="850"/>
        <w:jc w:val="both"/>
      </w:pPr>
      <w:r>
        <w:rPr/>
        <w:t xml:space="preserve">Embora o Autor seja servidor público com dois vínculos, sua remuneração bruta não reflete a renda de que efetivamente dispõe. Descontados a previdência, o imposto de renda, a pensão alimentícia judicial e os empréstimos consignados, o Autor recebeu em conta, em agosto de 2026, </w:t>
      </w:r>
      <w:r>
        <w:rPr>
          <w:b/>
          <w:bCs/>
        </w:rPr>
        <w:t xml:space="preserve">R$ 4.233,44</w:t>
      </w:r>
      <w:r>
        <w:rPr/>
        <w:t xml:space="preserve">, valor absorvido no mesmo dia pelos débitos automáticos de outros empréstimos do Banco do Brasil. Os extratos de março a setembro de 2026 registram saldo de </w:t>
      </w:r>
      <w:r>
        <w:rPr>
          <w:b/>
          <w:bCs/>
        </w:rPr>
        <w:t xml:space="preserve">R$ 0,00</w:t>
      </w:r>
      <w:r>
        <w:rPr/>
        <w:t xml:space="preserve"> ao fim de todos os dias, com sucessivos estornos de débitos por falta de fundos.</w:t>
      </w:r>
    </w:p>
    <w:p>
      <w:pPr>
        <w:spacing w:after="60" w:line="360"/>
        <w:ind w:firstLine="850"/>
        <w:jc w:val="both"/>
      </w:pPr>
      <w:r>
        <w:rPr/>
        <w:t xml:space="preserve">A hipossuficiência deve ser aferida pela renda disponível, e não pela remuneração bruta. Requer, assim, a gratuidade da justiça (art. 5º, LXXIV, da CF e arts. 98 e 99 do CPC) ou, subsidiariamente, sua concessão parcial ou o parcelamento das custas iniciais (art. 98, §§ 5º e 6º, do CPC).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fatos.</w:t>
      </w:r>
    </w:p>
    <w:p>
      <w:pPr>
        <w:spacing w:after="60" w:line="360"/>
        <w:ind w:firstLine="850"/>
        <w:jc w:val="both"/>
      </w:pPr>
      <w:r>
        <w:rPr/>
        <w:t xml:space="preserve">O Autor é professor efetivo da rede municipal de Miguel Alves desde 08/03/2005 (Professor Classe C, Nível V, 40h, matrícula 50-1) e da rede municipal de União desde 01/03/2016 (Professor C I, 20h, matrícula 007107).</w:t>
      </w:r>
    </w:p>
    <w:p>
      <w:pPr>
        <w:spacing w:after="60" w:line="360"/>
        <w:ind w:firstLine="850"/>
        <w:jc w:val="both"/>
      </w:pPr>
      <w:r>
        <w:rPr/>
        <w:t xml:space="preserve">Seu contracheque de agosto de 2026 em Miguel Alves registra remuneração bruta de </w:t>
      </w:r>
      <w:r>
        <w:rPr>
          <w:b/>
          <w:bCs/>
        </w:rPr>
        <w:t xml:space="preserve">R$ 13.606,98</w:t>
      </w:r>
      <w:r>
        <w:rPr/>
        <w:t xml:space="preserve">, da qual, deduzidos os descontos obrigatórios de previdência (R$ 988,07) e de imposto de renda (R$ 1.901,54), resulta remuneração líquida de </w:t>
      </w:r>
      <w:r>
        <w:rPr>
          <w:b/>
          <w:bCs/>
        </w:rPr>
        <w:t xml:space="preserve">R$ 10.717,37</w:t>
      </w:r>
      <w:r>
        <w:rPr/>
        <w:t xml:space="preserve">. Em União, os contracheques de maio a setembro de 2026, todos idênticos, registram remuneração bruta de </w:t>
      </w:r>
      <w:r>
        <w:rPr>
          <w:b/>
          <w:bCs/>
        </w:rPr>
        <w:t xml:space="preserve">R$ 3.894,14</w:t>
      </w:r>
      <w:r>
        <w:rPr/>
        <w:t xml:space="preserve">, da qual, deduzida a previdência (R$ 545,17), resulta remuneração líquida de </w:t>
      </w:r>
      <w:r>
        <w:rPr>
          <w:b/>
          <w:bCs/>
        </w:rPr>
        <w:t xml:space="preserve">R$ 3.348,97</w:t>
      </w:r>
      <w:r>
        <w:rPr/>
        <w:t xml:space="preserve">. A remuneração líquida total é, portanto, de </w:t>
      </w:r>
      <w:r>
        <w:rPr>
          <w:b/>
          <w:bCs/>
        </w:rPr>
        <w:t xml:space="preserve">R$ 14.066,34</w:t>
      </w:r>
      <w:r>
        <w:rPr/>
        <w:t xml:space="preserve">, e o limite de 35%, adotado pelo Egrégio Tribunal de Justiça do Piauí em caso idêntico, corresponde a </w:t>
      </w:r>
      <w:r>
        <w:rPr>
          <w:b/>
          <w:bCs/>
        </w:rPr>
        <w:t xml:space="preserve">R$ 4.923,22</w:t>
      </w:r>
      <w:r>
        <w:rPr/>
        <w:t xml:space="preserve"> mensais.</w:t>
      </w:r>
    </w:p>
    <w:p>
      <w:pPr>
        <w:spacing w:after="60" w:line="360"/>
        <w:ind w:firstLine="850"/>
        <w:jc w:val="both"/>
      </w:pPr>
      <w:r>
        <w:rPr/>
        <w:t xml:space="preserve">Sobre esse valor ainda incide a pensão alimentícia judicial, descontada em folha no valor de R$ 1.815,78 até junho de 2026 e elevada para </w:t>
      </w:r>
      <w:r>
        <w:rPr>
          <w:b/>
          <w:bCs/>
        </w:rPr>
        <w:t xml:space="preserve">R$ 2.399,76</w:t>
      </w:r>
      <w:r>
        <w:rPr/>
        <w:t xml:space="preserve"> em agosto de 2026 (23% do bruto).</w:t>
      </w:r>
    </w:p>
    <w:p>
      <w:pPr>
        <w:spacing w:after="60" w:line="360"/>
        <w:ind w:firstLine="850"/>
        <w:jc w:val="both"/>
      </w:pPr>
      <w:r>
        <w:rPr/>
        <w:t xml:space="preserve">O endividamento do Autor tem origem antiga e foi conduzido pelas próprias instituições financeiras. Desde 2005, quando ingressou na rede municipal de Miguel Alves, o Autor passou a receber ofertas sucessivas de empréstimos, renegociações e “troco” de refinanciamentos, sempre por iniciativa dos bancos, que dispunham de seus vencimentos como garantia. Cada nova operação quitava a anterior e liberava pequena quantia em dinheiro, ampliando o prazo e o saldo devedor.</w:t>
      </w:r>
    </w:p>
    <w:p>
      <w:pPr>
        <w:spacing w:after="60" w:line="360"/>
        <w:ind w:firstLine="850"/>
        <w:jc w:val="both"/>
      </w:pPr>
      <w:r>
        <w:rPr/>
        <w:t xml:space="preserve">A situação saiu de controle após o divórcio do Autor, quando passou a arcar com a pensão alimentícia judicial e com o sustento de sua nova família e precisou de nova moradia: a compra do imóvel e as obras foram pagas à vista, com recursos obtidos nos próprios empréstimos bancários, sem financiamento imobiliário ou garantia real. Nesse contexto de fragilidade, as ofertas de crédito continuaram a chegar e a ser aceitas, até que os descontos passaram a consumir praticamente toda a sua remuneração.</w:t>
      </w:r>
    </w:p>
    <w:p>
      <w:pPr>
        <w:spacing w:after="60" w:line="360"/>
        <w:ind w:firstLine="850"/>
        <w:jc w:val="both"/>
      </w:pPr>
      <w:r>
        <w:rPr/>
        <w:t xml:space="preserve">Os descontos de empréstimos, extraídos dos próprios contracheques e extratos,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no </w:t>
      </w:r>
      <w:r>
        <w:rPr>
          <w:b/>
          <w:bCs/>
        </w:rPr>
        <w:t xml:space="preserve">Município de Miguel Alves</w:t>
      </w:r>
      <w:r>
        <w:rPr/>
        <w:t xml:space="preserve">, quatro consignados do Banco do Brasil somam </w:t>
      </w:r>
      <w:r>
        <w:rPr>
          <w:b/>
          <w:bCs/>
        </w:rPr>
        <w:t xml:space="preserve">R$ 5.041,53</w:t>
      </w:r>
      <w:r>
        <w:rPr/>
        <w:t xml:space="preserve"> mensais (R$ 4.014,86 e R$ 644,95, ambos em 120 parcelas, na 17ª e na 16ª parcela em agosto de 2026; R$ 241,37, em 120 parcelas, iniciado em março de 2026; e R$ 140,35), o que corresponde a </w:t>
      </w:r>
      <w:r>
        <w:rPr>
          <w:b/>
          <w:bCs/>
        </w:rPr>
        <w:t xml:space="preserve">47,04%</w:t>
      </w:r>
      <w:r>
        <w:rPr/>
        <w:t xml:space="preserve"> da remuneração líquida desse vínculo. O próprio contracheque aponta </w:t>
      </w:r>
      <w:r>
        <w:rPr>
          <w:b/>
          <w:bCs/>
        </w:rPr>
        <w:t xml:space="preserve">margem consignável residual de R$ 1,26</w:t>
      </w:r>
      <w:r>
        <w:rPr/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no </w:t>
      </w:r>
      <w:r>
        <w:rPr>
          <w:b/>
          <w:bCs/>
        </w:rPr>
        <w:t xml:space="preserve">Município de União</w:t>
      </w:r>
      <w:r>
        <w:rPr/>
        <w:t xml:space="preserve">, o consignado do Bradesco (CDC CONSIG. BRADESCO-I) consome </w:t>
      </w:r>
      <w:r>
        <w:rPr>
          <w:b/>
          <w:bCs/>
        </w:rPr>
        <w:t xml:space="preserve">R$ 2.266,17</w:t>
      </w:r>
      <w:r>
        <w:rPr/>
        <w:t xml:space="preserve"> mensais, isto é, </w:t>
      </w:r>
      <w:r>
        <w:rPr>
          <w:b/>
          <w:bCs/>
        </w:rPr>
        <w:t xml:space="preserve">67,67%</w:t>
      </w:r>
      <w:r>
        <w:rPr/>
        <w:t xml:space="preserve"> da remuneração líquida desse vínculo, embora o contracheque informe </w:t>
      </w:r>
      <w:r>
        <w:rPr>
          <w:b/>
          <w:bCs/>
        </w:rPr>
        <w:t xml:space="preserve">margem consignável de R$ 1.168,24</w:t>
      </w:r>
      <w:r>
        <w:rPr/>
        <w:t xml:space="preserve">. Até abril de 2026, essa mesma margem era ocupada por dois contratos do Banco do Brasil (R$ 1.137,45 e R$ 1.122,58);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somados, os consignados alcançam </w:t>
      </w:r>
      <w:r>
        <w:rPr>
          <w:b/>
          <w:bCs/>
        </w:rPr>
        <w:t xml:space="preserve">R$ 7.307,70</w:t>
      </w:r>
      <w:r>
        <w:rPr/>
        <w:t xml:space="preserve"> mensais, ou </w:t>
      </w:r>
      <w:r>
        <w:rPr>
          <w:b/>
          <w:bCs/>
        </w:rPr>
        <w:t xml:space="preserve">51,95%</w:t>
      </w:r>
      <w:r>
        <w:rPr/>
        <w:t xml:space="preserve"> da remuneração líquida total, superando o limite de 35% em </w:t>
      </w:r>
      <w:r>
        <w:rPr>
          <w:b/>
          <w:bCs/>
        </w:rPr>
        <w:t xml:space="preserve">R$ 2.384,48</w:t>
      </w:r>
      <w:r>
        <w:rPr/>
        <w:t xml:space="preserve"> por mês;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4.	além dos consignados, o Banco do Brasil debita diretamente da conta corrente em que o Autor recebe seus vencimentos (agência 2298-5, conta 6198-0) as parcelas dos contratos nº 180848571 (BB Crédito Salário, cerca de R$ 764,66 mensais), nº 196434985 (BB Crédito Renegociação I) e nº 166175821 (BB Crédito Consignação, R$ 1.118,27 debitados em 31/07/2026), além de parcelas de CDC que somaram R$ 3.086,42 em agosto de 2026 e de seguros vinculados à conta;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5.	no </w:t>
      </w:r>
      <w:r>
        <w:rPr>
          <w:b/>
          <w:bCs/>
        </w:rPr>
        <w:t xml:space="preserve">Bradesco</w:t>
      </w:r>
      <w:r>
        <w:rPr/>
        <w:t xml:space="preserve">, os contratos nº 503906781 e nº 504307147, celebrados na agência de Miguel Alves em 120 parcelas (R$ 641,28 e R$ 3.392,75, total de </w:t>
      </w:r>
      <w:r>
        <w:rPr>
          <w:b/>
          <w:bCs/>
        </w:rPr>
        <w:t xml:space="preserve">R$ 4.034,03</w:t>
      </w:r>
      <w:r>
        <w:rPr/>
        <w:t xml:space="preserve"> mensais), eram descontados em folha. Com a saída do banco do município, os descontos deixaram de ser feitos, e o Bradesco passou a exigir o pagamento em conta corrente (agência 5792, conta 231325-1): em abril de 2025, o próprio Autor transferiu R$ 4.035,00 para quitar a 8ª parcela de cada contrato. Sem o desconto em folha e com a renda já absorvida pelos demais credores, as parcelas venceram, e o saldo de </w:t>
      </w:r>
      <w:r>
        <w:rPr>
          <w:b/>
          <w:bCs/>
        </w:rPr>
        <w:t xml:space="preserve">“OPERAÇÕES VENCIDAS”</w:t>
      </w:r>
      <w:r>
        <w:rPr/>
        <w:t xml:space="preserve"> passou de </w:t>
      </w:r>
      <w:r>
        <w:rPr>
          <w:b/>
          <w:bCs/>
        </w:rPr>
        <w:t xml:space="preserve">R$ 73.453,99</w:t>
      </w:r>
      <w:r>
        <w:rPr/>
        <w:t xml:space="preserve"> em 18/06/2026 para </w:t>
      </w:r>
      <w:r>
        <w:rPr>
          <w:b/>
          <w:bCs/>
        </w:rPr>
        <w:t xml:space="preserve">R$ 93.223,57</w:t>
      </w:r>
      <w:r>
        <w:rPr/>
        <w:t xml:space="preserve"> em 14/10/2026, um acréscimo de </w:t>
      </w:r>
      <w:r>
        <w:rPr>
          <w:b/>
          <w:bCs/>
        </w:rPr>
        <w:t xml:space="preserve">R$ 19.769,58 (26,9%) em menos de quatro meses</w:t>
      </w:r>
      <w:r>
        <w:rPr/>
        <w:t xml:space="preserve">, apenas com encargos de mora.</w:t>
      </w:r>
    </w:p>
    <w:p>
      <w:pPr>
        <w:spacing w:after="60" w:line="360"/>
        <w:ind w:firstLine="850"/>
        <w:jc w:val="both"/>
      </w:pPr>
      <w:r>
        <w:rPr/>
        <w:t xml:space="preserve">Somadas as parcelas em folha e em conta corrente, as cobranças mensais atingem cerca de </w:t>
      </w:r>
      <w:r>
        <w:rPr>
          <w:b/>
          <w:bCs/>
        </w:rPr>
        <w:t xml:space="preserve">R$ 12.403,80</w:t>
      </w:r>
      <w:r>
        <w:rPr/>
        <w:t xml:space="preserve">, isto é, </w:t>
      </w:r>
      <w:r>
        <w:rPr>
          <w:b/>
          <w:bCs/>
        </w:rPr>
        <w:t xml:space="preserve">88,18%</w:t>
      </w:r>
      <w:r>
        <w:rPr/>
        <w:t xml:space="preserve"> da remuneração líquida do Autor. Deduzida a pensão alimentícia (R$ 2.399,76), alcançam </w:t>
      </w:r>
      <w:r>
        <w:rPr>
          <w:b/>
          <w:bCs/>
        </w:rPr>
        <w:t xml:space="preserve">106,32%</w:t>
      </w:r>
      <w:r>
        <w:rPr/>
        <w:t xml:space="preserve"> do que lhe resta, sem contar as parcelas vencidas do Bradesco, que, se exigidas, somariam mais R$ 4.034,03 por mês.</w:t>
      </w:r>
    </w:p>
    <w:p>
      <w:pPr>
        <w:spacing w:after="60" w:line="360"/>
        <w:ind w:firstLine="850"/>
        <w:jc w:val="both"/>
      </w:pPr>
      <w:r>
        <w:rPr/>
        <w:t xml:space="preserve">O extrato de março de 2026 revela como se formou esse quadro. Em menos de um mês, o Banco do Brasil concedeu ao Autor três novos créditos consignados e, no mesmo dia de cada liberação, reteve parte do valor para amortizar a renegociação anterior (contrato nº 196434985):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1.	em </w:t>
      </w:r>
      <w:r>
        <w:rPr>
          <w:b/>
          <w:bCs/>
        </w:rPr>
        <w:t xml:space="preserve">04/03/2026</w:t>
      </w:r>
      <w:r>
        <w:rPr/>
        <w:t xml:space="preserve">, liberou R$ 7.200,00 (contrato nº 204465045) e debitou R$ 4.785,98;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2.	em </w:t>
      </w:r>
      <w:r>
        <w:rPr>
          <w:b/>
          <w:bCs/>
        </w:rPr>
        <w:t xml:space="preserve">09/03/2026</w:t>
      </w:r>
      <w:r>
        <w:rPr/>
        <w:t xml:space="preserve">, liberou R$ 7.500,00 (contrato nº 206541263, “BB Renovação Consignação”) e debitou R$ 2.274,12;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3.	em </w:t>
      </w:r>
      <w:r>
        <w:rPr>
          <w:b/>
          <w:bCs/>
        </w:rPr>
        <w:t xml:space="preserve">31/03/2026</w:t>
      </w:r>
      <w:r>
        <w:rPr/>
        <w:t xml:space="preserve">, liberou R$ 5.300,00 (contrato nº 208660618) e debitou R$ 1.201,27.</w:t>
      </w:r>
    </w:p>
    <w:p>
      <w:pPr>
        <w:spacing w:after="60" w:line="360"/>
        <w:ind w:firstLine="850"/>
        <w:jc w:val="both"/>
      </w:pPr>
      <w:r>
        <w:rPr/>
        <w:t xml:space="preserve">Dos R$ 20.000,00 liberados, </w:t>
      </w:r>
      <w:r>
        <w:rPr>
          <w:b/>
          <w:bCs/>
        </w:rPr>
        <w:t xml:space="preserve">R$ 8.261,37</w:t>
      </w:r>
      <w:r>
        <w:rPr/>
        <w:t xml:space="preserve"> voltaram imediatamente ao próprio banco. Nos meses seguintes, os extratos de junho e agosto de 2026 registram, nos lançamentos futuros, créditos automáticos sob a rubrica “EMPRÉSTIMO” destinados a cobrir parcelas de “Pagamento Empréstimo CDC” que o saldo zerado não comportava. Em 06/08/2026, por exemplo, foram lançados débitos de R$ 1.156,24, R$ 19,73, R$ 19,75, R$ 1.155,10 e R$ 735,60, acompanhados de novos “empréstimos” de R$ 1.155,10 e R$ 19,73. O banco toma, em nome do consumidor, novo crédito para pagar o crédito anterior, num ciclo que só faz crescer a dívida.</w:t>
      </w:r>
    </w:p>
    <w:p>
      <w:pPr>
        <w:spacing w:after="60" w:line="360"/>
        <w:ind w:firstLine="850"/>
        <w:jc w:val="both"/>
      </w:pPr>
      <w:r>
        <w:rPr/>
        <w:t xml:space="preserve">Desde então, a conta corrente do Autor encerra todos os dias com saldo zero, e os débitos de seguros, tributos e serviços são sucessivamente estornados. As despesas essenciais do Autor, estimadas em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 mensais (alimentação, moradia, água e energia, deslocamento entre Miguel Alves e União, saúde), não são custeadas com regularidade.</w:t>
      </w:r>
    </w:p>
    <w:p>
      <w:pPr>
        <w:spacing w:after="60" w:line="360"/>
        <w:ind w:firstLine="850"/>
        <w:jc w:val="both"/>
      </w:pPr>
      <w:r>
        <w:rPr/>
        <w:t xml:space="preserve">O Autor não pretende se eximir de suas obrigações. Busca reorganizá-las por meio de plano de pagamento compatível com sua renda e com a preservação do mínimo existencial.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direito.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Da relação de consumo e da inversão do ônus da prova:</w:t>
      </w:r>
    </w:p>
    <w:p>
      <w:pPr>
        <w:spacing w:after="60" w:line="360"/>
        <w:ind w:firstLine="850"/>
        <w:jc w:val="both"/>
      </w:pPr>
      <w:r>
        <w:rPr/>
        <w:t xml:space="preserve">A relação entre as partes é de consumo (arts. 2º e 3º, § 2º, do CDC; Súmula 297 do STJ). Os contracheques e extratos conferem verossimilhança às alegações, e o Autor não dispõe das cópias dos contratos nem dos demonstrativos de saldo devedor, documentos que se encontram exclusivamente em poder dos Réus. Impõe-se, assim, a inversão do ônus da prova (art. 6º, VIII, do CDC), com a determinação de que os Réus exibam os contratos, os comprovantes de averbação e consulta de margem e o demonstrativo atualizado de cada operação.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Do superendividamento:</w:t>
      </w:r>
    </w:p>
    <w:p>
      <w:pPr>
        <w:spacing w:after="60" w:line="360"/>
        <w:ind w:firstLine="850"/>
        <w:jc w:val="both"/>
      </w:pPr>
      <w:r>
        <w:rPr/>
        <w:t xml:space="preserve">O art. 54-A, § 1º, do CDC define o superendividamento como “a impossibilidade manifesta de o consumidor pessoa natural, de boa-fé, pagar a totalidade de suas dívidas de consumo, exigíveis e vincendas, sem comprometer seu mínimo existencial, nos termos da regulamentação”.</w:t>
      </w:r>
    </w:p>
    <w:p>
      <w:pPr>
        <w:spacing w:after="60" w:line="360"/>
        <w:ind w:firstLine="850"/>
        <w:jc w:val="both"/>
      </w:pPr>
      <w:r>
        <w:rPr/>
        <w:t xml:space="preserve">É exatamente o caso dos autos: as dívidas de consumo exigíveis consomem praticamente toda a renda líquida do Autor, que vive com a conta zerada e depende de novos créditos para pagar os anteriores.</w:t>
      </w:r>
    </w:p>
    <w:p>
      <w:pPr>
        <w:spacing w:after="60" w:line="360"/>
        <w:ind w:firstLine="850"/>
        <w:jc w:val="both"/>
      </w:pPr>
      <w:r>
        <w:rPr/>
        <w:t xml:space="preserve">O mínimo existencial deve ser aferido no caso concreto. O valor fixado pelo Decreto nº 11.150/2022, com a redação do Decreto nº 11.567/2023, não pode ser tomado como parâmetro absoluto, sob pena de esvaziar a finalidade protetiva da Lei nº 14.181/2021, tanto que é objeto de questionamento no Supremo Tribunal Federal (ADPFs 1005 e 1006).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Da margem consignável e da concessão irresponsável de crédito:</w:t>
      </w:r>
    </w:p>
    <w:p>
      <w:pPr>
        <w:spacing w:after="60" w:line="360"/>
        <w:ind w:firstLine="850"/>
        <w:jc w:val="both"/>
      </w:pPr>
      <w:r>
        <w:rPr/>
        <w:t xml:space="preserve">O art. 6º, XI, do CDC assegura ao consumidor “a garantia de práticas de crédito responsável”, e o art. 54-D, II, impõe ao fornecedor o dever de, previamente à contratação, “avaliar, de forma responsável, as condições de crédito do consumidor”.</w:t>
      </w:r>
    </w:p>
    <w:p>
      <w:pPr>
        <w:spacing w:after="60" w:line="360"/>
        <w:ind w:firstLine="850"/>
        <w:jc w:val="both"/>
      </w:pPr>
      <w:r>
        <w:rPr/>
        <w:t xml:space="preserve">A margem consignável não é parâmetro criado pelo Judiciário. Trata-se de limite legal, aplicado por analogia pela jurisprudência, que deveria ter sido observado no momento da concessão do crédito, como expressão do dever de avaliar a capacidade de pagamento. No caso, os próprios contracheques demonstram que os descontos superam a margem em ambos os vínculos: em Miguel Alves, a margem residual é de R$ 1,26; em União, o desconto do Bradesco (R$ 2.266,17) é quase o dobro da margem informada pelo órgão pagador (R$ 1.168,24).</w:t>
      </w:r>
    </w:p>
    <w:p>
      <w:pPr>
        <w:spacing w:after="60" w:line="360"/>
        <w:ind w:firstLine="850"/>
        <w:jc w:val="both"/>
      </w:pPr>
      <w:r>
        <w:rPr/>
        <w:t xml:space="preserve">Em caso idêntico, envolvendo professora da rede municipal de Miguel Alves e os mesmos Réus, o Egrégio Tribunal de Justiça do Piauí, no Agravo de Instrumento nº 0757054-31.2025.8.18.0000, de relatoria do Exmo. Des. José Wilson Ferreira de Araújo Júnior, confirmado pelo colegiado, limitou os descontos a 35% da remuneração líquida, reconhecendo que os contracheques constituíam “prova documental robusta e coerente com os fatos narrados” e que a retenção dos vencimentos colocava a consumidora “em estado de vulnerabilidade social extrema”. A sentença proferida por este Juízo naqueles autos (Processo nº 0800070-46.2025.8.18.0061) confirmou a limitação, de forma solidária, e assentou: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“A concessão sucessiva de crédito, sem uma avaliação criteriosa e global da capacidade de pagamento da consumidora, revela uma falha no dever de cuidado por parte das instituições financeiras. A busca incessante pelo lucro não pode se sobrepor à responsabilidade social e à boa-fé objetiva, que devem nortear a concessão de crédito (art. 54-D, CDC).”</w:t>
      </w:r>
    </w:p>
    <w:p>
      <w:pPr>
        <w:spacing w:after="60" w:line="360"/>
        <w:ind w:firstLine="850"/>
        <w:jc w:val="both"/>
      </w:pPr>
      <w:r>
        <w:rPr/>
        <w:t xml:space="preserve">O mesmo se verifica aqui, com o agravante de que o Banco do Brasil liberou três consignados em um único mês para amortizar sua própria renegociação e passou a lançar “empréstimos” automáticos para cobrir parcelas de outros empréstimos. O descumprimento dos deveres de crédito responsável autoriza a redução dos juros e encargos e a dilação do prazo de pagamento (art. 54-D, parágrafo único, do CDC).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repactuação das dívidas:</w:t>
      </w:r>
    </w:p>
    <w:p>
      <w:pPr>
        <w:spacing w:after="60" w:line="360"/>
        <w:ind w:firstLine="850"/>
        <w:jc w:val="both"/>
      </w:pPr>
      <w:r>
        <w:rPr/>
        <w:t xml:space="preserve">O art. 104-A do CDC autoriza o consumidor superendividado a requerer a instauração de processo de repactuação de dívidas, com audiência conciliatória na qual apresentará plano de pagamento com prazo máximo de 5 (cinco) anos, preservado o mínimo existencial. O não comparecimento injustificado do credor acarreta a suspensão da exigibilidade do débito, a interrupção dos encargos da mora e a sujeição compulsória ao plano (art. 104-A, § 2º). Frustrada a conciliação, instaura-se, a pedido do consumidor, processo para revisão e integração dos contratos e repactuação das dívidas remanescentes mediante plano judicial compulsório (art. 104-B).</w:t>
      </w:r>
    </w:p>
    <w:p>
      <w:pPr>
        <w:spacing w:after="60" w:line="360"/>
        <w:ind w:firstLine="850"/>
        <w:jc w:val="both"/>
      </w:pPr>
      <w:r>
        <w:rPr/>
        <w:t xml:space="preserve">As dívidas objeto desta ação decorrem de crédito pessoal, consignado e serviços bancários, e não se enquadram nas exclusões do art. 104-A, § 1º, do CDC.</w:t>
      </w:r>
    </w:p>
    <w:p>
      <w:pPr>
        <w:spacing w:after="60" w:line="360"/>
        <w:ind w:firstLine="850"/>
        <w:jc w:val="both"/>
      </w:pPr>
      <w:r>
        <w:rPr/>
        <w:t xml:space="preserve">Registre-se que não se aplica o Tema 1.085 do STJ (REsp 1.863.973/SP). Não se pretende a aplicação analógica do limite de consignação a descontos em conta corrente de forma isolada, mas a repactuação global das dívidas de consumidor superendividado, com fundamento na Lei nº 14.181/2021. Quanto aos consignados em folha, o excesso decorre da própria superação da margem informada pelos órgãos pagadores.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Da tutela de urgência.</w:t>
      </w:r>
    </w:p>
    <w:p>
      <w:pPr>
        <w:spacing w:after="60" w:line="360"/>
        <w:ind w:firstLine="850"/>
        <w:jc w:val="both"/>
      </w:pPr>
      <w:r>
        <w:rPr/>
        <w:t xml:space="preserve">A probabilidade do direito está demonstrada pelos contracheques, que revelam consignados correspondentes a 51,95% da remuneração líquida, acima da margem informada pelos próprios órgãos pagadores, e pelos extratos, que comprovam a conta zerada e a concessão automática de novos empréstimos para pagar os anteriores. O perigo de dano decorre da natureza alimentar do salário (art. 7º, X, da CF; art. 833, IV, do CPC): a cada mês, a renda do Autor é absorvida pelas dívidas, e a espera pela audiência agravará o débito, seja pelos novos “empréstimos” automáticos do Banco do Brasil, seja pelos encargos de mora do Bradesco, que elevaram o saldo vencido em quase R$ 20 mil em menos de quatro meses.</w:t>
      </w:r>
    </w:p>
    <w:p>
      <w:pPr>
        <w:spacing w:after="60" w:line="360"/>
        <w:ind w:firstLine="850"/>
        <w:jc w:val="both"/>
      </w:pPr>
      <w:r>
        <w:rPr/>
        <w:t xml:space="preserve">A medida é reversível (art. 300, § 3º, do CPC). O Autor não se nega a pagar e declara, desde já, que se absterá de contrair novas dívidas e de praticar condutas que agravem sua situação de superendividamento (art. 104-A, § 4º, IV,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 plano de pagamento.</w:t>
      </w:r>
    </w:p>
    <w:p>
      <w:pPr>
        <w:spacing w:after="60" w:line="360"/>
        <w:ind w:firstLine="850"/>
        <w:jc w:val="both"/>
      </w:pPr>
      <w:r>
        <w:rPr/>
        <w:t xml:space="preserve">Em atenção ao art. 104-A do CDC, o Autor propõe o pagamento mensal de </w:t>
      </w:r>
      <w:r>
        <w:rPr>
          <w:b/>
          <w:bCs/>
        </w:rPr>
        <w:t xml:space="preserve">R$ 4.923,22</w:t>
      </w:r>
      <w:r>
        <w:rPr/>
        <w:t xml:space="preserve">, correspondente a 35% de sua remuneração líquida (R$ 3.751,08 em Miguel Alves e R$ 1.172,14 em União), mediante desconto em folha, pelo prazo de </w:t>
      </w:r>
      <w:r>
        <w:rPr>
          <w:b/>
          <w:bCs/>
        </w:rPr>
        <w:t xml:space="preserve">60 (sessenta) meses</w:t>
      </w:r>
      <w:r>
        <w:rPr/>
        <w:t xml:space="preserve">, totalizando </w:t>
      </w:r>
      <w:r>
        <w:rPr>
          <w:b/>
          <w:bCs/>
        </w:rPr>
        <w:t xml:space="preserve">R$ 295.393,20</w:t>
      </w:r>
      <w:r>
        <w:rPr/>
        <w:t xml:space="preserve">, rateado entre os credores na proporção dos respectivos saldos devedores, a serem apurados após a exibição dos demonstrativos pelos Réus.</w:t>
      </w:r>
    </w:p>
    <w:p>
      <w:pPr>
        <w:spacing w:after="60" w:line="360"/>
        <w:ind w:firstLine="850"/>
        <w:jc w:val="both"/>
      </w:pPr>
      <w:r>
        <w:rPr/>
        <w:t xml:space="preserve">O plano contempla: (i) a dilação dos prazos e a redução dos encargos; (ii) a suspensão das ações judiciais relativas às dívidas abrangidas; (iii) a exclusão do nome do Autor dos cadastros de inadimplentes em até 5 (cinco) dias após a homologação; e (iv) o condicionamento de seus efeitos à abstenção, pelo Autor, de condutas que agravem sua situação (art. 104-A, § 4º, do CDC).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Dos pedidos.</w:t>
      </w:r>
    </w:p>
    <w:p>
      <w:pPr>
        <w:spacing w:after="60" w:line="360"/>
        <w:ind w:firstLine="850"/>
        <w:jc w:val="both"/>
      </w:pPr>
      <w:r>
        <w:rPr/>
        <w:t xml:space="preserve">Ante o exposto, requer o Autor: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A.	a concessão da </w:t>
      </w:r>
      <w:r>
        <w:rPr>
          <w:b/>
          <w:bCs/>
        </w:rPr>
        <w:t xml:space="preserve">gratuidade da justiça</w:t>
      </w:r>
      <w:r>
        <w:rPr/>
        <w:t xml:space="preserve"> ou, subsidiariamente, sua concessão parcial ou o parcelamento das custas (art. 98, §§ 5º e 6º,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B.	a concessão de </w:t>
      </w:r>
      <w:r>
        <w:rPr>
          <w:b/>
          <w:bCs/>
        </w:rPr>
        <w:t xml:space="preserve">tutela de urgência</w:t>
      </w:r>
      <w:r>
        <w:rPr/>
        <w:t xml:space="preserve">, inaudita altera pars, para: (i) limitar os descontos de empréstimos consignados a </w:t>
      </w:r>
      <w:r>
        <w:rPr>
          <w:b/>
          <w:bCs/>
        </w:rPr>
        <w:t xml:space="preserve">35% da remuneração líquida de cada vínculo</w:t>
      </w:r>
      <w:r>
        <w:rPr/>
        <w:t xml:space="preserve"> (R$ 3.751,08 em Miguel Alves e R$ 1.172,14 em União), com rateio proporcional entre os contratos e solidariedade dos Réus na observância do limite, oficiando-se à Secretaria Municipal de Educação de Miguel Alves e ao Município de União; (ii) determinar ao Banco do Brasil que se abstenha de debitar da conta corrente do Autor parcelas de empréstimos e de lançar novos “empréstimos” automáticos para cobertura de parcelas; (iii) determinar aos Réus que se abstenham de inscrever o nome do Autor em cadastros de inadimplentes, ou que excluam as inscrições existentes, quanto às dívidas objeto desta ação; e (iv) suspender a exigibilidade dos valores excedentes, sem encargos moratórios, tudo sob pena de multa por ato de descumprimento (art. 537 do CPC);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C.	a designação de </w:t>
      </w:r>
      <w:r>
        <w:rPr>
          <w:b/>
          <w:bCs/>
        </w:rPr>
        <w:t xml:space="preserve">audiência de conciliação global</w:t>
      </w:r>
      <w:r>
        <w:rPr/>
        <w:t xml:space="preserve">, preferencialmente por videoconferência, com a citação dos Réus para dela participarem, sob as penas do art. 104-A, § 2º, do CDC;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D.	a </w:t>
      </w:r>
      <w:r>
        <w:rPr>
          <w:b/>
          <w:bCs/>
        </w:rPr>
        <w:t xml:space="preserve">inversão do ônus da prova</w:t>
      </w:r>
      <w:r>
        <w:rPr/>
        <w:t xml:space="preserve"> (art. 6º, VIII, do CDC), determinando-se que os Réus apresentem, até 15 (quinze) dias antes da audiência, os contratos firmados com o Autor, os comprovantes de consulta e averbação de margem e o demonstrativo atualizado do saldo devedor de cada operação;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E.	a </w:t>
      </w:r>
      <w:r>
        <w:rPr>
          <w:b/>
          <w:bCs/>
        </w:rPr>
        <w:t xml:space="preserve">homologação</w:t>
      </w:r>
      <w:r>
        <w:rPr/>
        <w:t xml:space="preserve"> do plano de pagamento ajustado em audiência (art. 104-A, § 3º, do CDC) ou, não havendo acordo com qualquer credor, a instauração do processo por superendividamento para revisão e integração dos contratos e </w:t>
      </w:r>
      <w:r>
        <w:rPr>
          <w:b/>
          <w:bCs/>
        </w:rPr>
        <w:t xml:space="preserve">plano judicial compulsório</w:t>
      </w:r>
      <w:r>
        <w:rPr/>
        <w:t xml:space="preserve"> (art. 104-B do CDC), com a redução de juros e encargos prevista no art. 54-D, parágrafo único, do CDC e o pagamento do saldo remanescente sem acréscimo de juros moratórios;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rPr/>
        <w:t xml:space="preserve">F.	a condenação dos Réus ao pagamento das custas processuais e dos honorários advocatícios de 20% sobre o valor atualizado da causa (art. 85, § 2º, do CPC).</w:t>
      </w:r>
    </w:p>
    <w:p>
      <w:pPr>
        <w:spacing w:after="60" w:line="360"/>
        <w:ind w:firstLine="850"/>
        <w:jc w:val="both"/>
      </w:pPr>
      <w:r>
        <w:rPr/>
        <w:t xml:space="preserve">Protesta provar o alegado por todos os meios de prova em direito admitidos, especialmente a documental.</w:t>
      </w:r>
    </w:p>
    <w:p>
      <w:pPr>
        <w:spacing w:after="60" w:line="360"/>
        <w:ind w:firstLine="850"/>
        <w:jc w:val="both"/>
      </w:pPr>
      <w:r>
        <w:rPr/>
        <w:t xml:space="preserve">Dá-se à causa o valor de </w:t>
      </w:r>
      <w:r>
        <w:rPr>
          <w:b/>
          <w:bCs/>
        </w:rPr>
        <w:t xml:space="preserve">R$ </w:t>
      </w:r>
      <w:r>
        <w:rPr>
          <w:b/>
          <w:bCs/>
          <w:highlight w:val="yellow"/>
        </w:rPr>
        <w:t xml:space="preserve">[__]</w:t>
      </w:r>
      <w:r>
        <w:rPr/>
        <w:t xml:space="preserve">, correspondente à soma dos saldos devedores das dívidas submetidas ao procedimento.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Nestes termos,</w:t>
      </w:r>
    </w:p>
    <w:p>
      <w:pPr>
        <w:spacing w:after="0" w:line="360"/>
        <w:jc w:val="center"/>
      </w:pPr>
      <w:r>
        <w:rPr/>
        <w:t xml:space="preserve">Pede deferimento.</w:t>
      </w:r>
    </w:p>
    <w:p>
      <w:pPr>
        <w:spacing w:after="0" w:line="360"/>
      </w:pPr>
    </w:p>
    <w:p>
      <w:pPr>
        <w:spacing w:after="0" w:line="360"/>
        <w:jc w:val="center"/>
      </w:pPr>
      <w:r>
        <w:rPr/>
        <w:t xml:space="preserve">Miguel Alves-PI, datado eletronicamente.</w:t>
      </w:r>
    </w:p>
    <w:p>
      <w:pPr>
        <w:spacing w:after="0" w:line="360"/>
      </w:pPr>
    </w:p>
    <w:p>
      <w:pPr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Inicial - Repactuação de dívidas - Francisco Bernardo Sousa Santos (minuta)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