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both"/>
      </w:pPr>
      <w:r>
        <w:rPr>
          <w:b/>
          <w:i w:val="0"/>
          <w:u w:val="none"/>
        </w:rPr>
        <w:t>EXCELENTÍSSIMO SENHOR DOUTOR JUIZ DE DIREITO DA VARA ÚNICA DA COMARCA DE MIGUEL ALVES-PI.</w:t>
      </w:r>
    </w:p>
    <w:p/>
    <w:p/>
    <w:p>
      <w:pPr>
        <w:spacing w:after="0"/>
        <w:jc w:val="both"/>
      </w:pPr>
      <w:r>
        <w:rPr>
          <w:b/>
          <w:i w:val="0"/>
          <w:u w:val="none"/>
        </w:rPr>
        <w:t>Processo nº 0800633-40.2025.8.18.0061</w:t>
      </w:r>
    </w:p>
    <w:p/>
    <w:p/>
    <w:p>
      <w:pPr>
        <w:spacing w:after="0"/>
        <w:ind w:firstLine="850"/>
        <w:jc w:val="both"/>
      </w:pPr>
      <w:r>
        <w:rPr>
          <w:b/>
          <w:i w:val="0"/>
          <w:u w:val="none"/>
        </w:rPr>
        <w:t>MARIA DOS MILAGRES DE SOUSA OLIVEIRA</w:t>
      </w:r>
      <w:r>
        <w:rPr>
          <w:b w:val="0"/>
          <w:i w:val="0"/>
          <w:u w:val="none"/>
        </w:rPr>
        <w:t xml:space="preserve">, já devidamente qualificada nos autos do processo em epígrafe, no qual contende com </w:t>
      </w:r>
      <w:r>
        <w:rPr>
          <w:b/>
          <w:i w:val="0"/>
          <w:u w:val="none"/>
        </w:rPr>
        <w:t>PORTAL DA CIDADE DE MIGUEL ALVES SPE LTDA.</w:t>
      </w:r>
      <w:r>
        <w:rPr>
          <w:b w:val="0"/>
          <w:i w:val="0"/>
          <w:u w:val="none"/>
        </w:rPr>
        <w:t xml:space="preserve">, </w:t>
      </w:r>
      <w:r>
        <w:rPr>
          <w:b/>
          <w:i w:val="0"/>
          <w:u w:val="none"/>
        </w:rPr>
        <w:t>VIVALAR INCORPORAÇÕES IMOBILIÁRIAS LTDA.</w:t>
      </w:r>
      <w:r>
        <w:rPr>
          <w:b w:val="0"/>
          <w:i w:val="0"/>
          <w:u w:val="none"/>
        </w:rPr>
        <w:t xml:space="preserve"> e </w:t>
      </w:r>
      <w:r>
        <w:rPr>
          <w:b/>
          <w:i w:val="0"/>
          <w:u w:val="none"/>
        </w:rPr>
        <w:t>ROGERS RAMON SOARES FREITAS</w:t>
      </w:r>
      <w:r>
        <w:rPr>
          <w:b w:val="0"/>
          <w:i w:val="0"/>
          <w:u w:val="none"/>
        </w:rPr>
        <w:t>, vem, respeitosamente, perante Vossa Excelência, por intermédio de seu advogado signatário, com fundamento nos arts. 513, 523 e 524 do Código de Processo Civil, requerer o</w:t>
      </w:r>
    </w:p>
    <w:p/>
    <w:p>
      <w:pPr>
        <w:spacing w:after="0"/>
        <w:jc w:val="center"/>
      </w:pPr>
      <w:r>
        <w:rPr>
          <w:b/>
          <w:i w:val="0"/>
          <w:u w:val="none"/>
        </w:rPr>
        <w:t>CUMPRIMENTO DE SENTENÇA</w:t>
      </w:r>
    </w:p>
    <w:p/>
    <w:p>
      <w:pPr>
        <w:spacing w:after="0"/>
        <w:jc w:val="both"/>
      </w:pPr>
      <w:r>
        <w:rPr>
          <w:b w:val="0"/>
          <w:i w:val="0"/>
          <w:u w:val="none"/>
        </w:rPr>
        <w:t>em face dos Executados acima nominados, pelos fundamentos de fato e de direito a seguir expostos.</w:t>
      </w:r>
    </w:p>
    <w:p/>
    <w:p>
      <w:pPr>
        <w:spacing w:after="120"/>
        <w:ind w:left="567"/>
        <w:jc w:val="both"/>
      </w:pPr>
      <w:r>
        <w:rPr>
          <w:b/>
          <w:i/>
          <w:u w:val="none"/>
        </w:rPr>
        <w:t>1.  DO TÍTULO EXECUTIVO JUDICIAL: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>A sentença de ID 101853105 julgou procedentes os pedidos da Autora, declarando a rescisão contratual com a restituição imediata e integral dos valores pagos, corrigidos pela taxa SELIC desde a citação, e condenando os Réus ao pagamento de indenização por danos morais de R$ 2.000,00 (dois mil reais), com incidência da SELIC desde o arbitramento, além de custas processuais e honorários advocatícios de 10% (dez por cento) sobre o valor da condenação.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 xml:space="preserve">Os embargos de declaração opostos pelos Réus foram acolhidos em parte, </w:t>
      </w:r>
      <w:r>
        <w:rPr>
          <w:b/>
          <w:i w:val="0"/>
          <w:u w:val="none"/>
        </w:rPr>
        <w:t>sem efeitos infringentes</w:t>
      </w:r>
      <w:r>
        <w:rPr>
          <w:b w:val="0"/>
          <w:i w:val="0"/>
          <w:u w:val="none"/>
        </w:rPr>
        <w:t>, pela decisão de ID 105869610, que integrou a sentença para:</w:t>
      </w:r>
    </w:p>
    <w:p>
      <w:pPr>
        <w:spacing w:after="80"/>
        <w:ind w:left="850"/>
        <w:jc w:val="both"/>
      </w:pPr>
      <w:r>
        <w:rPr>
          <w:b w:val="0"/>
          <w:i/>
          <w:u w:val="none"/>
        </w:rPr>
        <w:t>a) declarar que o feito tramita sob o Procedimento Comum Cível, mantendo hígida a condenação em custas e honorários sucumbenciais de 10% sobre o valor da condenação;</w:t>
      </w:r>
    </w:p>
    <w:p>
      <w:pPr>
        <w:spacing w:after="80"/>
        <w:ind w:left="850"/>
        <w:jc w:val="both"/>
      </w:pPr>
      <w:r>
        <w:rPr>
          <w:b w:val="0"/>
          <w:i/>
          <w:u w:val="none"/>
        </w:rPr>
        <w:t>c) explicitar que a rescisão alcança os contratos nº 524 (lote nº 039), nº 522 (lote nº 040) e nº 523 (lote nº 041), todos da Quadra D do Loteamento Portal da Cidade;</w:t>
      </w:r>
    </w:p>
    <w:p>
      <w:pPr>
        <w:spacing w:after="80"/>
        <w:ind w:left="850"/>
        <w:jc w:val="both"/>
      </w:pPr>
      <w:r>
        <w:rPr>
          <w:b w:val="0"/>
          <w:i/>
          <w:u w:val="none"/>
        </w:rPr>
        <w:t>d) declarar a responsabilidade solidária dos três Réus pela devolução dos valores pagos e pela indenização por danos morais;</w:t>
      </w:r>
    </w:p>
    <w:p>
      <w:pPr>
        <w:spacing w:after="80"/>
        <w:ind w:left="850"/>
        <w:jc w:val="both"/>
      </w:pPr>
      <w:r>
        <w:rPr>
          <w:b w:val="0"/>
          <w:i/>
          <w:u w:val="none"/>
        </w:rPr>
        <w:t>e) esclarecer que a restituição abrange o montante total de R$ 33.247,41 (trinta e três mil, duzentos e quarenta e sete reais e quarenta e um centavos), nele inseridos o sinal e a intermediação/corretagem, com incidência exclusiva da SELIC desde a citação.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 xml:space="preserve">A decisão transitou em julgado em </w:t>
      </w:r>
      <w:r>
        <w:rPr>
          <w:b/>
          <w:i w:val="0"/>
          <w:highlight w:val="yellow"/>
          <w:u w:val="none"/>
        </w:rPr>
        <w:t>[__/__/____]</w:t>
      </w:r>
      <w:r>
        <w:rPr>
          <w:b w:val="0"/>
          <w:i w:val="0"/>
          <w:u w:val="none"/>
        </w:rPr>
        <w:t xml:space="preserve">, conforme certidão de ID </w:t>
      </w:r>
      <w:r>
        <w:rPr>
          <w:b/>
          <w:i w:val="0"/>
          <w:highlight w:val="yellow"/>
          <w:u w:val="none"/>
        </w:rPr>
        <w:t>[________]</w:t>
      </w:r>
      <w:r>
        <w:rPr>
          <w:b w:val="0"/>
          <w:i w:val="0"/>
          <w:u w:val="none"/>
        </w:rPr>
        <w:t>, tornando o título exigível em caráter definitivo (art. 523 do CPC).</w:t>
      </w:r>
    </w:p>
    <w:p/>
    <w:p>
      <w:pPr>
        <w:spacing w:after="120"/>
        <w:ind w:left="567"/>
        <w:jc w:val="both"/>
      </w:pPr>
      <w:r>
        <w:rPr>
          <w:b/>
          <w:i/>
          <w:u w:val="none"/>
        </w:rPr>
        <w:t>2.  DA RESPONSABILIDADE SOLIDÁRIA DOS EXECUTADOS: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>Por força do item "d" da decisão de ID 105869610, os Executados respondem solidariamente pela totalidade da condenação, de modo que a Exequente pode exigir a dívida comum, por inteiro, de qualquer deles, nos termos do art. 275 do Código Civil:</w:t>
      </w:r>
    </w:p>
    <w:p>
      <w:pPr>
        <w:spacing w:line="240" w:lineRule="auto" w:after="160"/>
        <w:ind w:left="2268"/>
        <w:jc w:val="both"/>
      </w:pPr>
      <w:r>
        <w:rPr>
          <w:b w:val="0"/>
          <w:i/>
          <w:sz w:val="18"/>
          <w:u w:val="none"/>
        </w:rPr>
        <w:t>Art. 275. O credor tem direito a exigir e receber de um ou de alguns dos devedores, parcial ou totalmente, a dívida comum; se o pagamento tiver sido parcial, todos os demais devedores continuam obrigados solidariamente pelo resto.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>Assim, o cumprimento é direcionado contra os três Executados, conjunta e indistintamente, cabendo a cada um o pagamento do valor integral do débito.</w:t>
      </w:r>
    </w:p>
    <w:p/>
    <w:p>
      <w:pPr>
        <w:spacing w:after="120"/>
        <w:ind w:left="567"/>
        <w:jc w:val="both"/>
      </w:pPr>
      <w:r>
        <w:rPr>
          <w:b/>
          <w:i/>
          <w:u w:val="none"/>
        </w:rPr>
        <w:t>3.  DO DEMONSTRATIVO DO DÉBITO: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>Em atenção ao art. 524 do CPC, segue o demonstrativo discriminado e atualizado do crédito, cuja memória completa consta da planilha anexa. O cálculo observa estritamente os parâmetros do título:</w:t>
      </w:r>
    </w:p>
    <w:p>
      <w:pPr>
        <w:spacing w:after="80"/>
        <w:ind w:left="850"/>
        <w:jc w:val="both"/>
      </w:pPr>
      <w:r>
        <w:rPr>
          <w:b w:val="0"/>
          <w:i w:val="0"/>
          <w:u w:val="none"/>
        </w:rPr>
        <w:t xml:space="preserve">Restituição: valor histórico de R$ 33.247,41, fixado no item "e" da decisão de ID 105869610, atualizado pela SELIC a partir da citação, ocorrida em </w:t>
      </w:r>
      <w:r>
        <w:rPr>
          <w:b/>
          <w:i w:val="0"/>
          <w:highlight w:val="yellow"/>
          <w:u w:val="none"/>
        </w:rPr>
        <w:t>[20/10/2025 – conferir ID ___]</w:t>
      </w:r>
      <w:r>
        <w:rPr>
          <w:b w:val="0"/>
          <w:i w:val="0"/>
          <w:u w:val="none"/>
        </w:rPr>
        <w:t>;</w:t>
      </w:r>
    </w:p>
    <w:p>
      <w:pPr>
        <w:spacing w:after="80"/>
        <w:ind w:left="850"/>
        <w:jc w:val="both"/>
      </w:pPr>
      <w:r>
        <w:rPr>
          <w:b w:val="0"/>
          <w:i w:val="0"/>
          <w:u w:val="none"/>
        </w:rPr>
        <w:t>Danos morais: R$ 2.000,00, atualizados pela SELIC a partir do arbitramento (30/07/2026);</w:t>
      </w:r>
    </w:p>
    <w:p>
      <w:pPr>
        <w:spacing w:after="80"/>
        <w:ind w:left="850"/>
        <w:jc w:val="both"/>
      </w:pPr>
      <w:r>
        <w:rPr>
          <w:b w:val="0"/>
          <w:i w:val="0"/>
          <w:u w:val="none"/>
        </w:rPr>
        <w:t>Honorários sucumbenciais: 10% (dez por cento) sobre o valor atualizado da condenação;</w:t>
      </w:r>
    </w:p>
    <w:p>
      <w:pPr>
        <w:spacing w:after="160"/>
        <w:ind w:left="850"/>
        <w:jc w:val="both"/>
      </w:pPr>
      <w:r>
        <w:rPr>
          <w:b w:val="0"/>
          <w:i w:val="0"/>
          <w:u w:val="none"/>
        </w:rPr>
        <w:t>Data-base: 30/10/2026.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195"/>
        <w:gridCol w:w="1814"/>
        <w:gridCol w:w="1361"/>
        <w:gridCol w:w="1928"/>
      </w:tblGrid>
      <w:tr>
        <w:tc>
          <w:tcPr>
            <w:tcW w:type="dxa" w:w="4195"/>
            <w:shd w:val="clear" w:color="auto" w:fill="0000FF"/>
          </w:tcPr>
          <w:p>
            <w:pPr>
              <w:spacing w:line="276" w:lineRule="auto"/>
              <w:jc w:val="center"/>
            </w:pPr>
            <w:r>
              <w:rPr>
                <w:b/>
                <w:color w:val="FFFFFF"/>
                <w:sz w:val="20"/>
              </w:rPr>
              <w:t>Verba</w:t>
            </w:r>
          </w:p>
        </w:tc>
        <w:tc>
          <w:tcPr>
            <w:tcW w:type="dxa" w:w="1814"/>
            <w:shd w:val="clear" w:color="auto" w:fill="0000FF"/>
          </w:tcPr>
          <w:p>
            <w:pPr>
              <w:spacing w:line="276" w:lineRule="auto"/>
              <w:jc w:val="center"/>
            </w:pPr>
            <w:r>
              <w:rPr>
                <w:b/>
                <w:color w:val="FFFFFF"/>
                <w:sz w:val="20"/>
              </w:rPr>
              <w:t>Valor histórico</w:t>
            </w:r>
          </w:p>
        </w:tc>
        <w:tc>
          <w:tcPr>
            <w:tcW w:type="dxa" w:w="1361"/>
            <w:shd w:val="clear" w:color="auto" w:fill="0000FF"/>
          </w:tcPr>
          <w:p>
            <w:pPr>
              <w:spacing w:line="276" w:lineRule="auto"/>
              <w:jc w:val="center"/>
            </w:pPr>
            <w:r>
              <w:rPr>
                <w:b/>
                <w:color w:val="FFFFFF"/>
                <w:sz w:val="20"/>
              </w:rPr>
              <w:t>Fator SELIC</w:t>
            </w:r>
          </w:p>
        </w:tc>
        <w:tc>
          <w:tcPr>
            <w:tcW w:type="dxa" w:w="1928"/>
            <w:shd w:val="clear" w:color="auto" w:fill="0000FF"/>
          </w:tcPr>
          <w:p>
            <w:pPr>
              <w:spacing w:line="276" w:lineRule="auto"/>
              <w:jc w:val="center"/>
            </w:pPr>
            <w:r>
              <w:rPr>
                <w:b/>
                <w:color w:val="FFFFFF"/>
                <w:sz w:val="20"/>
              </w:rPr>
              <w:t>Valor atualizado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  <w:jc w:val="left"/>
            </w:pPr>
            <w:r>
              <w:rPr>
                <w:b/>
                <w:sz w:val="20"/>
              </w:rPr>
              <w:t>Restituição dos valores pagos (contratos nº 522, 523 e 524)</w:t>
            </w:r>
          </w:p>
        </w:tc>
        <w:tc>
          <w:tcPr>
            <w:tcW w:type="dxa" w:w="1814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R$ 33.247,41</w:t>
            </w:r>
          </w:p>
        </w:tc>
        <w:tc>
          <w:tcPr>
            <w:tcW w:type="dxa" w:w="1361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1,144079</w:t>
            </w:r>
          </w:p>
        </w:tc>
        <w:tc>
          <w:tcPr>
            <w:tcW w:type="dxa" w:w="1928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R$ 38.037,66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  <w:jc w:val="left"/>
            </w:pPr>
            <w:r>
              <w:rPr>
                <w:b/>
                <w:sz w:val="20"/>
              </w:rPr>
              <w:t>Indenização por danos morais</w:t>
            </w:r>
          </w:p>
        </w:tc>
        <w:tc>
          <w:tcPr>
            <w:tcW w:type="dxa" w:w="1814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R$ 2.000,00</w:t>
            </w:r>
          </w:p>
        </w:tc>
        <w:tc>
          <w:tcPr>
            <w:tcW w:type="dxa" w:w="1361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1,030075</w:t>
            </w:r>
          </w:p>
        </w:tc>
        <w:tc>
          <w:tcPr>
            <w:tcW w:type="dxa" w:w="1928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R$ 2.060,15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  <w:jc w:val="left"/>
            </w:pPr>
            <w:r>
              <w:rPr>
                <w:b/>
                <w:sz w:val="20"/>
              </w:rPr>
              <w:t>Subtotal da condenação</w:t>
            </w:r>
          </w:p>
        </w:tc>
        <w:tc>
          <w:tcPr>
            <w:tcW w:type="dxa" w:w="1814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R$ 35.247,41</w:t>
            </w:r>
          </w:p>
        </w:tc>
        <w:tc>
          <w:tcPr>
            <w:tcW w:type="dxa" w:w="1361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1928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R$ 40.097,81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  <w:jc w:val="left"/>
            </w:pPr>
            <w:r>
              <w:rPr>
                <w:b/>
                <w:sz w:val="20"/>
              </w:rPr>
              <w:t>Honorários sucumbenciais (10%)</w:t>
            </w:r>
          </w:p>
        </w:tc>
        <w:tc>
          <w:tcPr>
            <w:tcW w:type="dxa" w:w="1814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1361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1928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R$ 4.009,78</w:t>
            </w:r>
          </w:p>
        </w:tc>
      </w:tr>
      <w:tr>
        <w:tc>
          <w:tcPr>
            <w:tcW w:type="dxa" w:w="4195"/>
            <w:shd w:val="clear" w:color="auto" w:fill="0000FF"/>
          </w:tcPr>
          <w:p>
            <w:pPr>
              <w:spacing w:line="276" w:lineRule="auto"/>
              <w:jc w:val="left"/>
            </w:pPr>
            <w:r>
              <w:rPr>
                <w:b/>
                <w:color w:val="FFFFFF"/>
                <w:sz w:val="20"/>
              </w:rPr>
              <w:t>TOTAL DEVIDO</w:t>
            </w:r>
          </w:p>
        </w:tc>
        <w:tc>
          <w:tcPr>
            <w:tcW w:type="dxa" w:w="1814"/>
            <w:shd w:val="clear" w:color="auto" w:fill="0000FF"/>
          </w:tcPr>
          <w:p>
            <w:pPr>
              <w:spacing w:line="276" w:lineRule="auto"/>
              <w:jc w:val="center"/>
            </w:pPr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1361"/>
            <w:shd w:val="clear" w:color="auto" w:fill="0000FF"/>
          </w:tcPr>
          <w:p>
            <w:pPr>
              <w:spacing w:line="276" w:lineRule="auto"/>
              <w:jc w:val="center"/>
            </w:pPr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1928"/>
            <w:shd w:val="clear" w:color="auto" w:fill="0000FF"/>
          </w:tcPr>
          <w:p>
            <w:pPr>
              <w:spacing w:line="276" w:lineRule="auto"/>
              <w:jc w:val="center"/>
            </w:pPr>
            <w:r>
              <w:rPr>
                <w:b/>
                <w:color w:val="FFFFFF"/>
                <w:sz w:val="20"/>
              </w:rPr>
              <w:t>R$ 44.107,59</w:t>
            </w:r>
          </w:p>
        </w:tc>
      </w:tr>
    </w:tbl>
    <w:p/>
    <w:p>
      <w:pPr>
        <w:spacing w:after="0"/>
        <w:ind w:firstLine="850"/>
        <w:jc w:val="both"/>
      </w:pPr>
      <w:r>
        <w:rPr>
          <w:b w:val="0"/>
          <w:i w:val="0"/>
          <w:u w:val="none"/>
        </w:rPr>
        <w:t xml:space="preserve">Desse modo, o débito exequendo perfaz, em 30/10/2026, o montante de </w:t>
      </w:r>
      <w:r>
        <w:rPr>
          <w:b/>
          <w:i w:val="0"/>
          <w:u w:val="none"/>
        </w:rPr>
        <w:t>R$ 44.107,59 (quarenta e quatro mil, cento e sete reais e cinquenta e nove centavos)</w:t>
      </w:r>
      <w:r>
        <w:rPr>
          <w:b w:val="0"/>
          <w:i w:val="0"/>
          <w:u w:val="none"/>
        </w:rPr>
        <w:t>, sem prejuízo da atualização até a data do efetivo pagamento.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>Registre-se que, em observância ao comando integrativo, a comissão de corretagem não é cobrada de forma autônoma, pois já se encontra compreendida no valor global restituído, inexistindo qualquer duplicidade.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>As custas processuais, a cargo dos Executados, deverão ser apuradas pela Secretaria, não integrando o crédito da Exequente, beneficiária da gratuidade da justiça.</w:t>
      </w:r>
    </w:p>
    <w:p/>
    <w:p>
      <w:pPr>
        <w:spacing w:after="120"/>
        <w:ind w:left="567"/>
        <w:jc w:val="both"/>
      </w:pPr>
      <w:r>
        <w:rPr>
          <w:b/>
          <w:i/>
          <w:u w:val="none"/>
        </w:rPr>
        <w:t>4.  DA MULTA E DOS HONORÁRIOS DO ART. 523, § 1º, DO CPC: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>Não ocorrendo o pagamento voluntário no prazo de 15 (quinze) dias, o débito será acrescido de multa de 10% (dez por cento) e de honorários advocatícios de 10% (dez por cento), conforme dispõe o art. 523, § 1º, do CPC:</w:t>
      </w:r>
    </w:p>
    <w:p>
      <w:pPr>
        <w:spacing w:line="240" w:lineRule="auto" w:after="160"/>
        <w:ind w:left="2268"/>
        <w:jc w:val="both"/>
      </w:pPr>
      <w:r>
        <w:rPr>
          <w:b w:val="0"/>
          <w:i/>
          <w:sz w:val="18"/>
          <w:u w:val="none"/>
        </w:rPr>
        <w:t>Art. 523. No caso de condenação em quantia certa, ou já fixada em liquidação, e no caso de decisão sobre parcela incontroversa, o cumprimento definitivo da sentença far-se-á a requerimento do exequente, sendo o executado intimado para pagar o débito, no prazo de 15 (quinze) dias, acrescido de custas, se houver.</w:t>
        <w:br/>
        <w:t>§ 1º Não ocorrendo pagamento voluntário no prazo do caput, o débito será acrescido de multa de dez por cento e, também, de honorários de advogado de dez por cento.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 xml:space="preserve">Nessa hipótese, sobre o total de R$ 44.107,59 incidirão multa de R$ 4.410,76 e honorários de R$ 4.410,76, perfazendo </w:t>
      </w:r>
      <w:r>
        <w:rPr>
          <w:b/>
          <w:i w:val="0"/>
          <w:u w:val="none"/>
        </w:rPr>
        <w:t>R$ 52.929,11 (cinquenta e dois mil, novecentos e vinte e nove reais e onze centavos)</w:t>
      </w:r>
      <w:r>
        <w:rPr>
          <w:b w:val="0"/>
          <w:i w:val="0"/>
          <w:u w:val="none"/>
        </w:rPr>
        <w:t>, na data-base do cálculo.</w:t>
      </w:r>
    </w:p>
    <w:p/>
    <w:p>
      <w:pPr>
        <w:spacing w:after="120"/>
        <w:ind w:left="567"/>
        <w:jc w:val="both"/>
      </w:pPr>
      <w:r>
        <w:rPr>
          <w:b/>
          <w:i/>
          <w:u w:val="none"/>
        </w:rPr>
        <w:t>5.  DOS PEDIDOS: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>Ante o exposto, requer a Vossa Excelência:</w:t>
      </w:r>
    </w:p>
    <w:p>
      <w:pPr>
        <w:spacing w:after="80"/>
        <w:ind w:left="850"/>
        <w:jc w:val="both"/>
      </w:pPr>
      <w:r>
        <w:rPr>
          <w:b/>
          <w:i w:val="0"/>
          <w:u w:val="none"/>
        </w:rPr>
        <w:t xml:space="preserve">A.  </w:t>
      </w:r>
      <w:r>
        <w:rPr>
          <w:b w:val="0"/>
          <w:i w:val="0"/>
          <w:u w:val="none"/>
        </w:rPr>
        <w:t>a intimação dos Executados, na pessoa de seu advogado constituído nos autos, nos termos do art. 513, § 2º, inciso I, do CPC, para que, solidariamente, efetuem o pagamento do débito de R$ 44.107,59 (quarenta e quatro mil, cento e sete reais e cinquenta e nove centavos), atualizado até a data do efetivo pagamento, no prazo de 15 (quinze) dias;</w:t>
      </w:r>
    </w:p>
    <w:p>
      <w:pPr>
        <w:spacing w:after="80"/>
        <w:ind w:left="850"/>
        <w:jc w:val="both"/>
      </w:pPr>
      <w:r>
        <w:rPr>
          <w:b/>
          <w:i w:val="0"/>
          <w:u w:val="none"/>
        </w:rPr>
        <w:t xml:space="preserve">B.  </w:t>
      </w:r>
      <w:r>
        <w:rPr>
          <w:b w:val="0"/>
          <w:i w:val="0"/>
          <w:u w:val="none"/>
        </w:rPr>
        <w:t>não havendo pagamento voluntário no prazo legal, o acréscimo da multa de 10% (dez por cento) e dos honorários advocatícios de 10% (dez por cento), na forma do art. 523, § 1º, do CPC;</w:t>
      </w:r>
    </w:p>
    <w:p>
      <w:pPr>
        <w:spacing w:after="80"/>
        <w:ind w:left="850"/>
        <w:jc w:val="both"/>
      </w:pPr>
      <w:r>
        <w:rPr>
          <w:b/>
          <w:i w:val="0"/>
          <w:u w:val="none"/>
        </w:rPr>
        <w:t xml:space="preserve">C.  </w:t>
      </w:r>
      <w:r>
        <w:rPr>
          <w:b w:val="0"/>
          <w:i w:val="0"/>
          <w:u w:val="none"/>
        </w:rPr>
        <w:t>decorrido o prazo sem pagamento, a penhora de ativos financeiros dos Executados via SISBAJUD, inclusive na modalidade de reiteração automática ("teimosinha"), até o limite do débito, nos termos dos arts. 523, § 3º, e 854 do CPC;</w:t>
      </w:r>
    </w:p>
    <w:p>
      <w:pPr>
        <w:spacing w:after="80"/>
        <w:ind w:left="850"/>
        <w:jc w:val="both"/>
      </w:pPr>
      <w:r>
        <w:rPr>
          <w:b/>
          <w:i w:val="0"/>
          <w:u w:val="none"/>
        </w:rPr>
        <w:t xml:space="preserve">D.  </w:t>
      </w:r>
      <w:r>
        <w:rPr>
          <w:b w:val="0"/>
          <w:i w:val="0"/>
          <w:u w:val="none"/>
        </w:rPr>
        <w:t>restando infrutífera a medida anterior, a pesquisa e restrição de veículos via RENAJUD e a consulta de bens via INFOJUD, com a expedição de mandado de penhora e avaliação dos bens encontrados (art. 523, § 3º, do CPC);</w:t>
      </w:r>
    </w:p>
    <w:p>
      <w:pPr>
        <w:spacing w:after="80"/>
        <w:ind w:left="850"/>
        <w:jc w:val="both"/>
      </w:pPr>
      <w:r>
        <w:rPr>
          <w:b/>
          <w:i w:val="0"/>
          <w:u w:val="none"/>
        </w:rPr>
        <w:t xml:space="preserve">E.  </w:t>
      </w:r>
      <w:r>
        <w:rPr>
          <w:b w:val="0"/>
          <w:i w:val="0"/>
          <w:u w:val="none"/>
        </w:rPr>
        <w:t>a inclusão do nome dos Executados em cadastros de inadimplentes por meio do sistema SERASAJUD (art. 782, § 3º, do CPC) e a expedição de certidão para fins de protesto do título judicial (art. 517 do CPC);</w:t>
      </w:r>
    </w:p>
    <w:p>
      <w:pPr>
        <w:spacing w:after="80"/>
        <w:ind w:left="850"/>
        <w:jc w:val="both"/>
      </w:pPr>
      <w:r>
        <w:rPr>
          <w:b/>
          <w:i w:val="0"/>
          <w:u w:val="none"/>
        </w:rPr>
        <w:t xml:space="preserve">F.  </w:t>
      </w:r>
      <w:r>
        <w:rPr>
          <w:b w:val="0"/>
          <w:i w:val="0"/>
          <w:u w:val="none"/>
        </w:rPr>
        <w:t>a expedição de alvará judicial em favor da Exequente, quanto ao crédito principal, e em favor do advogado subscritor, quanto aos honorários sucumbenciais, que lhe pertencem por direito autônomo (art. 85, § 14, do CPC e art. 23 da Lei nº 8.906/94);</w:t>
      </w:r>
    </w:p>
    <w:p>
      <w:pPr>
        <w:spacing w:after="80"/>
        <w:ind w:left="850"/>
        <w:jc w:val="both"/>
      </w:pPr>
      <w:r>
        <w:rPr>
          <w:b/>
          <w:i w:val="0"/>
          <w:u w:val="none"/>
        </w:rPr>
        <w:t xml:space="preserve">G.  </w:t>
      </w:r>
      <w:r>
        <w:rPr>
          <w:b w:val="0"/>
          <w:i w:val="0"/>
          <w:u w:val="none"/>
        </w:rPr>
        <w:t>a manutenção dos benefícios da gratuidade da justiça concedidos à Exequente.</w:t>
      </w:r>
    </w:p>
    <w:p/>
    <w:p>
      <w:pPr>
        <w:spacing w:after="0"/>
        <w:ind w:firstLine="850"/>
        <w:jc w:val="both"/>
      </w:pPr>
      <w:r>
        <w:rPr>
          <w:b w:val="0"/>
          <w:i w:val="0"/>
          <w:u w:val="none"/>
        </w:rPr>
        <w:t>Junta, nesta oportunidade, a planilha de cálculo atualizada do débito.</w:t>
      </w:r>
    </w:p>
    <w:p/>
    <w:p>
      <w:pPr>
        <w:spacing w:after="0"/>
        <w:jc w:val="center"/>
      </w:pPr>
      <w:r>
        <w:rPr>
          <w:b w:val="0"/>
          <w:i w:val="0"/>
          <w:u w:val="none"/>
        </w:rPr>
        <w:t>Nestes termos,</w:t>
      </w:r>
    </w:p>
    <w:p>
      <w:pPr>
        <w:spacing w:after="0"/>
        <w:jc w:val="center"/>
      </w:pPr>
      <w:r>
        <w:rPr>
          <w:b w:val="0"/>
          <w:i w:val="0"/>
          <w:u w:val="none"/>
        </w:rPr>
        <w:t>Pede deferimento.</w:t>
      </w:r>
    </w:p>
    <w:p/>
    <w:p>
      <w:pPr>
        <w:spacing w:after="0"/>
        <w:jc w:val="center"/>
      </w:pPr>
      <w:r>
        <w:rPr>
          <w:b w:val="0"/>
          <w:i w:val="0"/>
          <w:u w:val="none"/>
        </w:rPr>
        <w:t>Miguel Alves-PI, datado eletronicamente.</w:t>
      </w:r>
    </w:p>
    <w:p/>
    <w:p/>
    <w:p>
      <w:pPr>
        <w:spacing w:after="0"/>
        <w:jc w:val="center"/>
      </w:pPr>
      <w:r>
        <w:rPr>
          <w:b/>
          <w:i w:val="0"/>
          <w:u w:val="none"/>
        </w:rPr>
        <w:t>ANTÔNIO DE PÁDUA SANTOS NETO</w:t>
      </w:r>
    </w:p>
    <w:p>
      <w:pPr>
        <w:spacing w:after="0"/>
        <w:jc w:val="center"/>
      </w:pPr>
      <w:r>
        <w:rPr>
          <w:b w:val="0"/>
          <w:i w:val="0"/>
          <w:u w:val="none"/>
        </w:rPr>
        <w:t>ADVOGADO – OAB/PI 21.320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3175" w:right="1191" w:bottom="1587" w:left="1417" w:header="34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jc w:val="center"/>
      <w:pBdr>
        <w:top w:val="single" w:sz="6" w:space="4" w:color="888888"/>
      </w:pBdr>
    </w:pPr>
    <w:r>
      <w:rPr>
        <w:b/>
        <w:i/>
        <w:color w:val="123BB8"/>
        <w:sz w:val="18"/>
      </w:rPr>
      <w:t>Rua Rio Grande do Sul, 1641, bairro São Miguel, CEP: 64.130-000, Miguel Alves-PI - (86) 9 7400-9869 -</w:t>
      <w:br/>
      <w:t>paduanetojus@gmail.com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/>
      <w:jc w:val="center"/>
      <w:pBdr>
        <w:bottom w:val="single" w:sz="6" w:space="4" w:color="888888"/>
      </w:pBdr>
    </w:pPr>
    <w:r>
      <w:drawing>
        <wp:inline xmlns:a="http://schemas.openxmlformats.org/drawingml/2006/main" xmlns:pic="http://schemas.openxmlformats.org/drawingml/2006/picture">
          <wp:extent cx="1872000" cy="98388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72000" cy="98388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Lora" w:hAnsi="Lora" w:eastAsia="Lor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