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="360"/>
        <w:jc w:val="both"/>
      </w:pPr>
      <w:r>
        <w:rPr>
          <w:rFonts w:ascii="Lora" w:cs="Lora" w:eastAsia="Lora" w:hAnsi="Lora"/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rFonts w:ascii="Lora" w:cs="Lora" w:eastAsia="Lora" w:hAnsi="Lora"/>
          <w:b/>
          <w:bCs/>
        </w:rPr>
        <w:t xml:space="preserve">FRANCISCO BERNARDO SOUSA SANTOS</w:t>
      </w:r>
      <w:r>
        <w:rPr/>
        <w:t xml:space="preserve">, brasileiro, divorciado, professor, nascido em 20/08/1979, inscrito no CPF sob o nº 857.729.763-20, residente e domiciliado na Rua Antônio Dias, s/n, Bairro Beira-Rio, Miguel Alves-PI, CEP 64.130-000,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rFonts w:ascii="Lora" w:cs="Lora" w:eastAsia="Lora" w:hAnsi="Lora"/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rFonts w:ascii="Lora" w:cs="Lora" w:eastAsia="Lora" w:hAnsi="Lora"/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rFonts w:ascii="Lora" w:cs="Lora" w:eastAsia="Lora" w:hAnsi="Lora"/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Preliminares.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justiça gratuita:</w:t>
      </w:r>
    </w:p>
    <w:p>
      <w:pPr>
        <w:spacing w:after="60" w:line="360"/>
        <w:ind w:firstLine="850"/>
        <w:jc w:val="both"/>
      </w:pPr>
      <w:r>
        <w:rPr/>
        <w:t xml:space="preserve">O Requerente solicita que lhe sejam concedidos os benefícios da gratuidade da justiça, nos termos do art. 98 e seguintes do CPC, combinado com a Lei nº 1.060/50, uma vez que não possui condições de arcar com as despesas processuais sem prejuízo do seu sustento e do de sua família, por ser hipossuficiente economicamente.</w:t>
      </w:r>
    </w:p>
    <w:p>
      <w:pPr>
        <w:spacing w:after="60" w:line="360"/>
        <w:ind w:firstLine="850"/>
        <w:jc w:val="both"/>
      </w:pPr>
      <w:r>
        <w:rPr/>
        <w:t xml:space="preserve">Solicita, ainda, que o benefício abranja todos os atos do processo.</w:t>
      </w:r>
    </w:p>
    <w:p>
      <w:pPr>
        <w:spacing w:after="60" w:line="360"/>
        <w:ind w:firstLine="850"/>
        <w:jc w:val="both"/>
      </w:pPr>
      <w:r>
        <w:rPr/>
        <w:t xml:space="preserve">Para tanto, na análise de provas da situação financeira, constata-se que o Autor está em situação de superendividamento, de modo que as dívidas superam a remuneração percebida. A própria natureza da presente ação, com pedido de repactuação de dívidas, torna evidente a hipossuficiência do Autor. Nesse sentido: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JUSTIÇA GRATUITA. PESSOA NATURAL. PROVA SUFICIENTE. SUPERENDIVIDAMENTO. Recurso interposto contra decisão que indeferiu a gratuidade da justiça, no processamento da petição inicial. Na forma do artigo 98 do Código de Processo Civil, a pessoa natural ou jurídica com insuficiência de recursos para pagar as custas, as despesas processuais e os honorários advocatícios tem direito à gratuidade da justiça. No caso dos autos, não há elementos que invalidem a presunção de hipossuficiência financeira. </w:t>
      </w:r>
      <w:r>
        <w:rPr>
          <w:sz w:val="18"/>
          <w:szCs w:val="18"/>
          <w:rFonts w:ascii="Lora" w:cs="Lora" w:eastAsia="Lora" w:hAnsi="Lora"/>
          <w:b/>
          <w:bCs/>
        </w:rPr>
        <w:t xml:space="preserve">Não se exige o estado de miséria absoluta para a concessão dos benefícios.</w:t>
      </w:r>
      <w:r>
        <w:rPr>
          <w:sz w:val="18"/>
          <w:szCs w:val="18"/>
        </w:rPr>
        <w:t xml:space="preserve"> Na análise de provas da situação financeira, até o momento disponível nos autos, constata-se que o autor está em situação superendividamento. </w:t>
      </w:r>
      <w:r>
        <w:rPr>
          <w:sz w:val="18"/>
          <w:szCs w:val="18"/>
          <w:rFonts w:ascii="Lora" w:cs="Lora" w:eastAsia="Lora" w:hAnsi="Lora"/>
          <w:b/>
          <w:bCs/>
        </w:rPr>
        <w:t xml:space="preserve">Dívidas que superam a remuneração percebida. Pedido de repactuação de dívidas que torna evidente a hipossuficiência do autor.</w:t>
      </w:r>
      <w:r>
        <w:rPr>
          <w:sz w:val="18"/>
          <w:szCs w:val="18"/>
        </w:rPr>
        <w:t xml:space="preserve"> Precedentes do Tribunal de Justiça de São Paulo. DECISÃO REFORMADA. AGRAVO PROVIDO.” (TJ-SP – AI: 2259685-51.2022.8.26.0000, Relator: Alexandre David Malfatti, 12ª Câmara de Direito Privado, j. 09/11/2022, p. 09/11/2022)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‘AÇÃO REVISIONAL DE CONTRATOS DE EMPRÉSTIMO C/C OBRIGAÇÃO DE FAZER POR SUPERENDIVIDAMENTO C/C TUTELA DE URGÊNCIA’. GRATUIDADE DA JUSTIÇA. DECISÃO. INDEFERIMENTO. RECURSO DA AUTORA. ACOLHIMENTO. ELEMENTOS CARREADOS AO PROCESSO QUE DEMONSTRAM A ALEGADA HIPOSSUFICIÊNCIA FINANCEIRA (CPC, ARTS. 98 E 99; CF/1988, ART. 5º, LXXIV). </w:t>
      </w:r>
      <w:r>
        <w:rPr>
          <w:sz w:val="18"/>
          <w:szCs w:val="18"/>
          <w:rFonts w:ascii="Lora" w:cs="Lora" w:eastAsia="Lora" w:hAnsi="Lora"/>
          <w:b/>
          <w:bCs/>
        </w:rPr>
        <w:t xml:space="preserve">EXISTÊNCIA DE DÍVIDAS QUE, NO CASO, COMPROMETEM A ALTA RENDA MENSAL AUFERIDA PELA AUTORA, GERANDO ATÉ MESMO DEFICIT.</w:t>
      </w:r>
      <w:r>
        <w:rPr>
          <w:sz w:val="18"/>
          <w:szCs w:val="18"/>
        </w:rPr>
        <w:t xml:space="preserve"> PRECEDENTES. APARENTE SITUAÇÃO DE SUPERENDIVIDAMENTO. BENEFÍCIO CONCEDIDO. DECISÃO REFORMADA. AGRAVO DE INSTRUMENTO CONHECIDO E PROVIDO.” (TJ-PR – AI: 0046282-46.2021.8.16.0000, Tomazina, Relator: Des. João Antônio de Marchi, 14ª Câmara Cível, j. 21/03/2022, p. 21/03/2022)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Da audiência de conciliação:</w:t>
      </w:r>
    </w:p>
    <w:p>
      <w:pPr>
        <w:spacing w:after="60" w:line="360"/>
        <w:ind w:firstLine="850"/>
        <w:jc w:val="both"/>
      </w:pPr>
      <w:r>
        <w:rPr/>
        <w:t xml:space="preserve">O Autor manifesta interesse na realização da audiência de conciliação global prevista no art. 104-A do Código de Defesa do Consumidor e no art. 319, VII, do Código de Processo Civil, preferencialmente por videoconferência.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competência:</w:t>
      </w:r>
    </w:p>
    <w:p>
      <w:pPr>
        <w:spacing w:after="60" w:line="360"/>
        <w:ind w:firstLine="850"/>
        <w:jc w:val="both"/>
      </w:pPr>
      <w:r>
        <w:rPr/>
        <w:t xml:space="preserve">A demanda decorre de relação de consumo, e o Autor reside em </w:t>
      </w:r>
      <w:r>
        <w:rPr>
          <w:rFonts w:ascii="Lora" w:cs="Lora" w:eastAsia="Lora" w:hAnsi="Lora"/>
          <w:b/>
          <w:bCs/>
        </w:rPr>
        <w:t xml:space="preserve">Miguel Alves/PI</w:t>
      </w:r>
      <w:r>
        <w:rPr/>
        <w:t xml:space="preserve">. Nos termos do art. 101, I, do Código de Defesa do Consumidor, é competente o Juízo da Comarca de Miguel Alves para o processamento e julgamento da presente demanda.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rFonts w:ascii="Lora" w:cs="Lora" w:eastAsia="Lora" w:hAnsi="Lora"/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rFonts w:ascii="Lora" w:cs="Lora" w:eastAsia="Lora" w:hAnsi="Lora"/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rFonts w:ascii="Lora" w:cs="Lora" w:eastAsia="Lora" w:hAnsi="Lora"/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rFonts w:ascii="Lora" w:cs="Lora" w:eastAsia="Lora" w:hAnsi="Lora"/>
          <w:b/>
          <w:bCs/>
        </w:rPr>
        <w:t xml:space="preserve">R$ 3.348,97</w:t>
      </w:r>
      <w:r>
        <w:rPr/>
        <w:t xml:space="preserve">. Além dos dois vínculos, o Autor presta serviços de consultoria pedagógica, pelos quais tem recebido cerca de </w:t>
      </w:r>
      <w:r>
        <w:rPr>
          <w:rFonts w:ascii="Lora" w:cs="Lora" w:eastAsia="Lora" w:hAnsi="Lora"/>
          <w:b/>
          <w:bCs/>
        </w:rPr>
        <w:t xml:space="preserve">R$ 1.200,00</w:t>
      </w:r>
      <w:r>
        <w:rPr/>
        <w:t xml:space="preserve"> mensais. A remuneração líquida dos dois vínculos, sobre a qual incidem os consignados, é, portanto, de </w:t>
      </w:r>
      <w:r>
        <w:rPr>
          <w:rFonts w:ascii="Lora" w:cs="Lora" w:eastAsia="Lora" w:hAnsi="Lora"/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rFonts w:ascii="Lora" w:cs="Lora" w:eastAsia="Lora" w:hAnsi="Lora"/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rFonts w:ascii="Lora" w:cs="Lora" w:eastAsia="Lora" w:hAnsi="Lora"/>
          <w:b/>
          <w:bCs/>
        </w:rPr>
        <w:t xml:space="preserve">onze contratos ativos</w:t>
      </w:r>
      <w:r>
        <w:rPr/>
        <w:t xml:space="preserve">, que somam </w:t>
      </w:r>
      <w:r>
        <w:rPr>
          <w:rFonts w:ascii="Lora" w:cs="Lora" w:eastAsia="Lora" w:hAnsi="Lora"/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rFonts w:ascii="Lora" w:cs="Lora" w:eastAsia="Lora" w:hAnsi="Lora"/>
          <w:b/>
          <w:bCs/>
        </w:rPr>
        <w:t xml:space="preserve">4,94% a.m.</w:t>
      </w:r>
      <w:r>
        <w:rPr/>
        <w:t xml:space="preserve"> e </w:t>
      </w:r>
      <w:r>
        <w:rPr>
          <w:rFonts w:ascii="Lora" w:cs="Lora" w:eastAsia="Lora" w:hAnsi="Lora"/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rFonts w:ascii="Lora" w:cs="Lora" w:eastAsia="Lora" w:hAnsi="Lora"/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rFonts w:ascii="Lora" w:cs="Lora" w:eastAsia="Lora" w:hAnsi="Lora"/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rFonts w:ascii="Lora" w:cs="Lora" w:eastAsia="Lora" w:hAnsi="Lora"/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rFonts w:ascii="Lora" w:cs="Lora" w:eastAsia="Lora" w:hAnsi="Lora"/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rFonts w:ascii="Lora" w:cs="Lora" w:eastAsia="Lora" w:hAnsi="Lora"/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rFonts w:ascii="Lora" w:cs="Lora" w:eastAsia="Lora" w:hAnsi="Lora"/>
          <w:b/>
          <w:bCs/>
        </w:rPr>
        <w:t xml:space="preserve">“OPERAÇÕES VENCIDAS”</w:t>
      </w:r>
      <w:r>
        <w:rPr/>
        <w:t xml:space="preserve"> passou de </w:t>
      </w:r>
      <w:r>
        <w:rPr>
          <w:rFonts w:ascii="Lora" w:cs="Lora" w:eastAsia="Lora" w:hAnsi="Lora"/>
          <w:b/>
          <w:bCs/>
        </w:rPr>
        <w:t xml:space="preserve">R$ 73.453,99</w:t>
      </w:r>
      <w:r>
        <w:rPr/>
        <w:t xml:space="preserve"> em 18/06/2026 para </w:t>
      </w:r>
      <w:r>
        <w:rPr>
          <w:rFonts w:ascii="Lora" w:cs="Lora" w:eastAsia="Lora" w:hAnsi="Lora"/>
          <w:b/>
          <w:bCs/>
        </w:rPr>
        <w:t xml:space="preserve">R$ 93.223,57</w:t>
      </w:r>
      <w:r>
        <w:rPr/>
        <w:t xml:space="preserve"> em 14/10/2026, um acréscimo de </w:t>
      </w:r>
      <w:r>
        <w:rPr>
          <w:rFonts w:ascii="Lora" w:cs="Lora" w:eastAsia="Lora" w:hAnsi="Lora"/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rFonts w:ascii="Lora" w:cs="Lora" w:eastAsia="Lora" w:hAnsi="Lora"/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rFonts w:ascii="Lora" w:cs="Lora" w:eastAsia="Lora" w:hAnsi="Lora"/>
          <w:b/>
          <w:bCs/>
        </w:rPr>
        <w:t xml:space="preserve">R$ 5.041,53</w:t>
      </w:r>
      <w:r>
        <w:rPr/>
        <w:t xml:space="preserve"> mensais, o que corresponde a </w:t>
      </w:r>
      <w:r>
        <w:rPr>
          <w:rFonts w:ascii="Lora" w:cs="Lora" w:eastAsia="Lora" w:hAnsi="Lora"/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rFonts w:ascii="Lora" w:cs="Lora" w:eastAsia="Lora" w:hAnsi="Lora"/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rFonts w:ascii="Lora" w:cs="Lora" w:eastAsia="Lora" w:hAnsi="Lora"/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rFonts w:ascii="Lora" w:cs="Lora" w:eastAsia="Lora" w:hAnsi="Lora"/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rFonts w:ascii="Lora" w:cs="Lora" w:eastAsia="Lora" w:hAnsi="Lora"/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rFonts w:ascii="Lora" w:cs="Lora" w:eastAsia="Lora" w:hAnsi="Lora"/>
          <w:b/>
          <w:bCs/>
        </w:rPr>
        <w:t xml:space="preserve">R$ 7.307,70</w:t>
      </w:r>
      <w:r>
        <w:rPr/>
        <w:t xml:space="preserve"> mensais, ou </w:t>
      </w:r>
      <w:r>
        <w:rPr>
          <w:rFonts w:ascii="Lora" w:cs="Lora" w:eastAsia="Lora" w:hAnsi="Lora"/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rFonts w:ascii="Lora" w:cs="Lora" w:eastAsia="Lora" w:hAnsi="Lora"/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rFonts w:ascii="Lora" w:cs="Lora" w:eastAsia="Lora" w:hAnsi="Lora"/>
          <w:b/>
          <w:bCs/>
        </w:rPr>
        <w:t xml:space="preserve">R$ 10.303,33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72,54%</w:t>
      </w:r>
      <w:r>
        <w:rPr/>
        <w:t xml:space="preserve"> da remuneração líquida do Autor e </w:t>
      </w:r>
      <w:r>
        <w:rPr>
          <w:rFonts w:ascii="Lora" w:cs="Lora" w:eastAsia="Lora" w:hAnsi="Lora"/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rFonts w:ascii="Lora" w:cs="Lora" w:eastAsia="Lora" w:hAnsi="Lora"/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rFonts w:ascii="Lora" w:cs="Lora" w:eastAsia="Lora" w:hAnsi="Lora"/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rFonts w:ascii="Lora" w:cs="Lora" w:eastAsia="Lora" w:hAnsi="Lora"/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rFonts w:ascii="Lora" w:cs="Lora" w:eastAsia="Lora" w:hAnsi="Lora"/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rFonts w:ascii="Lora" w:cs="Lora" w:eastAsia="Lora" w:hAnsi="Lora"/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rFonts w:ascii="Lora" w:cs="Lora" w:eastAsia="Lora" w:hAnsi="Lora"/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rFonts w:ascii="Lora" w:cs="Lora" w:eastAsia="Lora" w:hAnsi="Lora"/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rFonts w:ascii="Lora" w:cs="Lora" w:eastAsia="Lora" w:hAnsi="Lora"/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dia, e o padrão se repetiu: em 26/06/2026, mesma data em que creditou os R$ 21.846,71, o banco debitou </w:t>
      </w:r>
      <w:r>
        <w:rPr>
          <w:rFonts w:ascii="Lora" w:cs="Lora" w:eastAsia="Lora" w:hAnsi="Lora"/>
          <w:b/>
          <w:bCs/>
        </w:rPr>
        <w:t xml:space="preserve">R$ 3.322,93</w:t>
      </w:r>
      <w:r>
        <w:rPr/>
        <w:t xml:space="preserve"> para cobrir parcelas em atraso de seus próprios contratos (R$ 1.196,73 e R$ 1.181,56 dos consignados de União, R$ 773,95 do Crédito Salário, R$ 163,09 da renegociação nº 212050896 e tarifas).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Diante da retenção, pelo Banco do Brasil, de todo crédito lançado em sua conta, o Autor passou a transferir parte dos valores recebidos à conta de sua genitora, Sra. Maria das Graças Souza, que os devolve gradualmente para a conta de titularidade do Autor no Nubank, por meio da qual são pagas despesas da casa, como as contas de energia e de água. Os extratos demonstram que, entre junho e outubro de 2026, retornaram ao Autor, por essa via, </w:t>
      </w:r>
      <w:r>
        <w:rPr>
          <w:rFonts w:ascii="Lora" w:cs="Lora" w:eastAsia="Lora" w:hAnsi="Lora"/>
          <w:b/>
          <w:bCs/>
        </w:rPr>
        <w:t xml:space="preserve">R$ 28.274,71</w:t>
      </w:r>
      <w:r>
        <w:rPr/>
        <w:t xml:space="preserve">, em dezenas de transferências de pequeno valor. Não se trata de ocultação de recursos, mas do meio encontrado pelo Autor para preservar o mínimo necessário à subsistência da família diante da captura de sua renda pelo banco, circunstância que desde já se esclarece em atenção ao dever de lealdade processual.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rFonts w:ascii="Lora" w:cs="Lora" w:eastAsia="Lora" w:hAnsi="Lora"/>
          <w:b/>
          <w:bCs/>
        </w:rPr>
        <w:t xml:space="preserve">R$ 4.998,04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financiamento do veículo utilizado nesse deslocamento (Banco PAN): cerca de R$ 1.850,00, dívida garantida pelo próprio bem e, por isso, não incluída nesta repactuação (art. 104-A, § 1º, do CDC);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rFonts w:ascii="Lora" w:cs="Lora" w:eastAsia="Lora" w:hAnsi="Lora"/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Somados o valor líquido creditado pelos dois municípios em setembro de 2026 (R$ 3.871,05) e a renda da consultoria (R$ 1.200,00), o Autor dispõe de cerca de </w:t>
      </w:r>
      <w:r>
        <w:rPr>
          <w:rFonts w:ascii="Lora" w:cs="Lora" w:eastAsia="Lora" w:hAnsi="Lora"/>
          <w:b/>
          <w:bCs/>
        </w:rPr>
        <w:t xml:space="preserve">R$ 5.071,05</w:t>
      </w:r>
      <w:r>
        <w:rPr/>
        <w:t xml:space="preserve"> por mês, valor praticamente idêntico ao de suas despesas essenciais e, ainda assim, sujeito aos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mérito.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e.	Da inaplicabilidade do Tema 1.085 do STJ:</w:t>
      </w:r>
    </w:p>
    <w:p>
      <w:pPr>
        <w:spacing w:after="60" w:line="360"/>
        <w:ind w:firstLine="850"/>
        <w:jc w:val="both"/>
      </w:pPr>
      <w:r>
        <w:rPr/>
        <w:t xml:space="preserve">Não se aplica ao caso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rFonts w:ascii="Lora" w:cs="Lora" w:eastAsia="Lora" w:hAnsi="Lora"/>
          <w:b/>
          <w:bCs/>
        </w:rPr>
        <w:t xml:space="preserve">60 (sessenta) meses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Como o montante das dívidas, pelos elementos disponíveis, supera o que o Autor pode pagar em 60 meses sem comprometer o mínimo existencial, requer que o saldo eventualmente remanescente seja pago ao final, nas mesmas condições, sem juros de mora e com a redução dos juros remuneratórios autorizada pelo art. 54-D, parágrafo único, do CDC, solução semelhante à adotada por este Juízo no Processo nº 0800070-46.2025.8.18.0061, em que se determinou o pagamento do saldo remanescente ao final dos contratos, sem juros de mora.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dos benefícios da </w:t>
      </w:r>
      <w:r>
        <w:rPr>
          <w:rFonts w:ascii="Lora" w:cs="Lora" w:eastAsia="Lora" w:hAnsi="Lora"/>
          <w:b/>
          <w:bCs/>
        </w:rPr>
        <w:t xml:space="preserve">gratuidade da justiça</w:t>
      </w:r>
      <w:r>
        <w:rPr/>
        <w:t xml:space="preserve">, abrangendo todos os atos do processo;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rFonts w:ascii="Lora" w:cs="Lora" w:eastAsia="Lora" w:hAnsi="Lora"/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rFonts w:ascii="Lora" w:cs="Lora" w:eastAsia="Lora" w:hAnsi="Lora"/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empréstimos, de reter seu 13º salário para quitação das antecipações contratadas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rFonts w:ascii="Lora" w:cs="Lora" w:eastAsia="Lora" w:hAnsi="Lora"/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rFonts w:ascii="Lora" w:cs="Lora" w:eastAsia="Lora" w:hAnsi="Lora"/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 as renegociações nº 196434985 e nº 212050896 do Banco do Brasil 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rFonts w:ascii="Lora" w:cs="Lora" w:eastAsia="Lora" w:hAnsi="Lora"/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rFonts w:ascii="Lora" w:cs="Lora" w:eastAsia="Lora" w:hAnsi="Lora"/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ao final, sem juros de mora;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rFonts w:ascii="Lora" w:cs="Lora" w:eastAsia="Lora" w:hAnsi="Lora"/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spacing w:after="60" w:line="360"/>
        <w:ind w:firstLine="850"/>
        <w:jc w:val="both"/>
      </w:pPr>
      <w:r>
        <w:rPr/>
        <w:t xml:space="preserve">Instruem a inicial: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procuração, documento de identificação e comprovante de residência;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declaração de hipossuficiência;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contracheques do Município de Miguel Alves (março a setembro de 2026) e do Município de União (março a 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Declaração de Margem Consignável emitida pela Secretaria Municipal de Educação de Miguel Alves em 07/10/2026;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telas do aplicativo do Banco do Brasil com os contratos ativos (“Meus empréstimos” e detalhes de cada operação);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extratos da conta corrente do Banco do Brasil (agência 2298-5, conta 6198-0) de março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extratos da conta do Bradesco (agência 5792, conta 231325-1) e tela de “Operações Vencidas” de 14/10/2026;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extratos da conta do Nubank de junho a outubro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9.	comprovantes de despesas essenciais (energia, água, internet e mensalidades escolares);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10.	cópia do acórdão do Agravo de Instrumento nº 0757054-31.2025.8.18.0000 e da sentença do Processo nº 0800070-46.2025.8.18.0061.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Nestes termos,</w:t>
      </w:r>
    </w:p>
    <w:p>
      <w:pPr>
        <w:keepNext/>
        <w:spacing w:after="0" w:line="360"/>
        <w:jc w:val="center"/>
      </w:pPr>
      <w:r>
        <w:rPr/>
        <w:t xml:space="preserve">Pede deferimento.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Miguel Alves-PI, datado eletronicamente.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ADVOGADO - OAB/PI 21.320</w:t>
      </w:r>
    </w:p>
    <w:sectPr>
      <w:headerReference r:id="rId11" w:type="default"/>
      <w:footerReference r:id="rId12" w:type="default"/>
      <w:pgSz w:h="16838" w:w="11906" w:orient="portrait"/>
      <w:pgMar w:bottom="1500" w:top="2330" w:left="1134" w:right="1134" w:header="500" w:footer="5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color="9aa0a6" w:space="4" w:sz="6" w:val="single"/>
      </w:pBdr>
      <w:spacing w:line="240" w:lineRule="auto"/>
      <w:jc w:val="center"/>
      <w:rPr/>
    </w:pPr>
    <w:r w:rsidDel="00000000" w:rsidR="00000000" w:rsidRPr="00000000">
      <w:rPr>
        <w:b w:val="1"/>
        <w:bCs w:val="1"/>
        <w:i w:val="1"/>
        <w:iCs w:val="1"/>
        <w:color w:val="123bb8"/>
        <w:sz w:val="16"/>
        <w:szCs w:val="16"/>
        <w:rtl w:val="0"/>
      </w:rPr>
      <w:t xml:space="preserve">Rua Rio Grande do Sul, 1641, bairro São Miguel, CEP: 64.130-000, Miguel Alves-PI - (86) 9 7400-9869 - paduanetojus@gmail.com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spacing w:after="0" w:lineRule="auto"/>
      <w:jc w:val="center"/>
      <w:rPr/>
    </w:pPr>
    <w:r w:rsidDel="00000000" w:rsidR="00000000" w:rsidRPr="00000000">
      <w:rPr/>
      <w:drawing>
        <wp:inline distB="0" distT="0" distL="0" distR="0">
          <wp:extent cx="1809750" cy="952500"/>
          <wp:effectExtent b="0" l="0" r="0" t="0"/>
          <wp:docPr id="10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09750" cy="952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bottom w:color="9aa0a6" w:space="1" w:sz="6" w:val="single"/>
      </w:pBd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ora Medium" w:cs="Lora Medium" w:eastAsia="Lora Medium" w:hAnsi="Lora Medium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jp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hkBs1nZ2c8AH8WR/Yzo6Z+Yvaw==">CgMxLjA4AHIhMVh0d19zTkZLY0l3T0NncUw1SmdFVmlCb2JMWW5Zd3py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2026-10-03T02:33:01.698Z</dcterms:created>
  <dc:creator>Antônio de Pádua Santos Neto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