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C9A2BF" w14:textId="77777777" w:rsidR="00520367" w:rsidRPr="00E814BB" w:rsidRDefault="005E51F7" w:rsidP="009737A9">
      <w:pPr>
        <w:spacing w:before="0" w:after="0" w:line="276" w:lineRule="auto"/>
        <w:ind w:firstLine="567"/>
        <w:jc w:val="both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>EXCELENTÍSSIMO SENHOR DOUTOR JUIZ DE DIREITO DA VARA ÚNICA DA COMARCA DE MIGUEL ALVES-PI</w:t>
      </w:r>
    </w:p>
    <w:p w14:paraId="297555A0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1562A59B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0477F3EB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18085B00" w14:textId="1B2FBAF1" w:rsid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DANIELA BRAGA PEREIRA</w:t>
      </w:r>
      <w:r>
        <w:rPr>
          <w:rFonts w:ascii="Arial" w:hAnsi="Arial" w:cs="Arial"/>
        </w:rPr>
        <w:t xml:space="preserve">, inscrita no CPF nº </w:t>
      </w:r>
      <w:r>
        <w:rPr>
          <w:rStyle w:val="Forte"/>
          <w:rFonts w:ascii="Arial" w:hAnsi="Arial" w:cs="Arial"/>
        </w:rPr>
        <w:t>077.327.393-02</w:t>
      </w:r>
      <w:r>
        <w:rPr>
          <w:rFonts w:ascii="Arial" w:hAnsi="Arial" w:cs="Arial"/>
        </w:rPr>
        <w:t xml:space="preserve">, residente e domiciliada na </w:t>
      </w:r>
      <w:r>
        <w:rPr>
          <w:rStyle w:val="Forte"/>
          <w:rFonts w:ascii="Arial" w:hAnsi="Arial" w:cs="Arial"/>
        </w:rPr>
        <w:t>Rua Estreito, nº 207, Bairro Matadouro, CEP 64130-000, Miguel Alves/PI</w:t>
      </w:r>
      <w:r>
        <w:rPr>
          <w:rFonts w:ascii="Arial" w:hAnsi="Arial" w:cs="Arial"/>
        </w:rPr>
        <w:t xml:space="preserve">, telefone </w:t>
      </w:r>
      <w:r>
        <w:rPr>
          <w:rStyle w:val="Forte"/>
          <w:rFonts w:ascii="Arial" w:hAnsi="Arial" w:cs="Arial"/>
        </w:rPr>
        <w:t>(86) 99423-0280</w:t>
      </w:r>
      <w:r>
        <w:rPr>
          <w:rFonts w:ascii="Arial" w:eastAsia="Lora Medium" w:hAnsi="Arial" w:cs="Arial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Arial" w:eastAsia="Lora Medium" w:hAnsi="Arial" w:cs="Arial"/>
          <w:i/>
          <w:iCs/>
        </w:rPr>
        <w:t>paduanetojus@gmail.com</w:t>
      </w:r>
      <w:r>
        <w:rPr>
          <w:rFonts w:ascii="Arial" w:eastAsia="Lora Medium" w:hAnsi="Arial" w:cs="Arial"/>
        </w:rPr>
        <w:t xml:space="preserve">, </w:t>
      </w:r>
      <w:r>
        <w:rPr>
          <w:rFonts w:ascii="Arial" w:hAnsi="Arial" w:cs="Arial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 w14:paraId="11236940" w14:textId="77777777" w:rsidR="009737A9" w:rsidRPr="00E814BB" w:rsidRDefault="009737A9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</w:p>
    <w:p w14:paraId="1397BDC2" w14:textId="16896A7C" w:rsidR="00E814BB" w:rsidRDefault="00E814BB" w:rsidP="00A264EA">
      <w:pPr>
        <w:pStyle w:val="Ttulo1"/>
        <w:spacing w:before="0" w:line="276" w:lineRule="auto"/>
        <w:ind w:firstLine="567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t>AÇÃO DE RESOLUÇÃO CONTRATUAL C/C RESTITUIÇÃO DE QUANTIA PAGA, INDENIZAÇÃO POR DANOS MATERIAIS E MORAIS</w:t>
      </w:r>
    </w:p>
    <w:p w14:paraId="30C6CD4C" w14:textId="77777777" w:rsidR="009737A9" w:rsidRPr="009737A9" w:rsidRDefault="009737A9" w:rsidP="009737A9"/>
    <w:p w14:paraId="1A42418E" w14:textId="52F9FE6C" w:rsidR="00E814BB" w:rsidRPr="009808FB" w:rsidRDefault="00E814BB" w:rsidP="009808FB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em face de BUD COMÉRCIO DE ELETRODOMÉSTICOS LTDA</w:t>
      </w:r>
      <w:r>
        <w:rPr>
          <w:rFonts w:ascii="Arial" w:hAnsi="Arial" w:cs="Arial"/>
        </w:rPr>
        <w:t xml:space="preserve">, pessoa jurídica de direito privado, inscrita no CNPJ sob nº </w:t>
      </w:r>
      <w:r>
        <w:rPr>
          <w:rStyle w:val="Forte"/>
          <w:rFonts w:ascii="Arial" w:hAnsi="Arial" w:cs="Arial"/>
        </w:rPr>
        <w:t>62.058.318/0012-33</w:t>
      </w:r>
      <w:r>
        <w:rPr>
          <w:rFonts w:ascii="Arial" w:hAnsi="Arial" w:cs="Arial"/>
        </w:rPr>
        <w:t>, com endereço na Rua Manoel Cesar de Melo, s/n, Condomínio CBI-LOG, Galpão Sul, Módulos 4, 5 e 6, Distrito Industrial, Alhandra/PB, CEP 58320-000, endereço que consta da documentação fiscal; e</w:t>
      </w:r>
    </w:p>
    <w:p w14:paraId="0A83E139" w14:textId="105FAAD3" w:rsidR="009808FB" w:rsidRPr="00E814BB" w:rsidRDefault="009808FB" w:rsidP="009808FB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WHIRLPOOL S.A., Unidade de eletrodomésticos, </w:t>
      </w:r>
      <w:r>
        <w:rPr>
          <w:rFonts w:ascii="Arial" w:hAnsi="Arial" w:cs="Arial"/>
        </w:rPr>
        <w:t xml:space="preserve">pessoa jurídica de direito privado, inscrita no CNPJ sob nº </w:t>
      </w:r>
      <w:r>
        <w:rPr>
          <w:rStyle w:val="Forte"/>
          <w:rFonts w:ascii="Arial" w:hAnsi="Arial" w:cs="Arial"/>
        </w:rPr>
        <w:t>59.105.999/0028-04</w:t>
      </w:r>
      <w:r>
        <w:rPr>
          <w:rFonts w:ascii="Arial" w:hAnsi="Arial" w:cs="Arial"/>
        </w:rPr>
        <w:t xml:space="preserve">, com endereço na Rua Olympia Semeraro, Nº 675, Jardim Santa Emília, São Paulo/SP, CEP 04183-090, fabricante dos produtos da marca </w:t>
      </w:r>
      <w:r>
        <w:rPr>
          <w:rStyle w:val="Forte"/>
          <w:rFonts w:ascii="Arial" w:hAnsi="Arial" w:cs="Arial"/>
        </w:rPr>
        <w:t>Consul</w:t>
      </w:r>
      <w:r>
        <w:rPr>
          <w:rFonts w:ascii="Arial" w:hAnsi="Arial" w:cs="Arial"/>
        </w:rPr>
        <w:t>, pelos fatos e fundamentos jurídicos a seguir expostos.</w:t>
      </w:r>
    </w:p>
    <w:p w14:paraId="5C609936" w14:textId="4C5C4304" w:rsidR="00520367" w:rsidRPr="00E814BB" w:rsidRDefault="00520367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</w:p>
    <w:tbl>
      <w:tblPr>
        <w:tblStyle w:val="a6"/>
        <w:tblW w:w="105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5"/>
      </w:tblGrid>
      <w:tr w:rsidR="00520367" w:rsidRPr="00E814BB" w14:paraId="0FDF4A90" w14:textId="77777777">
        <w:tc>
          <w:tcPr>
            <w:tcW w:w="10515" w:type="dxa"/>
            <w:tcBorders>
              <w:top w:val="single" w:sz="8" w:space="0" w:color="123BB8"/>
              <w:left w:val="single" w:sz="8" w:space="0" w:color="123BB8"/>
              <w:bottom w:val="single" w:sz="8" w:space="0" w:color="123BB8"/>
              <w:right w:val="single" w:sz="8" w:space="0" w:color="123BB8"/>
            </w:tcBorders>
            <w:shd w:val="clear" w:color="auto" w:fill="123BB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979E" w14:textId="77777777" w:rsidR="00520367" w:rsidRPr="00E814BB" w:rsidRDefault="005E51F7" w:rsidP="00316F81">
            <w:pPr>
              <w:widowControl w:val="0"/>
              <w:spacing w:before="0" w:after="0" w:line="276" w:lineRule="auto"/>
              <w:ind w:right="1323" w:firstLine="567"/>
              <w:jc w:val="both"/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</w:pPr>
            <w:r>
              <w:rPr>
                <w:rFonts w:ascii="Arial" w:eastAsia="Lora" w:hAnsi="Arial" w:cs="Arial"/>
                <w:b/>
                <w:bCs/>
                <w:i/>
                <w:iCs/>
                <w:color w:val="FFFFFF"/>
              </w:rPr>
              <w:t>PRELIMINARES</w:t>
            </w:r>
          </w:p>
        </w:tc>
      </w:tr>
    </w:tbl>
    <w:p w14:paraId="043C38B4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15580DD3" w14:textId="77777777" w:rsidR="00520367" w:rsidRPr="00E814BB" w:rsidRDefault="005E51F7" w:rsidP="004A3A2E">
      <w:pPr>
        <w:spacing w:before="0" w:after="0" w:line="276" w:lineRule="auto"/>
        <w:jc w:val="both"/>
        <w:rPr>
          <w:rFonts w:ascii="Arial" w:eastAsia="Lora" w:hAnsi="Arial" w:cs="Arial"/>
          <w:b/>
          <w:bCs/>
          <w:i/>
          <w:iCs/>
        </w:rPr>
      </w:pPr>
      <w:r>
        <w:rPr>
          <w:rFonts w:ascii="Arial" w:eastAsia="Lora" w:hAnsi="Arial" w:cs="Arial"/>
          <w:b/>
          <w:bCs/>
          <w:i/>
          <w:iCs/>
        </w:rPr>
        <w:t xml:space="preserve"> Da justiça gratuita:</w:t>
      </w:r>
    </w:p>
    <w:p w14:paraId="6E170ADD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i/>
          <w:iCs/>
        </w:rPr>
      </w:pPr>
    </w:p>
    <w:p w:rsidR="00520367" w:rsidRPr="00E814BB" w:rsidRDefault="005E51F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i/>
          <w:iCs/>
        </w:rPr>
      </w:pPr>
      <w:r>
        <w:rPr>
          <w:rFonts w:ascii="Arial" w:hAnsi="Arial" w:cs="Arial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Style w:val="Forte"/>
          <w:rFonts w:ascii="Arial" w:hAnsi="Arial" w:cs="Arial"/>
        </w:rPr>
        <w:t xml:space="preserve">conforme declaração de hipossuficiência e comprovante de renda em anexo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520367" w:rsidRPr="00E814BB" w:rsidRDefault="005E51F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i/>
          <w:iCs/>
        </w:rPr>
      </w:pPr>
      <w:r>
        <w:rPr>
          <w:rFonts w:ascii="Arial" w:hAnsi="Arial" w:cs="Arial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 w14:paraId="39CC3448" w14:textId="77777777" w:rsidR="00520367" w:rsidRPr="00E814BB" w:rsidRDefault="00520367" w:rsidP="00316F81">
      <w:pPr>
        <w:spacing w:before="0" w:after="0" w:line="276" w:lineRule="auto"/>
        <w:ind w:left="3401" w:firstLine="567"/>
        <w:jc w:val="both"/>
        <w:rPr>
          <w:rFonts w:ascii="Arial" w:eastAsia="Lora Medium" w:hAnsi="Arial" w:cs="Arial"/>
          <w:i/>
          <w:iCs/>
        </w:rPr>
      </w:pPr>
    </w:p>
    <w:p w14:paraId="69FE7257" w14:textId="77777777" w:rsidR="00520367" w:rsidRPr="00E814BB" w:rsidRDefault="005E51F7" w:rsidP="004A3A2E">
      <w:pPr>
        <w:spacing w:before="0" w:after="0" w:line="276" w:lineRule="auto"/>
        <w:jc w:val="both"/>
        <w:rPr>
          <w:rFonts w:ascii="Arial" w:eastAsia="Lora" w:hAnsi="Arial" w:cs="Arial"/>
          <w:b/>
          <w:bCs/>
          <w:i/>
          <w:iCs/>
        </w:rPr>
      </w:pPr>
      <w:r>
        <w:rPr>
          <w:rFonts w:ascii="Arial" w:eastAsia="Lora" w:hAnsi="Arial" w:cs="Arial"/>
          <w:b/>
          <w:bCs/>
          <w:i/>
          <w:iCs/>
        </w:rPr>
        <w:t xml:space="preserve">Da audiência de conciliação:</w:t>
      </w:r>
    </w:p>
    <w:p w14:paraId="617558AF" w14:textId="77777777" w:rsidR="00520367" w:rsidRPr="00E814BB" w:rsidRDefault="00520367" w:rsidP="00316F81">
      <w:pPr>
        <w:spacing w:before="0" w:after="0" w:line="276" w:lineRule="auto"/>
        <w:ind w:left="720" w:firstLine="567"/>
        <w:jc w:val="both"/>
        <w:rPr>
          <w:rFonts w:ascii="Arial" w:eastAsia="Lora" w:hAnsi="Arial" w:cs="Arial"/>
          <w:b/>
          <w:bCs/>
          <w:i/>
          <w:iCs/>
        </w:rPr>
      </w:pPr>
    </w:p>
    <w:p w:rsidR="00520367" w:rsidRDefault="005E51F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  <w:r>
        <w:rPr>
          <w:rFonts w:ascii="Arial" w:hAnsi="Arial" w:cs="Arial"/>
        </w:rPr>
        <w:t xml:space="preserve">A parte autora manifesta interesse na realização de audiência de conciliação, nos termos do art. 319, VII, do Código de Processo Civil e do art. 21 da Lei nº 9.099/1995.</w:t>
      </w:r>
    </w:p>
    <w:p w14:paraId="63882BCE" w14:textId="77777777" w:rsidR="004A3A2E" w:rsidRPr="00E814BB" w:rsidRDefault="004A3A2E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</w:rPr>
      </w:pPr>
    </w:p>
    <w:p w14:paraId="7DCC933D" w14:textId="56318B89" w:rsidR="00E814BB" w:rsidRPr="00E814BB" w:rsidRDefault="00E814BB" w:rsidP="004A3A2E">
      <w:pPr>
        <w:pStyle w:val="NormalWeb"/>
        <w:spacing w:before="0" w:beforeAutospacing="0" w:after="0" w:afterAutospacing="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Da Competência</w:t>
      </w:r>
      <w:r>
        <w:rPr>
          <w:rFonts w:ascii="Arial" w:hAnsi="Arial" w:cs="Arial"/>
        </w:rPr>
        <w:t xml:space="preserve"> </w:t>
      </w:r>
    </w:p>
    <w:p w14:paraId="201B49BD" w14:textId="6619CC1C" w:rsidR="00E814BB" w:rsidRPr="009808FB" w:rsidRDefault="00E814BB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Style w:val="Forte"/>
          <w:rFonts w:ascii="Arial" w:hAnsi="Arial" w:cs="Arial"/>
        </w:rPr>
        <w:t>domicílio do consumidor</w:t>
      </w:r>
      <w:r>
        <w:rPr>
          <w:rFonts w:ascii="Arial" w:hAnsi="Arial" w:cs="Arial"/>
        </w:rPr>
        <w:t xml:space="preserve">. </w:t>
      </w:r>
    </w:p>
    <w:p w14:paraId="51E888AA" w14:textId="77777777" w:rsidR="00E814BB" w:rsidRPr="009808FB" w:rsidRDefault="00E814BB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Assim, considerando que a Autora reside em </w:t>
      </w:r>
      <w:r>
        <w:rPr>
          <w:rStyle w:val="Forte"/>
          <w:rFonts w:ascii="Arial" w:hAnsi="Arial" w:cs="Arial"/>
        </w:rPr>
        <w:t>Miguel Alves/PI</w:t>
      </w:r>
      <w:r>
        <w:rPr>
          <w:rFonts w:ascii="Arial" w:hAnsi="Arial" w:cs="Arial"/>
        </w:rPr>
        <w:t>, é competente o Juízo da Comarca de Miguel Alves para processamento e julgamento da presente demanda.</w:t>
      </w:r>
    </w:p>
    <w:p w14:paraId="24D6BD76" w14:textId="4E1E62AE" w:rsidR="00E814BB" w:rsidRPr="00E814BB" w:rsidRDefault="00E814BB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 w14:paraId="7DA5CD50" w14:textId="77777777" w:rsidR="00520367" w:rsidRPr="00E814BB" w:rsidRDefault="00520367" w:rsidP="00316F81">
      <w:pPr>
        <w:spacing w:before="0" w:after="0" w:line="276" w:lineRule="auto"/>
        <w:ind w:firstLine="567"/>
        <w:jc w:val="both"/>
        <w:rPr>
          <w:rFonts w:ascii="Arial" w:eastAsia="Lora Medium" w:hAnsi="Arial" w:cs="Arial"/>
          <w:highlight w:val="white"/>
        </w:rPr>
      </w:pPr>
    </w:p>
    <w:tbl>
      <w:tblPr>
        <w:tblStyle w:val="a6"/>
        <w:tblW w:w="105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5"/>
      </w:tblGrid>
      <w:tr w:rsidR="00520367" w:rsidRPr="00E814BB" w14:paraId="0FDF4A90" w14:textId="77777777">
        <w:tc>
          <w:tcPr>
            <w:tcW w:w="10515" w:type="dxa"/>
            <w:tcBorders>
              <w:top w:val="single" w:sz="8" w:space="0" w:color="123BB8"/>
              <w:left w:val="single" w:sz="8" w:space="0" w:color="123BB8"/>
              <w:bottom w:val="single" w:sz="8" w:space="0" w:color="123BB8"/>
              <w:right w:val="single" w:sz="8" w:space="0" w:color="123BB8"/>
            </w:tcBorders>
            <w:shd w:val="clear" w:color="auto" w:fill="123BB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979E" w14:textId="77777777" w:rsidR="00520367" w:rsidRPr="00E814BB" w:rsidRDefault="005E51F7" w:rsidP="00316F81">
            <w:pPr>
              <w:widowControl w:val="0"/>
              <w:spacing w:before="0" w:after="0" w:line="276" w:lineRule="auto"/>
              <w:ind w:right="1323" w:firstLine="567"/>
              <w:jc w:val="both"/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</w:pPr>
            <w:r>
              <w:rPr>
                <w:rFonts w:ascii="Arial" w:eastAsia="Lora" w:hAnsi="Arial" w:cs="Arial"/>
                <w:b/>
                <w:bCs/>
                <w:i/>
                <w:iCs/>
                <w:color w:val="FFFFFF"/>
              </w:rPr>
              <w:t>DOS FATOS</w:t>
            </w:r>
          </w:p>
        </w:tc>
      </w:tr>
    </w:tbl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Style w:val="Forte"/>
          <w:rFonts w:ascii="Arial" w:hAnsi="Arial" w:cs="Arial"/>
        </w:rPr>
        <w:t xml:space="preserve">vendido e entregue pela loja Consul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[Doc. 03 – e-mail de confirmação do pedido]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Nota Fiscal Eletrônica nº 000.496.852 foi emitida pela 1ª Ré, BUD Comércio de Eletrodomésticos Ltda., em 06 de junho de 2025, no valor total de </w:t>
      </w:r>
      <w:r>
        <w:rPr>
          <w:rStyle w:val="Forte"/>
          <w:rFonts w:ascii="Arial" w:hAnsi="Arial" w:cs="Arial"/>
        </w:rPr>
        <w:t xml:space="preserve">R$ 3.438,90</w:t>
      </w:r>
      <w:r>
        <w:rPr>
          <w:rFonts w:ascii="Arial" w:hAnsi="Arial" w:cs="Arial"/>
        </w:rPr>
        <w:t xml:space="preserve"> (R$ 3.329,00 do produto e R$ 109,90 de frete), chave de acesso 2525 0662 0583 1800 1233 5500 1000 4968 5219 8186 8756 </w:t>
      </w:r>
      <w:r>
        <w:rPr>
          <w:rFonts w:ascii="Arial" w:hAnsi="Arial" w:cs="Arial"/>
          <w:b/>
          <w:bCs/>
          <w:shd w:val="clear" w:color="auto" w:fill="FFF200"/>
        </w:rPr>
        <w:t xml:space="preserve">[Doc. 04 – NF-e nº 000.496.852]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Com pouco tempo de uso, o refrigerador </w:t>
      </w:r>
      <w:r>
        <w:rPr>
          <w:rStyle w:val="Forte"/>
          <w:rFonts w:ascii="Arial" w:hAnsi="Arial" w:cs="Arial"/>
        </w:rPr>
        <w:t xml:space="preserve">deixou de refrigerar</w:t>
      </w:r>
      <w:r>
        <w:rPr>
          <w:rFonts w:ascii="Arial" w:hAnsi="Arial" w:cs="Arial"/>
        </w:rPr>
        <w:t xml:space="preserve"> e, em 23 de outubro de 2025, foi encaminhado à assistência técnica indicada pela fabricante, a autorizada Jainara da Rocha Saraiva Ltda. A visita técnica foi realizada, mas o defeito persistiu, e o produto não foi consertado no prazo de 30 dias previsto no art. 18, §1º, do CDC.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26 de novembro de 2025, a Autora registrou reclamação no PROCON/ALEPI (atendimento nº 25.11.0023.001.00431-3) contra a autorizada, a Magazine Luiza S.A. e a Whirlpool S.A., pedindo a substituição do produto </w:t>
      </w:r>
      <w:r>
        <w:rPr>
          <w:rFonts w:ascii="Arial" w:hAnsi="Arial" w:cs="Arial"/>
          <w:b/>
          <w:bCs/>
          <w:shd w:val="clear" w:color="auto" w:fill="FFF200"/>
        </w:rPr>
        <w:t xml:space="preserve">[Doc. 05 – reclamação e notificações do PROCON]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resposta datada de 03 de dezembro de 2025, a Whirlpool S.A. </w:t>
      </w:r>
      <w:r>
        <w:rPr>
          <w:rStyle w:val="Forte"/>
          <w:rFonts w:ascii="Arial" w:hAnsi="Arial" w:cs="Arial"/>
        </w:rPr>
        <w:t xml:space="preserve">reconheceu que a visita técnica foi realizada e que o defeito persistia</w:t>
      </w:r>
      <w:r>
        <w:rPr>
          <w:rFonts w:ascii="Arial" w:hAnsi="Arial" w:cs="Arial"/>
        </w:rPr>
        <w:t xml:space="preserve">, informando que a troca estava em análise </w:t>
      </w:r>
      <w:r>
        <w:rPr>
          <w:rFonts w:ascii="Arial" w:hAnsi="Arial" w:cs="Arial"/>
          <w:b/>
          <w:bCs/>
          <w:shd w:val="clear" w:color="auto" w:fill="FFF200"/>
        </w:rPr>
        <w:t xml:space="preserve">[Doc. 06 – resposta da Whirlpool ao PROCON]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Style w:val="Forte"/>
          <w:rFonts w:ascii="Arial" w:hAnsi="Arial" w:cs="Arial"/>
        </w:rPr>
        <w:t xml:space="preserve">“DEV-Troca em Garantia”</w:t>
      </w:r>
      <w:r>
        <w:rPr>
          <w:rFonts w:ascii="Arial" w:hAnsi="Arial" w:cs="Arial"/>
        </w:rPr>
        <w:t xml:space="preserve"> e faz referência à nota de entrega do novo produto, NF nº 005064874-1 </w:t>
      </w:r>
      <w:r>
        <w:rPr>
          <w:rFonts w:ascii="Arial" w:hAnsi="Arial" w:cs="Arial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aparelho entregue nessa troca,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Arial" w:hAnsi="Arial" w:cs="Arial"/>
          <w:b/>
          <w:bCs/>
          <w:shd w:val="clear" w:color="auto" w:fill="FFF200"/>
        </w:rPr>
        <w:t xml:space="preserve">[confirmar com a cliente que as fotos são do aparelho entregue em 11/12/2025 – Doc. 08, arquivos originais das fotografias]</w:t>
      </w:r>
      <w:r>
        <w:rPr>
          <w:rFonts w:ascii="Arial" w:hAnsi="Arial" w:cs="Arial"/>
        </w:rPr>
        <w:t xml:space="preserve">: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876140" w14:paraId="41265403" w14:textId="77777777" w:rsidTr="009808FB">
        <w:tc>
          <w:tcPr>
            <w:tcW w:w="4528" w:type="dxa"/>
          </w:tcPr>
          <w:p w14:paraId="4573010A" w14:textId="185D7753" w:rsidR="009808FB" w:rsidRDefault="009808FB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54B77C00" wp14:editId="66DEC668">
                  <wp:extent cx="2781300" cy="3286125"/>
                  <wp:effectExtent l="0" t="0" r="0" b="952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9193" cy="3295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8" w:type="dxa"/>
          </w:tcPr>
          <w:p w14:paraId="67FBC7A1" w14:textId="3FF50136" w:rsidR="009808FB" w:rsidRDefault="009808FB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53C41B8" wp14:editId="31F43722">
                  <wp:extent cx="2724150" cy="331470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837" cy="3335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6140" w14:paraId="1CBF9E0F" w14:textId="77777777" w:rsidTr="009808FB">
        <w:tc>
          <w:tcPr>
            <w:tcW w:w="4528" w:type="dxa"/>
          </w:tcPr>
          <w:p w14:paraId="7671DFD6" w14:textId="39889F1E" w:rsidR="009808FB" w:rsidRDefault="00876140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94D0A47" wp14:editId="50612C74">
                  <wp:extent cx="2838450" cy="3996055"/>
                  <wp:effectExtent l="0" t="0" r="0" b="4445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1460" cy="401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8" w:type="dxa"/>
          </w:tcPr>
          <w:p w14:paraId="09A51267" w14:textId="229FE85D" w:rsidR="009808FB" w:rsidRDefault="00876140" w:rsidP="009808FB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6BA1F1A1" wp14:editId="1745515C">
                  <wp:extent cx="2838450" cy="3975735"/>
                  <wp:effectExtent l="0" t="0" r="0" b="5715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5317" cy="39853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Tais condições são incompatíveis com produto novo e com a exigência legal de substituição por outro da mesma espécie </w:t>
      </w:r>
      <w:r>
        <w:rPr>
          <w:rStyle w:val="Forte"/>
          <w:rFonts w:ascii="Arial" w:hAnsi="Arial" w:cs="Arial"/>
        </w:rPr>
        <w:t xml:space="preserve">“em perfeitas condições de uso”</w:t>
      </w:r>
      <w:r>
        <w:rPr>
          <w:rFonts w:ascii="Arial" w:hAnsi="Arial" w:cs="Arial"/>
        </w:rPr>
        <w:t xml:space="preserve"> (art. 18, §1º, I, do CDC). A reclamação prosseguiu no PROCON, que designou audiência de conciliação para 03 de março de 2026.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 audiência, a 2ª Ré propôs, e a Autora aceitou, a troca do produto pelo modelo superior </w:t>
      </w:r>
      <w:r>
        <w:rPr>
          <w:rStyle w:val="Forte"/>
          <w:rFonts w:ascii="Arial" w:hAnsi="Arial" w:cs="Arial"/>
        </w:rPr>
        <w:t xml:space="preserve">Geladeira Frost Free 412 Litros Inox Consul, modelo CRM50MK</w:t>
      </w:r>
      <w:r>
        <w:rPr>
          <w:rFonts w:ascii="Arial" w:hAnsi="Arial" w:cs="Arial"/>
        </w:rPr>
        <w:t xml:space="preserve">, a ser entregue em até 30 dias úteis, com recolhimento do aparelho anterior </w:t>
      </w:r>
      <w:r>
        <w:rPr>
          <w:rFonts w:ascii="Arial" w:hAnsi="Arial" w:cs="Arial"/>
          <w:b/>
          <w:bCs/>
          <w:shd w:val="clear" w:color="auto" w:fill="FFF200"/>
        </w:rPr>
        <w:t xml:space="preserve">[Doc. 09 – Termo de Compromisso e Responsabilidade]</w:t>
      </w:r>
      <w:r>
        <w:rPr>
          <w:rFonts w:ascii="Arial" w:hAnsi="Arial" w:cs="Arial"/>
        </w:rPr>
        <w:t xml:space="preserve">. O termo limitou-se a essa obrigação de troca e não conferiu quitação a qualquer das partes. O acordo foi homologado pelo CEJUSC da Comarca de Teresina em 08 de março de 2026 (processo nº 0812504-87.2026.8.18.0140) </w:t>
      </w:r>
      <w:r>
        <w:rPr>
          <w:rFonts w:ascii="Arial" w:hAnsi="Arial" w:cs="Arial"/>
          <w:b/>
          <w:bCs/>
          <w:shd w:val="clear" w:color="auto" w:fill="FFF200"/>
        </w:rPr>
        <w:t xml:space="preserve">[Doc. 10 – sentença homologatória]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refrigerador CRM50MK foi entregue em </w:t>
      </w:r>
      <w:r>
        <w:rPr>
          <w:rFonts w:ascii="Arial" w:hAnsi="Arial" w:cs="Arial"/>
          <w:b/>
          <w:bCs/>
          <w:shd w:val="clear" w:color="auto" w:fill="FFF200"/>
        </w:rPr>
        <w:t xml:space="preserve">[data – Doc. 11, NF de entrega]</w:t>
      </w:r>
      <w:r>
        <w:rPr>
          <w:rFonts w:ascii="Arial" w:hAnsi="Arial" w:cs="Arial"/>
        </w:rPr>
        <w:t xml:space="preserve">.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, também ele passou a apresentar defeito </w:t>
      </w:r>
      <w:r>
        <w:rPr>
          <w:rFonts w:ascii="Arial" w:hAnsi="Arial" w:cs="Arial"/>
          <w:b/>
          <w:bCs/>
          <w:shd w:val="clear" w:color="auto" w:fill="FFF200"/>
        </w:rPr>
        <w:t xml:space="preserve">[descrever o defeito]</w:t>
      </w:r>
      <w:r>
        <w:rPr>
          <w:rFonts w:ascii="Arial" w:hAnsi="Arial" w:cs="Arial"/>
        </w:rPr>
        <w:t xml:space="preserve">. A Autora acionou o atendimento oficial da Consul, que encaminhou o caso à mesma assistência técnica autorizada, Jainara da Rocha Saraiva </w:t>
      </w:r>
      <w:r>
        <w:rPr>
          <w:rFonts w:ascii="Arial" w:hAnsi="Arial" w:cs="Arial"/>
          <w:b/>
          <w:bCs/>
          <w:shd w:val="clear" w:color="auto" w:fill="FFF200"/>
        </w:rPr>
        <w:t xml:space="preserve">[Doc. 12 – conversa com o atendimento Consul]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  <w:b/>
          <w:bCs/>
          <w:shd w:val="clear" w:color="auto" w:fill="FFF200"/>
        </w:rPr>
        <w:t xml:space="preserve">[Descrever o desfecho: se a visita foi agendada ou realizada, se houve ordem de serviço e qual o resultado – confirmar com a cliente]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Arial" w:hAnsi="Arial" w:cs="Arial"/>
          <w:b/>
          <w:bCs/>
          <w:shd w:val="clear" w:color="auto" w:fill="FFF200"/>
        </w:rPr>
        <w:t xml:space="preserve">[Doc. 13 – fotos e vídeos do defeito atual]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situação pode ser sintetizada da seguinte forma: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584F560D" w14:textId="662F6D8B" w:rsidR="00D93385" w:rsidRDefault="00D93385" w:rsidP="003000FE">
      <w:pPr>
        <w:pStyle w:val="NormalWeb"/>
        <w:spacing w:before="0" w:beforeAutospacing="0" w:after="0" w:afterAutospacing="0" w:line="276" w:lineRule="auto"/>
        <w:ind w:firstLine="567"/>
        <w:jc w:val="center"/>
        <w:rPr>
          <w:rStyle w:val="Forte"/>
          <w:rFonts w:ascii="Arial" w:hAnsi="Arial" w:cs="Arial"/>
          <w:sz w:val="20"/>
          <w:szCs w:val="20"/>
        </w:rPr>
      </w:pPr>
      <w:r>
        <w:rPr>
          <w:rStyle w:val="Forte"/>
          <w:rFonts w:ascii="Arial" w:hAnsi="Arial" w:cs="Arial"/>
          <w:sz w:val="20"/>
          <w:szCs w:val="20"/>
        </w:rPr>
        <w:t xml:space="preserve">COMPRA DO PRODUTO NOVO (06/06/2025)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DEFEITO: NÃO REFRIGERA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ASSISTÊNCIA TÉCNICA (23/10/2025) – DEFEITO NÃO SANADO EM 30 DIAS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RECLAMAÇÃO NO PROCON (26/11/2025)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1ª TROCA EM GARANTIA (11/12/2025) – APARELHO RECUPERADO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ACORDO NO PROCON – 2ª TROCA (03/03/2026), HOMOLOGADO EM 08/03/2026</w:t>
      </w:r>
      <w:r>
        <w:rPr>
          <w:rFonts w:ascii="Arial" w:hAnsi="Arial" w:cs="Arial"/>
          <w:sz w:val="20"/>
          <w:szCs w:val="20"/>
        </w:rPr>
        <w:br/>
        <w:t xml:space="preserve">↓</w:t>
        <w:br/>
      </w:r>
      <w:r>
        <w:rPr>
          <w:rStyle w:val="Forte"/>
          <w:rFonts w:ascii="Arial" w:hAnsi="Arial" w:cs="Arial"/>
          <w:sz w:val="20"/>
          <w:szCs w:val="20"/>
        </w:rPr>
        <w:t xml:space="preserve">DEFEITO NO CRM50MK – PRODUTO SEM USO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Esgotadas as tentativas de solução administrativa, inclusive perante o PROCON, não restou à consumidora alternativa senão buscar a tutela jurisdicional.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tbl>
      <w:tblPr>
        <w:tblStyle w:val="a7"/>
        <w:tblW w:w="105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5"/>
      </w:tblGrid>
      <w:tr w:rsidR="00520367" w:rsidRPr="00E814BB" w14:paraId="2B81FD8D" w14:textId="77777777">
        <w:trPr>
          <w:trHeight w:val="572"/>
        </w:trPr>
        <w:tc>
          <w:tcPr>
            <w:tcW w:w="10515" w:type="dxa"/>
            <w:tcBorders>
              <w:top w:val="single" w:sz="8" w:space="0" w:color="123BB8"/>
              <w:left w:val="single" w:sz="8" w:space="0" w:color="123BB8"/>
              <w:bottom w:val="single" w:sz="8" w:space="0" w:color="123BB8"/>
              <w:right w:val="single" w:sz="8" w:space="0" w:color="123BB8"/>
            </w:tcBorders>
            <w:shd w:val="clear" w:color="auto" w:fill="123BB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77FD" w14:textId="77777777" w:rsidR="00520367" w:rsidRPr="00E814BB" w:rsidRDefault="005E51F7" w:rsidP="00316F81">
            <w:pPr>
              <w:widowControl w:val="0"/>
              <w:spacing w:before="0" w:after="0" w:line="276" w:lineRule="auto"/>
              <w:ind w:firstLine="567"/>
              <w:jc w:val="both"/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</w:pPr>
            <w:r>
              <w:rPr>
                <w:rFonts w:ascii="Arial" w:eastAsia="Lora" w:hAnsi="Arial" w:cs="Arial"/>
                <w:b/>
                <w:bCs/>
                <w:i/>
                <w:iCs/>
                <w:color w:val="FFFFFF"/>
                <w:shd w:val="clear" w:color="auto" w:fill="123BB8"/>
              </w:rPr>
              <w:t>MÉRITO</w:t>
            </w:r>
          </w:p>
        </w:tc>
      </w:tr>
    </w:tbl>
    <w:p w14:paraId="34E8DF7E" w14:textId="77777777" w:rsidR="00520367" w:rsidRPr="00E814BB" w:rsidRDefault="005E51F7" w:rsidP="00316F81">
      <w:pPr>
        <w:spacing w:before="0" w:after="0" w:line="276" w:lineRule="auto"/>
        <w:ind w:firstLine="567"/>
        <w:jc w:val="both"/>
        <w:rPr>
          <w:rFonts w:ascii="Arial" w:eastAsia="Lora" w:hAnsi="Arial" w:cs="Arial"/>
          <w:b/>
          <w:bCs/>
          <w:i/>
          <w:iCs/>
        </w:rPr>
      </w:pPr>
      <w:r>
        <w:rPr>
          <w:rFonts w:ascii="Arial" w:eastAsia="Lora" w:hAnsi="Arial" w:cs="Arial"/>
          <w:b/>
          <w:bCs/>
        </w:rPr>
        <w:t xml:space="preserve"> </w:t>
      </w: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I) DA RELAÇÃO DE CONSUMO E DA RESPONSABILIDADE SOLIDÁRIA DAS RÉS</w:t>
      </w:r>
    </w:p>
    <w:p w14:paraId="7254DC66" w14:textId="77777777" w:rsidR="004A3A2E" w:rsidRPr="004A3A2E" w:rsidRDefault="004A3A2E" w:rsidP="004A3A2E"/>
    <w:p w14:paraId="4BA1B228" w14:textId="3753EA4F"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 w14:paraId="153C7F9A" w14:textId="2950AD12"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art. 18 do Código de Defesa do Consumidor estabelece expressamente a </w:t>
      </w:r>
      <w:r>
        <w:rPr>
          <w:rStyle w:val="Forte"/>
          <w:rFonts w:ascii="Arial" w:hAnsi="Arial" w:cs="Arial"/>
        </w:rPr>
        <w:t>responsabilidade solidária dos fornecedores</w:t>
      </w:r>
      <w:r>
        <w:rPr>
          <w:rFonts w:ascii="Arial" w:hAnsi="Arial" w:cs="Arial"/>
        </w:rPr>
        <w:t xml:space="preserve"> pelos vícios de qualidade que tornem o produto impróprio ou inadequado ao consumo ou diminuam seu valor. </w:t>
      </w:r>
    </w:p>
    <w:p w14:paraId="4CF7ECF8" w14:textId="77777777"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solidariedade decorre da própria estrutura da relação de consumo, não sendo admissível que comerciante e fabricante transfiram entre si a responsabilidade pela solução de um vício apresentado pelo produto colocado no mercado.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II) DO ACORDO HOMOLOGADO E DO VÍCIO SUPERVENIENTE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transação interpreta-se restritivamente (art. 843 do Código Civil), e a coisa julgada decorrente da homologação alcança apenas a questão efetivamente resolvida, ou seja, a obrigação de troca (art. 503 do CPC). Essa obrigação foi cumprida. O novo refrigerador passou então a estar coberto pela mesma garantia legal, e o defeito que nele surgiu constitui </w:t>
      </w:r>
      <w:r>
        <w:rPr>
          <w:rStyle w:val="Forte"/>
          <w:rFonts w:ascii="Arial" w:hAnsi="Arial" w:cs="Arial"/>
        </w:rPr>
        <w:t xml:space="preserve">vício novo, posterior ao acordo</w:t>
      </w:r>
      <w:r>
        <w:rPr>
          <w:rFonts w:ascii="Arial" w:hAnsi="Arial" w:cs="Arial"/>
        </w:rPr>
        <w:t xml:space="preserve">, com causa de pedir própria, não abrangida pela transação nem pela sentença homologatória.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III) DO VÍCIO REITERADO DO PRODUTO E DO DESCUMPRIMENTO DO ART. 18 DO CDC</w:t>
      </w:r>
    </w:p>
    <w:p w14:paraId="763BFC97" w14:textId="77777777" w:rsidR="00D93385" w:rsidRPr="00E814BB" w:rsidRDefault="00D93385" w:rsidP="00193709">
      <w:pPr>
        <w:pStyle w:val="NormalWeb"/>
        <w:spacing w:before="24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caso não se resume a um defeito pontual apresentado por um produto recém-adquirido.</w:t>
      </w:r>
    </w:p>
    <w:p w14:paraId="76561873" w14:textId="77777777" w:rsidR="00D93385" w:rsidRPr="00E814BB" w:rsidRDefault="00D93385" w:rsidP="00193709">
      <w:pPr>
        <w:pStyle w:val="NormalWeb"/>
        <w:spacing w:before="24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que existe é uma </w:t>
      </w:r>
      <w:r>
        <w:rPr>
          <w:rStyle w:val="Forte"/>
          <w:rFonts w:ascii="Arial" w:hAnsi="Arial" w:cs="Arial"/>
        </w:rPr>
        <w:t>sucessão de vícios e substituições</w:t>
      </w:r>
      <w:r>
        <w:rPr>
          <w:rFonts w:ascii="Arial" w:hAnsi="Arial" w:cs="Arial"/>
        </w:rPr>
        <w:t>, sem que a consumidora tenha conseguido obter um produto adequado e funcional.</w:t>
      </w:r>
    </w:p>
    <w:p w14:paraId="5FF4EDAF" w14:textId="77777777" w:rsidR="00D93385" w:rsidRPr="00E814BB" w:rsidRDefault="00D93385" w:rsidP="00193709">
      <w:pPr>
        <w:pStyle w:val="NormalWeb"/>
        <w:spacing w:before="24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art. 18 do CDC estabelece:</w:t>
      </w:r>
    </w:p>
    <w:p w14:paraId="524F40CB" w14:textId="77777777" w:rsidR="00D93385" w:rsidRPr="00193709" w:rsidRDefault="00D93385" w:rsidP="00AC4279">
      <w:pPr>
        <w:pStyle w:val="NormalWeb"/>
        <w:spacing w:before="0" w:beforeAutospacing="0" w:after="0" w:afterAutospacing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“Os fornecedores de produtos de consumo duráveis ou não duráveis respondem solidariamente pelos vícios de qualidade ou quantidade que os tornem impróprios ou inadequados ao consumo a que se destinam ou lhes diminuam o valor (...)”.</w:t>
      </w:r>
    </w:p>
    <w:p w14:paraId="45758D01" w14:textId="77777777" w:rsidR="00D93385" w:rsidRPr="00193709" w:rsidRDefault="00D93385" w:rsidP="00AC4279">
      <w:pPr>
        <w:pStyle w:val="NormalWeb"/>
        <w:spacing w:before="0" w:beforeAutospacing="0" w:after="0" w:afterAutospacing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E estabelece, em seu §1º, que, não sendo o vício sanado no prazo máximo de 30 dias, o consumidor poderá escolher entre:</w:t>
      </w:r>
    </w:p>
    <w:p w14:paraId="49AF305C" w14:textId="22FD8C6B" w:rsidR="00D93385" w:rsidRPr="00193709" w:rsidRDefault="00D93385" w:rsidP="00AC4279">
      <w:pPr>
        <w:pStyle w:val="PargrafodaLista"/>
        <w:numPr>
          <w:ilvl w:val="0"/>
          <w:numId w:val="4"/>
        </w:numPr>
        <w:tabs>
          <w:tab w:val="clear" w:pos="720"/>
        </w:tabs>
        <w:spacing w:before="0" w:after="0" w:line="276" w:lineRule="auto"/>
        <w:ind w:firstLine="2824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a substituição do produto;</w:t>
      </w:r>
    </w:p>
    <w:p w14:paraId="60DF20D2" w14:textId="77777777" w:rsidR="00D93385" w:rsidRPr="00193709" w:rsidRDefault="00D93385" w:rsidP="00AC4279">
      <w:pPr>
        <w:numPr>
          <w:ilvl w:val="0"/>
          <w:numId w:val="4"/>
        </w:numPr>
        <w:spacing w:before="0" w:after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a restituição imediata da quantia paga, monetariamente atualizada;</w:t>
      </w:r>
    </w:p>
    <w:p w14:paraId="6AFB0B9A" w14:textId="49507DCA" w:rsidR="00D93385" w:rsidRPr="00193709" w:rsidRDefault="00D93385" w:rsidP="00AC4279">
      <w:pPr>
        <w:numPr>
          <w:ilvl w:val="0"/>
          <w:numId w:val="4"/>
        </w:numPr>
        <w:spacing w:before="0" w:after="0" w:line="276" w:lineRule="auto"/>
        <w:ind w:left="3261" w:firstLine="283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ou o abatimento proporcional do preço. </w:t>
      </w:r>
    </w:p>
    <w:p w14:paraId="2FF68467" w14:textId="77777777" w:rsidR="00AC4279" w:rsidRPr="00AC4279" w:rsidRDefault="00AC4279" w:rsidP="00AC4279">
      <w:pPr>
        <w:spacing w:before="0" w:after="0" w:line="276" w:lineRule="auto"/>
        <w:ind w:left="3544"/>
        <w:jc w:val="both"/>
        <w:rPr>
          <w:rFonts w:ascii="Arial" w:hAnsi="Arial" w:cs="Arial"/>
          <w:sz w:val="22"/>
          <w:szCs w:val="22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situação é ainda mais grave porque a primeira troca sequer atendeu à lei: o aparelho entregue em 11/12/2025 era recuperado, com amassados, ruptura da borda da porta e remendos com cola, quando o art. 18, §1º, I, do CDC exige a substituição “por outro da mesma espécie, em perfeitas condições de uso”. Antes disso, o defeito original não foi sanado pela assistência técnica no prazo de 30 dias, como reconheceu a própria fabricante em sua resposta ao PROCON. E a segunda troca, acordada no PROCON, também não solucionou o problema.</w:t>
      </w:r>
    </w:p>
    <w:p w14:paraId="5AC2A8C2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Style w:val="Forte"/>
          <w:rFonts w:ascii="Arial" w:hAnsi="Arial" w:cs="Arial"/>
        </w:rPr>
        <w:t>um refrigerador em perfeitas condições de funcionamento</w:t>
      </w:r>
      <w:r>
        <w:rPr>
          <w:rFonts w:ascii="Arial" w:hAnsi="Arial" w:cs="Arial"/>
        </w:rPr>
        <w:t>.</w:t>
      </w:r>
    </w:p>
    <w:p w14:paraId="78D102EC" w14:textId="74B4FE58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jurisprudência do TJPI reconhece que, não solucionado o vício no prazo legal, o consumidor pode optar pela restituição do valor pago, substituição do produto ou abatimento proporcional. (</w:t>
      </w:r>
      <w:r>
        <w:rPr>
          <w:rFonts w:ascii="Arial" w:hAnsi="Arial" w:cs="Arial"/>
          <w:shd w:val="clear" w:color="auto" w:fill="FFFFFF"/>
        </w:rPr>
        <w:t>TJPI - APELAÇÃO CÍVEL 0012725-31.2011.8.18.0140 - Relator: OTON MARIO JOSE LUSTOSA TORRES - 4ª Câmara Especializada Cível - Data 27/11/2022).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[conferir no site do TJPI: a data de 27/11/2022 é incomum para processo de 2011]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Mais recentemente, o TJPI reconheceu, em caso envolvendo vício de produto, a possibilidade de restituição do valor e de dano moral quando presentes circunstâncias que ultrapassem o mero inadimplemento (TJPI – APELAÇÃO CÍVEL 0800277-66.2020.8.18.0046 – Relator: HAROLDO OLIVEIRA REHEM – 1ª Câmara Especializada Cível – Data 21/11/2023) </w:t>
      </w:r>
      <w:r>
        <w:rPr>
          <w:rFonts w:ascii="Arial" w:hAnsi="Arial" w:cs="Arial"/>
          <w:b/>
          <w:bCs/>
          <w:shd w:val="clear" w:color="auto" w:fill="FFF200"/>
        </w:rPr>
        <w:t xml:space="preserve">[conferir órgão julgador no site do TJPI: a minuta citava “3ª Turma Recursal”]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IV) DA ESSENCIALIDADE DO BEM E DA INADEQUAÇÃO DE NOVAS TENTATIVAS DE REPARO OU SUBSTITUIÇÃO</w:t>
      </w:r>
    </w:p>
    <w:p w14:paraId="7378E6F3" w14:textId="0397EE49" w:rsidR="00D93385" w:rsidRPr="00E814BB" w:rsidRDefault="00430BC0" w:rsidP="00193709">
      <w:pPr>
        <w:pStyle w:val="NormalWeb"/>
        <w:spacing w:before="48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Uma geladeira não constitui mero objeto de conveniência. Sua finalidade está diretamente relacionada à </w:t>
      </w:r>
      <w:r>
        <w:rPr>
          <w:rStyle w:val="Forte"/>
          <w:rFonts w:ascii="Arial" w:hAnsi="Arial" w:cs="Arial"/>
        </w:rPr>
        <w:t>conservação de alimentos</w:t>
      </w:r>
      <w:r>
        <w:rPr>
          <w:rFonts w:ascii="Arial" w:hAnsi="Arial" w:cs="Arial"/>
        </w:rPr>
        <w:t>, sendo utilizada diariamente no ambiente doméstico.</w:t>
      </w:r>
    </w:p>
    <w:p w14:paraId="0040E9A6" w14:textId="769D199E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próprio </w:t>
      </w:r>
      <w:r>
        <w:rPr>
          <w:rFonts w:ascii="Arial" w:hAnsi="Arial" w:cs="Arial"/>
          <w:b/>
          <w:bCs/>
        </w:rPr>
        <w:t>art. 18, §3º, do CDC</w:t>
      </w:r>
      <w:r>
        <w:rPr>
          <w:rFonts w:ascii="Arial" w:hAnsi="Arial" w:cs="Arial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Style w:val="Forte"/>
          <w:rFonts w:ascii="Arial" w:hAnsi="Arial" w:cs="Arial"/>
        </w:rPr>
        <w:t>quando se tratar de produto essencial</w:t>
      </w:r>
      <w:r>
        <w:rPr>
          <w:rFonts w:ascii="Arial" w:hAnsi="Arial" w:cs="Arial"/>
        </w:rPr>
        <w:t xml:space="preserve">. </w:t>
      </w:r>
    </w:p>
    <w:p w14:paraId="0C339E23" w14:textId="3E6954F8" w:rsidR="00D93385" w:rsidRPr="00E814BB" w:rsidRDefault="00D93385" w:rsidP="0054211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STJ decidiu recentemente que a essencialidade é conceito que deve ser </w:t>
      </w:r>
      <w:r>
        <w:rPr>
          <w:rStyle w:val="Forte"/>
          <w:rFonts w:ascii="Arial" w:hAnsi="Arial" w:cs="Arial"/>
        </w:rPr>
        <w:t>concretizado de acordo com as circunstâncias do caso</w:t>
      </w:r>
      <w:r>
        <w:rPr>
          <w:rFonts w:ascii="Arial" w:hAnsi="Arial" w:cs="Arial"/>
        </w:rPr>
        <w:t>, levando em consideração a indispensabilidade objetiva do bem, sua destinação concreta e o impacto causado pela privação do produto. No caso concreto, esses elementos estão presentes.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[inserir número do REsp, turma e data do julgamento, ou excluir a referência ao STJ]</w:t>
      </w:r>
    </w:p>
    <w:p w14:paraId="2AEEE148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Portanto, ainda que não se pretenda estabelecer uma regra abstrata de que toda e qualquer geladeira seja automaticamente considerada produto essencial, </w:t>
      </w:r>
      <w:r>
        <w:rPr>
          <w:rStyle w:val="Forte"/>
          <w:rFonts w:ascii="Arial" w:hAnsi="Arial" w:cs="Arial"/>
        </w:rPr>
        <w:t xml:space="preserve">as </w:t>
        <w:lastRenderedPageBreak/>
        <w:t>circunstâncias específicas desta demanda demonstram que a privação de um refrigerador funcional produz impacto concreto na vida cotidiana da consumidora</w:t>
      </w:r>
      <w:r>
        <w:rPr>
          <w:rFonts w:ascii="Arial" w:hAnsi="Arial" w:cs="Arial"/>
        </w:rPr>
        <w:t>.</w:t>
      </w:r>
    </w:p>
    <w:p w14:paraId="61418AF0" w14:textId="42EE20E0" w:rsidR="00D93385" w:rsidRPr="00E814BB" w:rsidRDefault="00D93385" w:rsidP="00997DF2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Mais importante ainda, aqui não se discute apenas a necessidade de aguardar uma primeira tentativa de reparo. A Autora </w:t>
      </w:r>
      <w:r>
        <w:rPr>
          <w:rStyle w:val="Forte"/>
          <w:rFonts w:ascii="Arial" w:hAnsi="Arial" w:cs="Arial"/>
        </w:rPr>
        <w:t>já passou por sucessivas tentativas de solução e substituições</w:t>
      </w:r>
      <w:r>
        <w:rPr>
          <w:rFonts w:ascii="Arial" w:hAnsi="Arial" w:cs="Arial"/>
        </w:rPr>
        <w:t>, inclusive uma formalmente documentada como troca em garantia.</w:t>
      </w:r>
    </w:p>
    <w:p w14:paraId="2A7C07E5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insistência em submetê-la a novos ciclos de reparo e substituição representaria, na prática, prolongar indefinidamente uma situação que já se mostrou inadequadamente solucionada.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 isso, ainda que se entenda que a fornecedora não dispôs do prazo de 30 dias para sanar o vício do último aparelho, a Autora pode fazer uso imediato da restituição da quantia paga, nos termos do art. 18, §3º, do CDC.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V) DA INEXISTÊNCIA DE DECADÊNCIA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prazo de 90 dias para reclamar de vícios em produtos duráveis (art. 26, II, do CDC) não se consumou. O vício do último aparelho surgiu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, e a Autora o reclamou perante a fornecedora em </w:t>
      </w:r>
      <w:r>
        <w:rPr>
          <w:rFonts w:ascii="Arial" w:hAnsi="Arial" w:cs="Arial"/>
          <w:b/>
          <w:bCs/>
          <w:shd w:val="clear" w:color="auto" w:fill="FFF200"/>
        </w:rPr>
        <w:t xml:space="preserve">[data]</w:t>
      </w:r>
      <w:r>
        <w:rPr>
          <w:rFonts w:ascii="Arial" w:hAnsi="Arial" w:cs="Arial"/>
        </w:rPr>
        <w:t xml:space="preserve">, por meio do atendimento oficial da Consul </w:t>
      </w:r>
      <w:r>
        <w:rPr>
          <w:rFonts w:ascii="Arial" w:hAnsi="Arial" w:cs="Arial"/>
          <w:b/>
          <w:bCs/>
          <w:shd w:val="clear" w:color="auto" w:fill="FFF200"/>
        </w:rPr>
        <w:t xml:space="preserve">[Doc. 12]</w:t>
      </w:r>
      <w:r>
        <w:rPr>
          <w:rFonts w:ascii="Arial" w:hAnsi="Arial" w:cs="Arial"/>
        </w:rPr>
        <w:t xml:space="preserve">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Arial" w:hAnsi="Arial" w:cs="Arial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VI) DA RESTITUIÇÃO INTEGRAL DO VALOR PAGO</w:t>
      </w:r>
    </w:p>
    <w:p w14:paraId="1EFAF006" w14:textId="77777777" w:rsidR="00997DF2" w:rsidRPr="00997DF2" w:rsidRDefault="00997DF2" w:rsidP="00997DF2"/>
    <w:p w14:paraId="429D7E56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Diante da persistência do vício e da sucessão de tentativas frustradas de solução, a Autora opta pela </w:t>
      </w:r>
      <w:r>
        <w:rPr>
          <w:rStyle w:val="Forte"/>
          <w:rFonts w:ascii="Arial" w:hAnsi="Arial" w:cs="Arial"/>
        </w:rPr>
        <w:t>restituição integral do valor pago</w:t>
      </w:r>
      <w:r>
        <w:rPr>
          <w:rFonts w:ascii="Arial" w:hAnsi="Arial" w:cs="Arial"/>
        </w:rPr>
        <w:t>, nos termos do art. 18, §1º, II, do CDC.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valor pago pela consumidora foi de </w:t>
      </w:r>
      <w:r>
        <w:rPr>
          <w:rStyle w:val="Forte"/>
          <w:rFonts w:ascii="Arial" w:hAnsi="Arial" w:cs="Arial"/>
        </w:rPr>
        <w:t xml:space="preserve">R$ 3.438,90</w:t>
      </w:r>
      <w:r>
        <w:rPr>
          <w:rFonts w:ascii="Arial" w:hAnsi="Arial" w:cs="Arial"/>
        </w:rPr>
        <w:t xml:space="preserve">, conforme NF-e nº 000.496.852 (chave de acesso 2525 0662 0583 1800 1233 5500 1000 4968 5219 8186 8756).</w:t>
      </w:r>
    </w:p>
    <w:p w14:paraId="5C8CDE22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restituição deve compreender o valor efetivamente desembolsado pela consumidora, devidamente atualizado, sem que lhe seja imposta qualquer redução decorrente do tempo de utilização do produto.</w:t>
      </w:r>
    </w:p>
    <w:p w14:paraId="2332ADB2" w14:textId="0D82D29B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STJ já decidiu que a restituição prevista no art. 18, §1º, II, do CDC deve compreender o valor da aquisição devidamente atualizado, </w:t>
      </w:r>
      <w:r>
        <w:rPr>
          <w:rStyle w:val="Forte"/>
          <w:rFonts w:ascii="Arial" w:hAnsi="Arial" w:cs="Arial"/>
        </w:rPr>
        <w:t>sem abatimento por eventual desvalorização decorrente do uso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[inserir número do REsp, turma e data do julgamento, ou excluir o parágrafo]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VII) DOS DANOS MATERIAIS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Os valores comprovados somam R$ </w:t>
      </w:r>
      <w:r>
        <w:rPr>
          <w:rFonts w:ascii="Arial" w:hAnsi="Arial" w:cs="Arial"/>
          <w:b/>
          <w:bCs/>
          <w:shd w:val="clear" w:color="auto" w:fill="FFF200"/>
        </w:rPr>
        <w:t xml:space="preserve">[total]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[Doc. 14 – comprovantes das despesas]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VIII) DO DANO MORAL E DO DESVIO PRODUTIVO DO CONSUMIDOR</w:t>
      </w:r>
    </w:p>
    <w:p w14:paraId="68329C70" w14:textId="77777777" w:rsidR="00D93385" w:rsidRPr="00E814BB" w:rsidRDefault="00D93385" w:rsidP="00193709">
      <w:pPr>
        <w:pStyle w:val="NormalWeb"/>
        <w:spacing w:before="0" w:beforeAutospacing="0" w:after="24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É importante destacar que a pretensão indenizatória não se fundamenta simplesmente no fato de o produto ter apresentado defeito.</w:t>
      </w:r>
    </w:p>
    <w:p w14:paraId="78A8605B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Autora não pretende transformar todo e qualquer problema relacionado a um eletrodoméstico em dano moral automático.</w:t>
      </w:r>
    </w:p>
    <w:p w14:paraId="6E8583E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que caracteriza a particularidade do presente caso é a </w:t>
      </w:r>
      <w:r>
        <w:rPr>
          <w:rStyle w:val="Forte"/>
          <w:rFonts w:ascii="Arial" w:hAnsi="Arial" w:cs="Arial"/>
        </w:rPr>
        <w:t>reiteração do problema e o prolongamento da tentativa de solução</w:t>
      </w:r>
      <w:r>
        <w:rPr>
          <w:rFonts w:ascii="Arial" w:hAnsi="Arial" w:cs="Arial"/>
        </w:rPr>
        <w:t>, apesar das sucessivas providências adotadas pela consumidora.</w:t>
      </w:r>
    </w:p>
    <w:p w14:paraId="132351DA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Autora: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adquiriu um produto novo, que deixou de refrigerar com pouco tempo de uso;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aguardou a assistência técnica, que não sanou o defeito em 30 dias;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registrou reclamação no PROCON;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recebeu, na primeira troca, um aparelho recuperado, com remendos e amassados;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participou de audiência no PROCON, em Teresina, e aceitou nova troca;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recebeu o modelo CRM50MK, que também apresentou defeito;</w:t>
      </w:r>
    </w:p>
    <w:p w:rsidR="00D93385" w:rsidRPr="00E814BB" w:rsidRDefault="00D93385" w:rsidP="00316F81">
      <w:pPr>
        <w:numPr>
          <w:ilvl w:val="0"/>
          <w:numId w:val="5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e, mesmo após todas essas providências, permanece sem refrigerador em funcionamento.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4A412EAE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Não se trata, portanto, de um simples aborrecimento cotidiano.</w:t>
      </w:r>
    </w:p>
    <w:p w14:paraId="41A8A05A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consumidora foi obrigada a </w:t>
      </w:r>
      <w:r>
        <w:rPr>
          <w:rStyle w:val="Forte"/>
          <w:rFonts w:ascii="Arial" w:hAnsi="Arial" w:cs="Arial"/>
        </w:rPr>
        <w:t>desviar tempo de sua vida pessoal para solucionar problema criado pelos próprios fornecedores</w:t>
      </w:r>
      <w:r>
        <w:rPr>
          <w:rFonts w:ascii="Arial" w:hAnsi="Arial" w:cs="Arial"/>
        </w:rPr>
        <w:t xml:space="preserve">, realizando contatos, reclamações, acompanhamentos e deslocamentos que não deveriam existir se o </w:t>
        <w:lastRenderedPageBreak/>
        <w:t>produto tivesse sido adequadamente fornecido ou se o vício tivesse sido definitivamente solucionado.</w:t>
      </w:r>
    </w:p>
    <w:p w14:paraId="7D1C800C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Essa situação caracteriza o chamado </w:t>
      </w:r>
      <w:r>
        <w:rPr>
          <w:rStyle w:val="Forte"/>
          <w:rFonts w:ascii="Arial" w:hAnsi="Arial" w:cs="Arial"/>
        </w:rPr>
        <w:t>desvio produtivo do consumidor</w:t>
      </w:r>
      <w:r>
        <w:rPr>
          <w:rFonts w:ascii="Arial" w:hAnsi="Arial" w:cs="Arial"/>
        </w:rPr>
        <w:t>.</w:t>
      </w:r>
    </w:p>
    <w:p w14:paraId="49694704" w14:textId="165840E9" w:rsidR="00D93385" w:rsidRPr="008168B6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O próprio TJPI possui precedentes recentes reconhecendo essa construção em casos nos quais o consumidor foi submetido a sucessivas tentativas de solução administrativa sem resposta adequada do fornecedor. Em março de 2026, a 3ª Turma Recursal reconheceu dano moral em caso de vício oculto em aparelho de ar-condicionado, destacando expressamente a teoria do desvio produtivo do consumidor. </w:t>
      </w:r>
      <w:r>
        <w:rPr>
          <w:rFonts w:ascii="Arial" w:hAnsi="Arial" w:cs="Arial"/>
          <w:lang w:val="en"/>
        </w:rPr>
        <w:t>(</w:t>
      </w:r>
      <w:r>
        <w:rPr>
          <w:rFonts w:ascii="Arial" w:hAnsi="Arial" w:cs="Arial"/>
          <w:u w:val="single"/>
          <w:lang w:val="en"/>
        </w:rPr>
        <w:t xml:space="preserve">TJPI - RECURSO INOMINADO CÍVEL 0800693-79.2025.8.18.0136 - Relator: MARIA DO SOCORRO ROCHA CIPRIANO - 3ª Turma Recursal - Data 11/03/2026).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[conferir acórdão no site do TJPI]</w:t>
      </w:r>
    </w:p>
    <w:p w14:paraId="66D64BA1" w14:textId="0E61C1EB" w:rsidR="00D93385" w:rsidRPr="008168B6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Também há precedente recente do TJPI reconhecendo dano moral em situação de produto entregue com defeito e demora injustificada na solução do problema. </w:t>
      </w:r>
      <w:r>
        <w:rPr>
          <w:rFonts w:ascii="Arial" w:hAnsi="Arial" w:cs="Arial"/>
          <w:u w:val="single"/>
          <w:lang w:val="en"/>
        </w:rPr>
        <w:t xml:space="preserve">(TJPI - RECURSO INOMINADO CÍVEL 0801888-83.2022.8.18.0143 - Relator: REGINALDO PEREIRA LIMA DE ALENCAR - 3ª Turma Recursal - Data 02/08/2024)</w:t>
      </w:r>
      <w:r>
        <w:rPr>
          <w:rFonts w:ascii="Arial" w:hAnsi="Arial" w:cs="Arial"/>
          <w:u w:val="single"/>
        </w:rPr>
        <w:t>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[conferir acórdão no site do TJPI]</w:t>
      </w:r>
    </w:p>
    <w:p w14:paraId="46203DE6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Style w:val="Forte"/>
          <w:rFonts w:ascii="Arial" w:hAnsi="Arial" w:cs="Arial"/>
        </w:rPr>
        <w:t xml:space="preserve">R$ 10.000,00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IX) DA INVERSÃO DO ÔNUS DA PROVA</w:t>
      </w:r>
    </w:p>
    <w:p w14:paraId="208739C9" w14:textId="77777777" w:rsidR="00D93385" w:rsidRPr="00E814BB" w:rsidRDefault="00D93385" w:rsidP="00193709">
      <w:pPr>
        <w:pStyle w:val="NormalWeb"/>
        <w:spacing w:before="48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art. 6º, VIII, do CDC assegura ao consumidor a facilitação da defesa de seus direitos, inclusive mediante inversão do ônus da prova, quando presentes a verossimilhança das alegações ou a hipossuficiência do consumidor.</w:t>
      </w:r>
    </w:p>
    <w:p w14:paraId="7EC0A90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No presente caso, ambos os requisitos estão presentes.</w:t>
      </w:r>
    </w:p>
    <w:p w14:paraId="4022AAD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verossimilhança decorre da própria documentação já existente, especialmente: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nota fiscal da aquisição;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nota fiscal de troca em garantia emitida pela fabricante;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reclamação, resposta da fabricante e Termo de Compromisso do PROCON, além da sentença homologatória;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fotografias do aparelho recuperado e do defeito atual;</w:t>
      </w:r>
    </w:p>
    <w:p w:rsidR="00D93385" w:rsidRPr="00E814BB" w:rsidRDefault="00D93385" w:rsidP="00316F81">
      <w:pPr>
        <w:numPr>
          <w:ilvl w:val="0"/>
          <w:numId w:val="6"/>
        </w:numPr>
        <w:spacing w:before="0" w:after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registros do atendimento Consul e da assistência técnica autorizada.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720E1484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 w14:paraId="2135F947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As Rés possuem condições muito superiores de demonstrar:</w:t>
      </w:r>
    </w:p>
    <w:p w14:paraId="2EA8CCDF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a) os defeitos apresentados pelos equipamentos;</w:t>
      </w:r>
    </w:p>
    <w:p w14:paraId="1CC843B5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b) as datas dos atendimentos;</w:t>
      </w:r>
    </w:p>
    <w:p w14:paraId="49DA2F2D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c) as ordens de serviço;</w:t>
      </w:r>
    </w:p>
    <w:p w14:paraId="5250A292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d) os produtos efetivamente fornecidos em substituição;</w:t>
      </w:r>
    </w:p>
    <w:p w14:paraId="7A7990FB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e) a origem e condição dos equipamentos entregues;</w:t>
      </w:r>
    </w:p>
    <w:p w14:paraId="24BBD423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f) os números de série dos aparelhos;</w:t>
      </w:r>
    </w:p>
    <w:p w14:paraId="54C60C5E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g) os diagnósticos realizados;</w:t>
      </w:r>
    </w:p>
    <w:p w14:paraId="4CD56131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h) as razões pelas quais as sucessivas substituições não solucionaram definitivamente o problema.</w:t>
      </w:r>
    </w:p>
    <w:p w14:paraId="30FE75FC" w14:textId="77777777"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Requer-se, portanto, a </w:t>
      </w:r>
      <w:r>
        <w:rPr>
          <w:rStyle w:val="Forte"/>
          <w:rFonts w:ascii="Arial" w:hAnsi="Arial" w:cs="Arial"/>
        </w:rPr>
        <w:t>inversão do ônus da prova</w:t>
      </w:r>
      <w:r>
        <w:rPr>
          <w:rFonts w:ascii="Arial" w:hAnsi="Arial" w:cs="Arial"/>
        </w:rPr>
        <w:t>, nos termos do art. 6º, VIII, do CDC.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193709" w:rsidRPr="00193709" w:rsidRDefault="00AC4279" w:rsidP="00193709">
      <w:pPr>
        <w:pStyle w:val="Ttulo1"/>
        <w:spacing w:before="0" w:line="276" w:lineRule="auto"/>
        <w:ind w:firstLine="567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</w:rPr>
        <w:t xml:space="preserve">X) DOS PEDIDOS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Diante do exposto, requer: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a)</w:t>
      </w:r>
      <w:r>
        <w:rPr>
          <w:rFonts w:ascii="Arial" w:hAnsi="Arial" w:cs="Arial"/>
        </w:rPr>
        <w:t xml:space="preserve"> a concessão dos benefícios da </w:t>
      </w:r>
      <w:r>
        <w:rPr>
          <w:rStyle w:val="Forte"/>
          <w:rFonts w:ascii="Arial" w:hAnsi="Arial" w:cs="Arial"/>
        </w:rPr>
        <w:t xml:space="preserve">gratuidade da justiça</w:t>
      </w:r>
      <w:r>
        <w:rPr>
          <w:rFonts w:ascii="Arial" w:hAnsi="Arial" w:cs="Arial"/>
        </w:rPr>
        <w:t xml:space="preserve">, inclusive para fins de eventual recurso;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b)</w:t>
      </w:r>
      <w:r>
        <w:rPr>
          <w:rFonts w:ascii="Arial" w:hAnsi="Arial" w:cs="Arial"/>
        </w:rPr>
        <w:t xml:space="preserve"> a citação das Rés para comparecimento à audiência de conciliação e, querendo, apresentação de defesa;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c)</w:t>
      </w:r>
      <w:r>
        <w:rPr>
          <w:rFonts w:ascii="Arial" w:hAnsi="Arial" w:cs="Arial"/>
        </w:rPr>
        <w:t xml:space="preserve"> a inversão do ônus da prova, na forma do art. 6º, VIII, do CDC;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d)</w:t>
      </w:r>
      <w:r>
        <w:rPr>
          <w:rFonts w:ascii="Arial" w:hAnsi="Arial" w:cs="Arial"/>
        </w:rPr>
        <w:t xml:space="preserve"> a exibição, pelas Rés, de toda a documentação relativa às sucessivas trocas e atendimentos, incluindo ordens de serviço, protocolos, registros de assistência técnica, notas fiscais e identificação dos aparelhos (art. 396 do CPC);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e)</w:t>
      </w:r>
      <w:r>
        <w:rPr>
          <w:rFonts w:ascii="Arial" w:hAnsi="Arial" w:cs="Arial"/>
        </w:rPr>
        <w:t xml:space="preserve"> ao final, o reconhecimento da relação de consumo e da responsabilidade solidária das Rés (art. 18 do CDC), com a declaração da </w:t>
      </w:r>
      <w:r>
        <w:rPr>
          <w:rStyle w:val="Forte"/>
          <w:rFonts w:ascii="Arial" w:hAnsi="Arial" w:cs="Arial"/>
        </w:rPr>
        <w:t xml:space="preserve">resolução do contrato</w:t>
      </w:r>
      <w:r>
        <w:rPr>
          <w:rFonts w:ascii="Arial" w:hAnsi="Arial" w:cs="Arial"/>
        </w:rPr>
        <w:t xml:space="preserve"> de compra e venda, com fundamento no art. 18, §1º, II, do CDC;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f)</w:t>
      </w:r>
      <w:r>
        <w:rPr>
          <w:rFonts w:ascii="Arial" w:hAnsi="Arial" w:cs="Arial"/>
        </w:rPr>
        <w:t xml:space="preserve"> a condenação solidária das Rés à </w:t>
      </w:r>
      <w:r>
        <w:rPr>
          <w:rStyle w:val="Forte"/>
          <w:rFonts w:ascii="Arial" w:hAnsi="Arial" w:cs="Arial"/>
        </w:rPr>
        <w:t xml:space="preserve">restituição integral de R$ 3.438,90</w:t>
      </w:r>
      <w:r>
        <w:rPr>
          <w:rFonts w:ascii="Arial" w:hAnsi="Arial" w:cs="Arial"/>
        </w:rPr>
        <w:t xml:space="preserve">, sem abatimento pelo uso do produto, com correção monetária desde o desembolso (06/06/2025) e juros de mora desde a citação;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g)</w:t>
      </w:r>
      <w:r>
        <w:rPr>
          <w:rFonts w:ascii="Arial" w:hAnsi="Arial" w:cs="Arial"/>
        </w:rPr>
        <w:t xml:space="preserve"> a condenação das Rés a recolher, às suas expensas, o refrigerador CRM50MK que se encontra na residência da Autora, em data previamente agendada com a consumidora;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h)</w:t>
      </w:r>
      <w:r>
        <w:rPr>
          <w:rFonts w:ascii="Arial" w:hAnsi="Arial" w:cs="Arial"/>
        </w:rPr>
        <w:t xml:space="preserve"> a condenação solidária das Rés ao ressarcimento dos </w:t>
      </w:r>
      <w:r>
        <w:rPr>
          <w:rStyle w:val="Forte"/>
          <w:rFonts w:ascii="Arial" w:hAnsi="Arial" w:cs="Arial"/>
        </w:rPr>
        <w:t xml:space="preserve">danos materiais</w:t>
      </w:r>
      <w:r>
        <w:rPr>
          <w:rFonts w:ascii="Arial" w:hAnsi="Arial" w:cs="Arial"/>
        </w:rPr>
        <w:t xml:space="preserve">, no valor de R$ </w:t>
      </w:r>
      <w:r>
        <w:rPr>
          <w:rFonts w:ascii="Arial" w:hAnsi="Arial" w:cs="Arial"/>
          <w:b/>
          <w:bCs/>
          <w:shd w:val="clear" w:color="auto" w:fill="FFF200"/>
        </w:rPr>
        <w:t xml:space="preserve">[valor comprovado]</w:t>
      </w:r>
      <w:r>
        <w:rPr>
          <w:rFonts w:ascii="Arial" w:hAnsi="Arial" w:cs="Arial"/>
        </w:rPr>
        <w:t xml:space="preserve">, com correção monetária desde cada desembolso e juros de mora desde a citação </w:t>
      </w:r>
      <w:r>
        <w:rPr>
          <w:rFonts w:ascii="Arial" w:hAnsi="Arial" w:cs="Arial"/>
          <w:b/>
          <w:bCs/>
          <w:shd w:val="clear" w:color="auto" w:fill="FFF200"/>
        </w:rPr>
        <w:t xml:space="preserve">[excluir se não houver comprovantes]</w:t>
      </w:r>
      <w:r>
        <w:rPr>
          <w:rFonts w:ascii="Arial" w:hAnsi="Arial" w:cs="Arial"/>
        </w:rPr>
        <w:t xml:space="preserve">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i)</w:t>
      </w:r>
      <w:r>
        <w:rPr>
          <w:rFonts w:ascii="Arial" w:hAnsi="Arial" w:cs="Arial"/>
        </w:rPr>
        <w:t xml:space="preserve"> a condenação solidária das Rés ao pagamento de </w:t>
      </w:r>
      <w:r>
        <w:rPr>
          <w:rStyle w:val="Forte"/>
          <w:rFonts w:ascii="Arial" w:hAnsi="Arial" w:cs="Arial"/>
        </w:rPr>
        <w:t xml:space="preserve">indenização por danos morais</w:t>
      </w:r>
      <w:r>
        <w:rPr>
          <w:rFonts w:ascii="Arial" w:hAnsi="Arial" w:cs="Arial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j)</w:t>
      </w:r>
      <w:r>
        <w:rPr>
          <w:rFonts w:ascii="Arial" w:hAnsi="Arial" w:cs="Arial"/>
        </w:rPr>
        <w:t xml:space="preserve"> a produção de todos os meios de prova em direito admitidos, especialmente prova documental suplementar, depoimento pessoal e prova testemunhal;</w:t>
      </w:r>
    </w:p>
    <w:p w:rsidR="00D93385" w:rsidRPr="00E814BB" w:rsidRDefault="00D93385" w:rsidP="00316F81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l)</w:t>
      </w:r>
      <w:r>
        <w:rPr>
          <w:rFonts w:ascii="Arial" w:hAnsi="Arial" w:cs="Arial"/>
        </w:rPr>
        <w:t xml:space="preserve"> a condenação das Rés nas demais cominações legais cabíveis.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Dá-se à causa o valor de </w:t>
      </w:r>
      <w:r>
        <w:rPr>
          <w:rStyle w:val="Forte"/>
          <w:rFonts w:ascii="Arial" w:hAnsi="Arial" w:cs="Arial"/>
        </w:rPr>
        <w:t xml:space="preserve">R$ 18.438,90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Arial" w:hAnsi="Arial" w:cs="Arial"/>
        </w:rPr>
        <w:t xml:space="preserve">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Rol de documentos: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01 – Procuração, documento de identificação e comprovante de residência;]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02 – Declaração de hipossuficiência e prova de renda;]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03 – E-mail de confirmação do pedido Magalu nº 1441970456788957;]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04 – NF-e nº 000.496.852 (BUD Comércio de Eletrodomésticos Ltda.);]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05 – Reclamação e notificações do PROCON/ALEPI (atendimento nº 25.11.0023.001.00431-3);]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06 – Resposta da Whirlpool ao PROCON (03/12/2025);]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07 – NF-e nº 000.263.479 (Whirlpool – troca em garantia) e NF nº 005064874-1;]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08 – Fotografias do aparelho recuperado (arquivos originais);]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09 – Termo de Compromisso e Responsabilidade (PROCON, 03/03/2026);]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10 – Sentença homologatória e intimação (processo nº 0812504-87.2026.8.18.0140);]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11 – NF de entrega do refrigerador CRM50MK;]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12 – Conversa com o atendimento Consul e registros da assistência técnica;]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13 – Fotografias e vídeos do defeito atual;]</w:t>
      </w:r>
    </w:p>
    <w:p w:rsidR="00D93385" w:rsidRPr="00E814BB" w:rsidRDefault="00D93385" w:rsidP="004A3A2E">
      <w:pPr>
        <w:pStyle w:val="NormalWeb"/>
        <w:spacing w:before="0" w:beforeAutospacing="0" w:after="0" w:afterAutospacing="0" w:line="276" w:lineRule="auto"/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200"/>
        </w:rPr>
        <w:t xml:space="preserve">[Doc. 14 – Comprovantes das despesas (se mantido o pedido de danos materiais).]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14:paraId="61E5626C" w14:textId="77777777" w:rsidR="00D93385" w:rsidRPr="00E814BB" w:rsidRDefault="00D93385" w:rsidP="003F0F3E">
      <w:pPr>
        <w:pStyle w:val="NormalWeb"/>
        <w:spacing w:before="0" w:beforeAutospacing="0" w:after="0" w:afterAutospacing="0" w:line="276" w:lineRule="auto"/>
        <w:ind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Nestes termos,</w:t>
      </w:r>
    </w:p>
    <w:p w14:paraId="37FDBA27" w14:textId="77777777" w:rsidR="00D93385" w:rsidRPr="00E814BB" w:rsidRDefault="00D93385" w:rsidP="003F0F3E">
      <w:pPr>
        <w:pStyle w:val="NormalWeb"/>
        <w:spacing w:before="0" w:beforeAutospacing="0" w:after="0" w:afterAutospacing="0" w:line="276" w:lineRule="auto"/>
        <w:ind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Pede deferimento.</w:t>
      </w:r>
    </w:p>
    <w:p w14:paraId="7ABD2D9C" w14:textId="1EF3F238" w:rsidR="00D93385" w:rsidRPr="00E814BB" w:rsidRDefault="00D93385" w:rsidP="00316F81">
      <w:pPr>
        <w:spacing w:before="0" w:after="0" w:line="276" w:lineRule="auto"/>
        <w:ind w:firstLine="567"/>
        <w:jc w:val="both"/>
        <w:rPr>
          <w:rFonts w:ascii="Arial" w:hAnsi="Arial" w:cs="Arial"/>
        </w:rPr>
      </w:pPr>
    </w:p>
    <w:p w:rsidR="00D93385" w:rsidRPr="00E814BB" w:rsidRDefault="00D93385" w:rsidP="003F0F3E">
      <w:pPr>
        <w:pStyle w:val="NormalWeb"/>
        <w:spacing w:before="0" w:beforeAutospacing="0" w:after="0" w:afterAutospacing="0" w:line="276" w:lineRule="auto"/>
        <w:ind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Miguel Alves-PI, datado eletronicamente.</w:t>
      </w:r>
    </w:p>
    <w:p w14:paraId="2CCFA6C9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 Medium" w:hAnsi="Arial" w:cs="Arial"/>
        </w:rPr>
      </w:pPr>
    </w:p>
    <w:p w14:paraId="2F0390AF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" w:hAnsi="Arial" w:cs="Arial"/>
        </w:rPr>
      </w:pPr>
    </w:p>
    <w:p w14:paraId="36D25CD2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" w:hAnsi="Arial" w:cs="Arial"/>
        </w:rPr>
      </w:pPr>
    </w:p>
    <w:p w14:paraId="3F3FB690" w14:textId="77777777" w:rsidR="00520367" w:rsidRPr="00E814BB" w:rsidRDefault="00520367" w:rsidP="00316F81">
      <w:pPr>
        <w:spacing w:before="0" w:after="0" w:line="276" w:lineRule="auto"/>
        <w:ind w:left="425" w:right="-37" w:firstLine="567"/>
        <w:jc w:val="both"/>
        <w:rPr>
          <w:rFonts w:ascii="Arial" w:eastAsia="Lora" w:hAnsi="Arial" w:cs="Arial"/>
          <w:b/>
          <w:bCs/>
        </w:rPr>
      </w:pPr>
    </w:p>
    <w:p w14:paraId="3808D65F" w14:textId="77777777" w:rsidR="00520367" w:rsidRPr="00E814BB" w:rsidRDefault="005E51F7" w:rsidP="003F0F3E">
      <w:pPr>
        <w:spacing w:before="0" w:after="0" w:line="276" w:lineRule="auto"/>
        <w:ind w:right="-37"/>
        <w:jc w:val="center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>ANTÔNIO DE PÁDUA SANTOS NETO</w:t>
      </w:r>
    </w:p>
    <w:p w14:paraId="4614D001" w14:textId="337CE88A" w:rsidR="00520367" w:rsidRPr="00E814BB" w:rsidRDefault="003F0F3E" w:rsidP="003F0F3E">
      <w:pPr>
        <w:spacing w:before="0" w:after="0" w:line="276" w:lineRule="auto"/>
        <w:ind w:left="425" w:right="-37" w:firstLine="567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 xml:space="preserve">                                          ADVOGADO</w:t>
      </w:r>
    </w:p>
    <w:p w14:paraId="277C99DF" w14:textId="5CE677E2" w:rsidR="00520367" w:rsidRPr="00E814BB" w:rsidRDefault="003F0F3E" w:rsidP="003F0F3E">
      <w:pPr>
        <w:spacing w:before="0" w:after="0" w:line="276" w:lineRule="auto"/>
        <w:ind w:left="425" w:right="-37" w:firstLine="567"/>
        <w:rPr>
          <w:rFonts w:ascii="Arial" w:eastAsia="Lora" w:hAnsi="Arial" w:cs="Arial"/>
          <w:b/>
          <w:bCs/>
        </w:rPr>
      </w:pPr>
      <w:r>
        <w:rPr>
          <w:rFonts w:ascii="Arial" w:eastAsia="Lora" w:hAnsi="Arial" w:cs="Arial"/>
          <w:b/>
          <w:bCs/>
        </w:rPr>
        <w:t xml:space="preserve">                                        OAB/PI 21.320</w:t>
      </w:r>
    </w:p>
    <w:sectPr w:rsidR="00520367" w:rsidRPr="00E814BB">
      <w:headerReference w:type="default" r:id="rId12"/>
      <w:footerReference w:type="default" r:id="rId13"/>
      <w:pgSz w:w="12240" w:h="15840"/>
      <w:pgMar w:top="1440" w:right="1474" w:bottom="1440" w:left="1700" w:header="360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532DEB" w14:textId="77777777" w:rsidR="0039161F" w:rsidRDefault="0039161F">
      <w:pPr>
        <w:spacing w:before="0" w:after="0"/>
      </w:pPr>
      <w:r>
        <w:separator/>
      </w:r>
    </w:p>
  </w:endnote>
  <w:endnote w:type="continuationSeparator" w:id="0">
    <w:p w14:paraId="3B4E05AC" w14:textId="77777777" w:rsidR="0039161F" w:rsidRDefault="0039161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1B5CE30-4975-4179-9564-9218275FF754}"/>
    <w:embedBold r:id="rId2" w:fontKey="{0F341771-5B78-4199-A381-1E4D15C25F59}"/>
    <w:embedItalic r:id="rId3" w:fontKey="{F0ED08CB-D5A1-4E13-ADA5-789A434B95E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523A29B1-7997-4D68-BAC2-852ABFE8E625}"/>
    <w:embedBold r:id="rId5" w:fontKey="{EAC3AB2C-B8F5-4A52-96B4-03D01725ACFC}"/>
    <w:embedItalic r:id="rId6" w:fontKey="{52945225-FAFF-4B00-9A12-0F50D1F1C94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C5B9E0BA-DC1F-4209-AAD1-B30C3C1FD351}"/>
    <w:embedBold r:id="rId8" w:fontKey="{77F01493-74C5-4BF3-A040-CA785B2C3C63}"/>
    <w:embedItalic r:id="rId9" w:fontKey="{4A80AC02-9BC2-4A84-BAB3-3D8B5AB1033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C5BC0B75-9746-4AA8-A85D-30849B45693D}"/>
  </w:font>
  <w:font w:name="Lora">
    <w:charset w:val="00"/>
    <w:family w:val="auto"/>
    <w:pitch w:val="default"/>
    <w:embedRegular r:id="rId11" w:fontKey="{3782C606-5492-4553-AF94-6A3616598996}"/>
    <w:embedBold r:id="rId12" w:fontKey="{5C15AD6D-FA44-4A7A-A628-908B3E4FEF25}"/>
    <w:embedBoldItalic r:id="rId13" w:fontKey="{291A1F7C-39C1-4D24-A990-021371BCB186}"/>
  </w:font>
  <w:font w:name="Lora Medium">
    <w:charset w:val="00"/>
    <w:family w:val="auto"/>
    <w:pitch w:val="default"/>
    <w:embedRegular r:id="rId14" w:fontKey="{E318D2BC-68D2-4A41-9DA0-89A255AA3921}"/>
    <w:embedItalic r:id="rId15" w:fontKey="{8D2113DC-D723-46BD-ACB0-12DB6C49F4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995C31" w14:textId="77777777" w:rsidR="00520367" w:rsidRDefault="0039161F">
    <w:pPr>
      <w:spacing w:before="0" w:after="0" w:line="276" w:lineRule="auto"/>
      <w:rPr>
        <w:rFonts w:ascii="Lora" w:eastAsia="Lora" w:hAnsi="Lora" w:cs="Lora"/>
        <w:b/>
        <w:bCs/>
        <w:i/>
        <w:iCs/>
        <w:color w:val="123BB8"/>
        <w:sz w:val="18"/>
        <w:szCs w:val="18"/>
      </w:rPr>
    </w:pPr>
    <w:r>
      <w:pict w14:anchorId="60021F5C">
        <v:rect id="_x0000_i1026" style="width:0;height:1.5pt" o:hralign="center" o:hrstd="t" o:hr="t" fillcolor="#a0a0a0" stroked="f"/>
      </w:pict>
    </w:r>
    <w:r w:rsidR="005E51F7">
      <w:rPr>
        <w:rFonts w:ascii="Lora" w:eastAsia="Lora" w:hAnsi="Lora" w:cs="Lora"/>
        <w:b/>
        <w:bCs/>
        <w:i/>
        <w:iCs/>
        <w:color w:val="123BB8"/>
        <w:sz w:val="18"/>
        <w:szCs w:val="18"/>
      </w:rPr>
      <w:t xml:space="preserve">  </w:t>
    </w:r>
  </w:p>
  <w:p w14:paraId="787296E5" w14:textId="77777777" w:rsidR="00520367" w:rsidRDefault="005E51F7">
    <w:pPr>
      <w:spacing w:before="0" w:after="0" w:line="276" w:lineRule="auto"/>
      <w:jc w:val="center"/>
    </w:pPr>
    <w:r>
      <w:rPr>
        <w:rFonts w:ascii="Lora" w:eastAsia="Lora" w:hAnsi="Lora" w:cs="Lora"/>
        <w:b/>
        <w:bCs/>
        <w:i/>
        <w:iCs/>
        <w:color w:val="123BB8"/>
        <w:sz w:val="18"/>
        <w:szCs w:val="18"/>
      </w:rPr>
      <w:t xml:space="preserve">Rua Rio Grande do Sul, 1641, </w:t>
    </w:r>
    <w:proofErr w:type="spellStart"/>
    <w:r>
      <w:rPr>
        <w:rFonts w:ascii="Lora" w:eastAsia="Lora" w:hAnsi="Lora" w:cs="Lora"/>
        <w:b/>
        <w:bCs/>
        <w:i/>
        <w:iCs/>
        <w:color w:val="123BB8"/>
        <w:sz w:val="18"/>
        <w:szCs w:val="18"/>
      </w:rPr>
      <w:t>bairro</w:t>
    </w:r>
    <w:proofErr w:type="spellEnd"/>
    <w:r>
      <w:rPr>
        <w:rFonts w:ascii="Lora" w:eastAsia="Lora" w:hAnsi="Lora" w:cs="Lora"/>
        <w:b/>
        <w:bCs/>
        <w:i/>
        <w:iCs/>
        <w:color w:val="123BB8"/>
        <w:sz w:val="18"/>
        <w:szCs w:val="18"/>
      </w:rPr>
      <w:t xml:space="preserve">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1BC75A" w14:textId="77777777" w:rsidR="0039161F" w:rsidRDefault="0039161F">
      <w:pPr>
        <w:spacing w:before="0" w:after="0"/>
      </w:pPr>
      <w:r>
        <w:separator/>
      </w:r>
    </w:p>
  </w:footnote>
  <w:footnote w:type="continuationSeparator" w:id="0">
    <w:p w14:paraId="519913A5" w14:textId="77777777" w:rsidR="0039161F" w:rsidRDefault="0039161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094B96" w14:textId="77777777" w:rsidR="00520367" w:rsidRDefault="005E51F7">
    <w:pPr>
      <w:spacing w:before="0" w:after="0" w:line="276" w:lineRule="auto"/>
      <w:jc w:val="center"/>
      <w:rPr>
        <w:rFonts w:ascii="Arial" w:eastAsia="Arial" w:hAnsi="Arial" w:cs="Arial"/>
        <w:sz w:val="22"/>
        <w:szCs w:val="22"/>
      </w:rPr>
    </w:pPr>
    <w:r>
      <w:rPr>
        <w:rFonts w:ascii="Arial" w:eastAsia="Arial" w:hAnsi="Arial" w:cs="Arial"/>
        <w:noProof/>
        <w:sz w:val="22"/>
        <w:szCs w:val="22"/>
      </w:rPr>
      <w:drawing>
        <wp:inline distT="114300" distB="114300" distL="114300" distR="114300" wp14:anchorId="30EA3D8E" wp14:editId="25484661">
          <wp:extent cx="2338439" cy="1081088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26400" r="1599" b="28130"/>
                  <a:stretch>
                    <a:fillRect/>
                  </a:stretch>
                </pic:blipFill>
                <pic:spPr>
                  <a:xfrm>
                    <a:off x="0" y="0"/>
                    <a:ext cx="2338439" cy="10810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56A5944E" w14:textId="77777777" w:rsidR="00520367" w:rsidRDefault="0039161F">
    <w:pPr>
      <w:spacing w:before="0" w:after="0"/>
      <w:jc w:val="center"/>
    </w:pPr>
    <w:r>
      <w:pict w14:anchorId="60C0D040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42129D"/>
    <w:multiLevelType w:val="multilevel"/>
    <w:tmpl w:val="AA680470"/>
    <w:lvl w:ilvl="0">
      <w:start w:val="1"/>
      <w:numFmt w:val="upperRoman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A3E7F31"/>
    <w:multiLevelType w:val="multilevel"/>
    <w:tmpl w:val="C48E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33C71"/>
    <w:multiLevelType w:val="hybridMultilevel"/>
    <w:tmpl w:val="63FC1D6C"/>
    <w:lvl w:ilvl="0" w:tplc="71FAFE5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827F90"/>
    <w:multiLevelType w:val="multilevel"/>
    <w:tmpl w:val="E7FEAC1C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ascii="Arial" w:eastAsia="Cambria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C2169C"/>
    <w:multiLevelType w:val="multilevel"/>
    <w:tmpl w:val="2C0E88E2"/>
    <w:lvl w:ilvl="0">
      <w:start w:val="1"/>
      <w:numFmt w:val="upperLetter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1252DF9"/>
    <w:multiLevelType w:val="multilevel"/>
    <w:tmpl w:val="B8923AC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3C312F"/>
    <w:multiLevelType w:val="multilevel"/>
    <w:tmpl w:val="3FF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367"/>
    <w:rsid w:val="00193709"/>
    <w:rsid w:val="001F10A9"/>
    <w:rsid w:val="003000FE"/>
    <w:rsid w:val="00316F81"/>
    <w:rsid w:val="00330D21"/>
    <w:rsid w:val="0039161F"/>
    <w:rsid w:val="003D3E5A"/>
    <w:rsid w:val="003F0F3E"/>
    <w:rsid w:val="00430BC0"/>
    <w:rsid w:val="004A3A2E"/>
    <w:rsid w:val="00520367"/>
    <w:rsid w:val="0054211E"/>
    <w:rsid w:val="005E51F7"/>
    <w:rsid w:val="007C5701"/>
    <w:rsid w:val="008168B6"/>
    <w:rsid w:val="00876140"/>
    <w:rsid w:val="008F560C"/>
    <w:rsid w:val="009737A9"/>
    <w:rsid w:val="009808FB"/>
    <w:rsid w:val="00997DF2"/>
    <w:rsid w:val="00A264EA"/>
    <w:rsid w:val="00AC4279"/>
    <w:rsid w:val="00D93385"/>
    <w:rsid w:val="00E81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7D7EC2"/>
  <w15:docId w15:val="{2E3ABA41-4042-488F-A72E-59F90D987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mbria" w:eastAsia="Cambria" w:hAnsi="Cambria" w:cs="Cambria"/>
        <w:sz w:val="24"/>
        <w:szCs w:val="24"/>
        <w:lang w:val="en" w:eastAsia="pt-BR" w:bidi="ar-SA"/>
      </w:rPr>
    </w:rPrDefault>
    <w:pPrDefault>
      <w:pPr>
        <w:spacing w:before="180" w:after="1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35B8A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i/>
      <w:iCs/>
      <w:color w:val="4F81BD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240"/>
      <w:jc w:val="center"/>
    </w:pPr>
    <w:rPr>
      <w:rFonts w:ascii="Calibri" w:eastAsia="Calibri" w:hAnsi="Calibri" w:cs="Calibri"/>
      <w:b/>
      <w:bCs/>
      <w:color w:val="335B8A"/>
      <w:sz w:val="36"/>
      <w:szCs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mpact">
    <w:name w:val="Compact"/>
    <w:basedOn w:val="Normal"/>
    <w:qFormat/>
    <w:pPr>
      <w:spacing w:before="36" w:after="36"/>
    </w:p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a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orpodetexto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Fontepargpadro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customStyle="1" w:styleId="a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e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elanormal"/>
    <w:tblPr>
      <w:tblStyleRowBandSize w:val="1"/>
      <w:tblStyleColBandSize w:val="1"/>
    </w:tblPr>
  </w:style>
  <w:style w:type="table" w:customStyle="1" w:styleId="a7">
    <w:basedOn w:val="Tabelanormal"/>
    <w:tblPr>
      <w:tblStyleRowBandSize w:val="1"/>
      <w:tblStyleColBandSize w:val="1"/>
    </w:tblPr>
  </w:style>
  <w:style w:type="table" w:customStyle="1" w:styleId="a8">
    <w:basedOn w:val="Tabela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D9338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/>
    </w:rPr>
  </w:style>
  <w:style w:type="character" w:styleId="Forte">
    <w:name w:val="Strong"/>
    <w:basedOn w:val="Fontepargpadro"/>
    <w:uiPriority w:val="22"/>
    <w:qFormat/>
    <w:rsid w:val="00D93385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D93385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E814BB"/>
    <w:pPr>
      <w:ind w:left="720"/>
      <w:contextualSpacing/>
    </w:pPr>
  </w:style>
  <w:style w:type="table" w:styleId="Tabelacomgrade">
    <w:name w:val="Table Grid"/>
    <w:basedOn w:val="Tabelanormal"/>
    <w:uiPriority w:val="39"/>
    <w:rsid w:val="009808FB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06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32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dkPEMWk/by1g+95nOEaxd+klVA==">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2956</Words>
  <Characters>15964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M.Christyna Santos</dc:creator>
  <cp:lastModifiedBy>M.Christyna Santos</cp:lastModifiedBy>
  <cp:revision>2</cp:revision>
  <dcterms:created xsi:type="dcterms:W3CDTF">2026-10-10T23:31:00Z</dcterms:created>
  <dcterms:modified xsi:type="dcterms:W3CDTF">2026-10-10T23:31:00Z</dcterms:modified>
</cp:coreProperties>
</file>