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maio de 2026, </w:t>
      </w:r>
      <w:r>
        <w:rPr>
          <w:b/>
          <w:bCs/>
        </w:rPr>
        <w:t xml:space="preserve">R$ 4.656,83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Seus contracheques de maio de 2026 registram, em Miguel Alves,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(R$ 2.062,13), resulta remuneração líquida de </w:t>
      </w:r>
      <w:r>
        <w:rPr>
          <w:b/>
          <w:bCs/>
        </w:rPr>
        <w:t xml:space="preserve">R$ 10.556,78</w:t>
      </w:r>
      <w:r>
        <w:rPr/>
        <w:t xml:space="preserve">; e, em União,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R$ 13.905,75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R$ 4.867,01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elevada, a partir de julho de 2026, para 30% do bruto (R$ 2.011,20).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judicial, com a construção de nova moradia e com o sustento de sua nova família.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parcelas; R$ 241,37, em 120 parcelas, iniciado em março de 2026; e R$ 140,35), o que corresponde a </w:t>
      </w:r>
      <w:r>
        <w:rPr>
          <w:b/>
          <w:bCs/>
        </w:rPr>
        <w:t xml:space="preserve">47,76%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52,55%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R$ 2.440,69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Bradesco (agência 5792, conta 231325-1), os contratos de crédito pessoal nº 503906781 e nº 504307147, ambos em 120 parcelas, constam como </w:t>
      </w:r>
      <w:r>
        <w:rPr>
          <w:b/>
          <w:bCs/>
        </w:rPr>
        <w:t xml:space="preserve">“OPERAÇÕES VENCIDAS” no valor de R$ 73.453,99</w:t>
      </w:r>
      <w:r>
        <w:rPr/>
        <w:t xml:space="preserve"> (extrato de 18/06/2026).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89,20%</w:t>
      </w:r>
      <w:r>
        <w:rPr/>
        <w:t xml:space="preserve"> da remuneração líquida do Autor. Deduzida a pensão alimentícia, ultrapassam a totalidade do que lhe resta, sem contar o saldo vencido no Bradesco.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deslocamento entre Miguel Alves e União, saúde), não são custeadas com regularidade.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52,55%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 com novos “empréstimos” automáticos.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R$ 4.867,01</w:t>
      </w:r>
      <w:r>
        <w:rPr/>
        <w:t xml:space="preserve">, correspondente a 35% de sua remuneração líquida (R$ 3.694,87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R$ 292.020,60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(R$ 3.694,87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