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i w:val="0"/>
        </w:rPr>
        <w:t xml:space="preserve">EXCELENTÍSSIMO(A) SENHOR(A) DOUTOR(A) JUIZ(A) DE DIREITO DA </w:t>
      </w:r>
      <w:r>
        <w:rPr>
          <w:b/>
          <w:bCs/>
          <w:i w:val="0"/>
          <w:highlight w:val="yellow"/>
        </w:rPr>
        <w:t>[__ª]</w:t>
      </w:r>
      <w:r>
        <w:rPr>
          <w:b/>
          <w:bCs/>
          <w:i w:val="0"/>
        </w:rPr>
        <w:t xml:space="preserve"> VARA CÍVEL DA COMARCA DE PATROCÍNIO-MG.</w:t>
      </w:r>
    </w:p>
    <w:p>
      <w:pPr>
        <w:spacing w:after="0"/>
      </w:pPr>
    </w:p>
    <w:p>
      <w:pPr>
        <w:spacing w:line="360"/>
      </w:pPr>
      <w:r>
        <w:rPr>
          <w:b/>
          <w:bCs/>
          <w:i w:val="0"/>
        </w:rPr>
        <w:t xml:space="preserve">Processo nº </w:t>
      </w:r>
      <w:r>
        <w:rPr>
          <w:b/>
          <w:bCs/>
          <w:i w:val="0"/>
          <w:highlight w:val="yellow"/>
        </w:rPr>
        <w:t>[5004707-66.2021.8.13.0481 – conferir]</w:t>
      </w:r>
    </w:p>
    <w:p>
      <w:pPr>
        <w:spacing w:after="0"/>
      </w:pPr>
    </w:p>
    <w:p>
      <w:pPr>
        <w:spacing w:after="60" w:line="360"/>
        <w:ind w:firstLine="0"/>
        <w:jc w:val="both"/>
      </w:pPr>
      <w:r>
        <w:rPr>
          <w:b/>
          <w:bCs/>
          <w:i w:val="0"/>
        </w:rPr>
        <w:t>[NOME DA AUTORA]</w:t>
      </w:r>
      <w:r>
        <w:rPr>
          <w:b w:val="0"/>
          <w:bCs/>
          <w:i w:val="0"/>
        </w:rPr>
        <w:t xml:space="preserve">, já qualificada nos autos da </w:t>
      </w:r>
      <w:r>
        <w:rPr>
          <w:b/>
          <w:bCs/>
          <w:i w:val="0"/>
        </w:rPr>
        <w:t>AÇÃO REVISIONAL DE CONTRATO C/C DECLARAÇÃO DE INEXISTÊNCIA DE DÉBITO COM PEDIDO DE ANTECIPAÇÃO DE TUTELA DE URGÊNCIA</w:t>
      </w:r>
      <w:r>
        <w:rPr>
          <w:b w:val="0"/>
          <w:bCs/>
          <w:i w:val="0"/>
        </w:rPr>
        <w:t xml:space="preserve"> em epígrafe, movida em face de </w:t>
      </w:r>
      <w:r>
        <w:rPr>
          <w:b/>
          <w:bCs/>
          <w:i w:val="0"/>
        </w:rPr>
        <w:t>BANCO DO BRASIL S/A</w:t>
      </w:r>
      <w:r>
        <w:rPr>
          <w:b w:val="0"/>
          <w:bCs/>
          <w:i w:val="0"/>
        </w:rPr>
        <w:t xml:space="preserve">, por meio de seu advogado, ANTÔNIO DE PÁDUA SANTOS NETO, inscrito na OAB-PI sob o nº 21.320 </w:t>
      </w:r>
      <w:r>
        <w:rPr>
          <w:b/>
          <w:bCs/>
          <w:i w:val="0"/>
          <w:highlight w:val="yellow"/>
        </w:rPr>
        <w:t>[e na OAB-MG sob o nº ___, se houver inscrição suplementar]</w:t>
      </w:r>
      <w:r>
        <w:rPr>
          <w:b w:val="0"/>
          <w:bCs/>
          <w:i w:val="0"/>
        </w:rPr>
        <w:t xml:space="preserve">, constituído mediante procuração constante dos autos, com endereço físico na Rua Rio Grande do Sul, nº 1641, Bairro São Miguel, Miguel Alves-PI, CEP nº 64.130-000, e eletrônico paduanetojus@gmail.com, não se conformando, </w:t>
      </w:r>
      <w:r>
        <w:rPr>
          <w:b w:val="0"/>
          <w:bCs/>
          <w:i/>
        </w:rPr>
        <w:t>data venia</w:t>
      </w:r>
      <w:r>
        <w:rPr>
          <w:b w:val="0"/>
          <w:bCs/>
          <w:i w:val="0"/>
        </w:rPr>
        <w:t>, com a r. sentença de doc. 128, vem, respeitosamente, à presença de Vossa Excelência, com fundamento nos arts. 1.009 e seguintes do Código de Processo Civil, interpor o presente recurso de</w:t>
      </w:r>
    </w:p>
    <w:p>
      <w:pPr>
        <w:spacing w:after="0"/>
      </w:pPr>
    </w:p>
    <w:p>
      <w:pPr>
        <w:spacing w:after="0" w:line="360"/>
        <w:jc w:val="center"/>
      </w:pPr>
      <w:r>
        <w:rPr>
          <w:b/>
          <w:i w:val="0"/>
        </w:rPr>
        <w:t>A P E L A Ç Ã O</w:t>
      </w:r>
    </w:p>
    <w:p>
      <w:pPr>
        <w:spacing w:after="0"/>
      </w:pPr>
    </w:p>
    <w:p>
      <w:pPr>
        <w:spacing w:after="60" w:line="360"/>
        <w:ind w:firstLine="850"/>
        <w:jc w:val="both"/>
      </w:pPr>
      <w:r>
        <w:rPr>
          <w:b w:val="0"/>
          <w:i w:val="0"/>
        </w:rPr>
        <w:t>pelas razões de fato e de direito anexas, requerendo seja o recurso recebido em seus regulares efeitos (art. 1.012 do CPC), intimado o Apelado para, querendo, apresentar contrarrazões no prazo legal (art. 1.010, § 1º, do CPC) e, ao final, remetidos os autos ao Egrégio Tribunal de Justiça do Estado de Minas Gerais, independentemente de juízo de admissibilidade nesta instância (art. 1.010, § 3º, do CPC).</w:t>
      </w:r>
    </w:p>
    <w:p>
      <w:pPr>
        <w:spacing w:after="60" w:line="360"/>
        <w:ind w:firstLine="850"/>
        <w:jc w:val="both"/>
      </w:pPr>
      <w:r>
        <w:rPr>
          <w:b w:val="0"/>
          <w:i w:val="0"/>
        </w:rPr>
        <w:t xml:space="preserve">O recurso é </w:t>
      </w:r>
      <w:r>
        <w:rPr>
          <w:b/>
          <w:i w:val="0"/>
        </w:rPr>
        <w:t>tempestivo</w:t>
      </w:r>
      <w:r>
        <w:rPr>
          <w:b w:val="0"/>
          <w:i w:val="0"/>
        </w:rPr>
        <w:t xml:space="preserve">: a intimação da sentença ocorreu em </w:t>
      </w:r>
      <w:r>
        <w:rPr>
          <w:b/>
          <w:i w:val="0"/>
          <w:highlight w:val="yellow"/>
        </w:rPr>
        <w:t>[data da intimação/ciência]</w:t>
      </w:r>
      <w:r>
        <w:rPr>
          <w:b w:val="0"/>
          <w:i w:val="0"/>
        </w:rPr>
        <w:t xml:space="preserve">, de modo que o prazo de 15 (quinze) dias úteis (arts. 219 e 1.003, § 5º, do CPC) se encerra em </w:t>
      </w:r>
      <w:r>
        <w:rPr>
          <w:b/>
          <w:i w:val="0"/>
          <w:highlight w:val="yellow"/>
        </w:rPr>
        <w:t>[data final]</w:t>
      </w:r>
      <w:r>
        <w:rPr>
          <w:b w:val="0"/>
          <w:i w:val="0"/>
        </w:rPr>
        <w:t>.</w:t>
      </w:r>
    </w:p>
    <w:p>
      <w:pPr>
        <w:spacing w:after="60" w:line="360"/>
        <w:ind w:firstLine="850"/>
        <w:jc w:val="both"/>
      </w:pPr>
      <w:r>
        <w:rPr>
          <w:b w:val="0"/>
          <w:i w:val="0"/>
        </w:rPr>
        <w:t xml:space="preserve">Deixa-se de recolher o </w:t>
      </w:r>
      <w:r>
        <w:rPr>
          <w:b/>
          <w:i w:val="0"/>
        </w:rPr>
        <w:t>preparo</w:t>
      </w:r>
      <w:r>
        <w:rPr>
          <w:b w:val="0"/>
          <w:i w:val="0"/>
        </w:rPr>
        <w:t xml:space="preserve"> porque a Apelante litiga sob o pálio da justiça gratuita, deferida nos autos </w:t>
      </w:r>
      <w:r>
        <w:rPr>
          <w:b/>
          <w:i w:val="0"/>
          <w:highlight w:val="yellow"/>
        </w:rPr>
        <w:t>[ID da decisão]</w:t>
      </w:r>
      <w:r>
        <w:rPr>
          <w:b w:val="0"/>
          <w:i w:val="0"/>
        </w:rPr>
        <w:t xml:space="preserve"> e expressamente reconhecida na sentença, benefício que se estende a todos os atos do processo, inclusive aos recursos (art. 98, § 1º, e art. 99 do CPC).</w:t>
      </w:r>
    </w:p>
    <w:p>
      <w:pPr>
        <w:spacing w:after="0"/>
      </w:pPr>
    </w:p>
    <w:p>
      <w:pPr>
        <w:spacing w:after="0" w:line="360"/>
        <w:jc w:val="center"/>
      </w:pPr>
      <w:r>
        <w:rPr>
          <w:b w:val="0"/>
          <w:i w:val="0"/>
        </w:rPr>
        <w:t>Nestes termos,</w:t>
      </w:r>
    </w:p>
    <w:p>
      <w:pPr>
        <w:spacing w:after="0" w:line="360"/>
        <w:jc w:val="center"/>
      </w:pPr>
      <w:r>
        <w:rPr>
          <w:b w:val="0"/>
          <w:i w:val="0"/>
        </w:rPr>
        <w:t>Pede deferimento.</w:t>
      </w:r>
    </w:p>
    <w:p>
      <w:pPr>
        <w:spacing w:after="0"/>
      </w:pPr>
    </w:p>
    <w:p>
      <w:pPr>
        <w:spacing w:after="0" w:line="360"/>
        <w:jc w:val="center"/>
      </w:pPr>
      <w:r>
        <w:rPr>
          <w:b/>
          <w:i w:val="0"/>
          <w:highlight w:val="yellow"/>
        </w:rPr>
        <w:t>[Cidade]</w:t>
      </w:r>
      <w:r>
        <w:rPr>
          <w:b w:val="0"/>
          <w:i w:val="0"/>
        </w:rPr>
        <w:t>-</w:t>
      </w:r>
      <w:r>
        <w:rPr>
          <w:b/>
          <w:i w:val="0"/>
          <w:highlight w:val="yellow"/>
        </w:rPr>
        <w:t>[UF]</w:t>
      </w:r>
      <w:r>
        <w:rPr>
          <w:b w:val="0"/>
          <w:i w:val="0"/>
        </w:rPr>
        <w:t>, datado eletronicamente.</w:t>
      </w:r>
    </w:p>
    <w:p>
      <w:pPr>
        <w:spacing w:after="0"/>
      </w:pPr>
    </w:p>
    <w:p>
      <w:pPr>
        <w:spacing w:after="0" w:line="360"/>
        <w:jc w:val="center"/>
      </w:pPr>
      <w:r>
        <w:rPr>
          <w:b/>
          <w:bCs/>
          <w:i w:val="0"/>
        </w:rPr>
        <w:t>ANTÔNIO DE PÁDUA SANTOS NETO</w:t>
      </w:r>
    </w:p>
    <w:p>
      <w:pPr>
        <w:spacing w:after="0" w:line="360"/>
        <w:jc w:val="center"/>
      </w:pPr>
      <w:r>
        <w:rPr>
          <w:b/>
          <w:bCs/>
          <w:i w:val="0"/>
        </w:rPr>
        <w:t>ADVOGADO - OAB/PI 21.320</w:t>
      </w:r>
    </w:p>
    <w:p>
      <w:pPr>
        <w:spacing w:after="0"/>
      </w:pPr>
      <w:r>
        <w:br w:type="page"/>
      </w:r>
    </w:p>
    <w:p>
      <w:pPr>
        <w:spacing w:line="360"/>
        <w:jc w:val="both"/>
      </w:pPr>
      <w:r>
        <w:rPr>
          <w:b/>
          <w:bCs/>
          <w:i w:val="0"/>
        </w:rPr>
        <w:t>RAZÕES DE APELAÇÃO</w:t>
      </w:r>
    </w:p>
    <w:p>
      <w:pPr>
        <w:spacing w:after="0"/>
      </w:pPr>
    </w:p>
    <w:p>
      <w:pPr>
        <w:spacing w:after="60" w:line="360"/>
        <w:ind w:firstLine="0"/>
        <w:jc w:val="both"/>
      </w:pPr>
      <w:r>
        <w:rPr>
          <w:b/>
          <w:bCs/>
          <w:i w:val="0"/>
        </w:rPr>
        <w:t>Apelante:</w:t>
      </w:r>
      <w:r>
        <w:rPr>
          <w:b w:val="0"/>
          <w:bCs/>
          <w:i w:val="0"/>
        </w:rPr>
        <w:t xml:space="preserve"> </w:t>
      </w:r>
      <w:r>
        <w:rPr>
          <w:b/>
          <w:bCs/>
          <w:i w:val="0"/>
          <w:highlight w:val="yellow"/>
        </w:rPr>
        <w:t>[NOME DA AUTORA]</w:t>
      </w:r>
    </w:p>
    <w:p>
      <w:pPr>
        <w:spacing w:after="60" w:line="360"/>
        <w:ind w:firstLine="0"/>
        <w:jc w:val="both"/>
      </w:pPr>
      <w:r>
        <w:rPr>
          <w:b/>
          <w:bCs/>
          <w:i w:val="0"/>
        </w:rPr>
        <w:t>Apelado:</w:t>
      </w:r>
      <w:r>
        <w:rPr>
          <w:b w:val="0"/>
          <w:bCs/>
          <w:i w:val="0"/>
        </w:rPr>
        <w:t xml:space="preserve"> BANCO DO BRASIL S/A</w:t>
      </w:r>
    </w:p>
    <w:p>
      <w:pPr>
        <w:spacing w:after="60" w:line="360"/>
        <w:ind w:firstLine="0"/>
        <w:jc w:val="both"/>
      </w:pPr>
      <w:r>
        <w:rPr>
          <w:b/>
          <w:bCs/>
          <w:i w:val="0"/>
        </w:rPr>
        <w:t>Origem:</w:t>
      </w:r>
      <w:r>
        <w:rPr>
          <w:b w:val="0"/>
          <w:bCs/>
          <w:i w:val="0"/>
        </w:rPr>
        <w:t xml:space="preserve"> </w:t>
      </w:r>
      <w:r>
        <w:rPr>
          <w:b/>
          <w:bCs/>
          <w:i w:val="0"/>
          <w:highlight w:val="yellow"/>
        </w:rPr>
        <w:t>[__ª]</w:t>
      </w:r>
      <w:r>
        <w:rPr>
          <w:b w:val="0"/>
          <w:bCs/>
          <w:i w:val="0"/>
        </w:rPr>
        <w:t xml:space="preserve"> Vara Cível da Comarca de Patrocínio-MG – Processo nº </w:t>
      </w:r>
      <w:r>
        <w:rPr>
          <w:b/>
          <w:bCs/>
          <w:i w:val="0"/>
          <w:highlight w:val="yellow"/>
        </w:rPr>
        <w:t>[5004707-66.2021.8.13.0481 – conferir]</w:t>
      </w:r>
    </w:p>
    <w:p>
      <w:pPr>
        <w:spacing w:after="0"/>
      </w:pPr>
    </w:p>
    <w:p>
      <w:pPr>
        <w:spacing w:line="360"/>
        <w:jc w:val="both"/>
      </w:pPr>
      <w:r>
        <w:rPr>
          <w:b/>
          <w:bCs/>
          <w:i w:val="0"/>
        </w:rPr>
        <w:t>EGRÉGIO TRIBUNAL DE JUSTIÇA DO ESTADO DE MINAS GERAIS,</w:t>
      </w:r>
    </w:p>
    <w:p>
      <w:pPr>
        <w:spacing w:line="360"/>
        <w:jc w:val="both"/>
      </w:pPr>
      <w:r>
        <w:rPr>
          <w:b/>
          <w:bCs/>
          <w:i w:val="0"/>
        </w:rPr>
        <w:t>COLENDA CÂMARA CÍVEL,</w:t>
      </w:r>
    </w:p>
    <w:p>
      <w:pPr>
        <w:spacing w:line="360"/>
        <w:jc w:val="both"/>
      </w:pPr>
      <w:r>
        <w:rPr>
          <w:b/>
          <w:bCs/>
          <w:i w:val="0"/>
        </w:rPr>
        <w:t>EMINENTES DESEMBARGADORES.</w:t>
      </w:r>
    </w:p>
    <w:p>
      <w:pPr>
        <w:spacing w:after="0"/>
      </w:pPr>
    </w:p>
    <w:p>
      <w:pPr>
        <w:shd w:fill="123BB8" w:color="auto" w:val="clear"/>
        <w:tabs>
          <w:tab w:val="left" w:pos="1000"/>
        </w:tabs>
        <w:spacing w:after="240" w:before="360" w:line="360"/>
        <w:ind w:left="0"/>
      </w:pPr>
      <w:r>
        <w:rPr>
          <w:b/>
          <w:bCs/>
          <w:i/>
          <w:iCs/>
          <w:color w:val="FFFFFF"/>
        </w:rPr>
        <w:tab/>
        <w:t>Da admissibilidade.</w:t>
      </w:r>
    </w:p>
    <w:p>
      <w:pPr>
        <w:spacing w:after="60" w:line="360"/>
        <w:ind w:firstLine="850"/>
        <w:jc w:val="both"/>
      </w:pPr>
      <w:r>
        <w:rPr>
          <w:b w:val="0"/>
          <w:i w:val="0"/>
        </w:rPr>
        <w:t>O recurso é próprio (art. 1.009 do CPC), tempestivo (art. 1.003, § 5º, do CPC) e dispensado de preparo, em razão da gratuidade de justiça deferida à Apelante. A Apelante tem interesse recursal, pois a sentença rejeitou parte de seus pedidos e acolheu apenas em parte o pedido de restituição, limitando-o temporalmente e afastando a devolução em dobro. Presentes os pressupostos de admissibilidade, requer-se o conhecimento do recurso.</w:t>
      </w:r>
    </w:p>
    <w:p>
      <w:pPr>
        <w:shd w:fill="123BB8" w:color="auto" w:val="clear"/>
        <w:tabs>
          <w:tab w:val="left" w:pos="1000"/>
        </w:tabs>
        <w:spacing w:after="240" w:before="360" w:line="360"/>
        <w:ind w:left="0"/>
      </w:pPr>
      <w:r>
        <w:rPr>
          <w:b/>
          <w:bCs/>
          <w:i/>
          <w:iCs/>
          <w:color w:val="FFFFFF"/>
        </w:rPr>
        <w:tab/>
        <w:t>Síntese da demanda e da sentença.</w:t>
      </w:r>
    </w:p>
    <w:p>
      <w:pPr>
        <w:spacing w:after="60" w:line="360"/>
        <w:ind w:firstLine="850"/>
        <w:jc w:val="both"/>
      </w:pPr>
      <w:r>
        <w:rPr>
          <w:b w:val="0"/>
          <w:i w:val="0"/>
        </w:rPr>
        <w:t xml:space="preserve">A Apelante, </w:t>
      </w:r>
      <w:r>
        <w:rPr>
          <w:b/>
          <w:i w:val="0"/>
          <w:highlight w:val="yellow"/>
        </w:rPr>
        <w:t>[servidora pública estadual / qualificação funcional]</w:t>
      </w:r>
      <w:r>
        <w:rPr>
          <w:b w:val="0"/>
          <w:i w:val="0"/>
        </w:rPr>
        <w:t xml:space="preserve">, ajuizou ação revisional em face do Banco do Brasil S/A, narrando a celebração de sucessivos contratos de empréstimo </w:t>
      </w:r>
      <w:r>
        <w:rPr>
          <w:b/>
          <w:i w:val="0"/>
          <w:highlight w:val="yellow"/>
        </w:rPr>
        <w:t>[consignado em folha de pagamento e com débito em conta corrente – nº dos contratos]</w:t>
      </w:r>
      <w:r>
        <w:rPr>
          <w:b w:val="0"/>
          <w:i w:val="0"/>
        </w:rPr>
        <w:t>, com incidência de juros remuneratórios superiores à taxa média de mercado, capitalização indevida de juros, cumulação irregular de encargos moratórios e, sobretudo, descontos mensais que ultrapassavam a margem consignável legalmente permitida, comprometendo o seu mínimo existencial.</w:t>
      </w:r>
    </w:p>
    <w:p>
      <w:pPr>
        <w:spacing w:after="60" w:line="360"/>
        <w:ind w:firstLine="850"/>
        <w:jc w:val="both"/>
      </w:pPr>
      <w:r>
        <w:rPr>
          <w:b w:val="0"/>
          <w:i w:val="0"/>
        </w:rPr>
        <w:t xml:space="preserve">Realizada perícia contábil (doc. 106 / ID 10434572029), o </w:t>
      </w:r>
      <w:r>
        <w:rPr>
          <w:b w:val="0"/>
          <w:i/>
        </w:rPr>
        <w:t>expert</w:t>
      </w:r>
      <w:r>
        <w:rPr>
          <w:b w:val="0"/>
          <w:i w:val="0"/>
        </w:rPr>
        <w:t xml:space="preserve"> constatou que os descontos efetuados ultrapassaram a margem consignável no período de dezembro de 2019 a outubro de 2021, apurando excesso histórico de </w:t>
      </w:r>
      <w:r>
        <w:rPr>
          <w:b/>
          <w:i w:val="0"/>
        </w:rPr>
        <w:t>R$ 2.327,60</w:t>
      </w:r>
      <w:r>
        <w:rPr>
          <w:b w:val="0"/>
          <w:i w:val="0"/>
        </w:rPr>
        <w:t xml:space="preserve">, e apontou diferenças entre as taxas efetivamente praticadas e as contratadas </w:t>
      </w:r>
      <w:r>
        <w:rPr>
          <w:b/>
          <w:i w:val="0"/>
          <w:highlight w:val="yellow"/>
        </w:rPr>
        <w:t>[indicar o quesito/página do laudo e as taxas apuradas]</w:t>
      </w:r>
      <w:r>
        <w:rPr>
          <w:b w:val="0"/>
          <w:i w:val="0"/>
        </w:rPr>
        <w:t>.</w:t>
      </w:r>
    </w:p>
    <w:p>
      <w:pPr>
        <w:spacing w:after="60" w:line="360"/>
        <w:ind w:firstLine="850"/>
        <w:jc w:val="both"/>
      </w:pPr>
      <w:r>
        <w:rPr>
          <w:b w:val="0"/>
          <w:i w:val="0"/>
        </w:rPr>
        <w:t xml:space="preserve">A r. sentença (doc. 128) julgou parcialmente procedentes os pedidos para (i) determinar a limitação dos descontos consignados a 30% dos rendimentos líquidos da Apelante e (ii) condenar o Apelado a restituir, </w:t>
      </w:r>
      <w:r>
        <w:rPr>
          <w:b/>
          <w:i w:val="0"/>
        </w:rPr>
        <w:t>de forma simples</w:t>
      </w:r>
      <w:r>
        <w:rPr>
          <w:b w:val="0"/>
          <w:i w:val="0"/>
        </w:rPr>
        <w:t>, os valores que excederam a margem no período apurado pela perícia, bem como eventuais excessos ocorridos no curso da lide. Julgou improcedentes, contudo, os pedidos de revisão das taxas de juros, de afastamento da capitalização e da comissão de permanência e de indenização por danos morais, distribuindo a sucumbência na proporção de 70% para a Apelante e 30% para o Apelado.</w:t>
      </w:r>
    </w:p>
    <w:p>
      <w:pPr>
        <w:spacing w:after="60" w:line="360"/>
        <w:ind w:firstLine="850"/>
        <w:jc w:val="both"/>
      </w:pPr>
      <w:r>
        <w:rPr>
          <w:b w:val="0"/>
          <w:i w:val="0"/>
        </w:rPr>
        <w:t>Com a devida vênia, a sentença merece reforma nos pontos em que rejeitou os pedidos da Apelante e em que limitou a restituição, pelas razões a seguir expostas.</w:t>
      </w:r>
    </w:p>
    <w:p>
      <w:pPr>
        <w:shd w:fill="123BB8" w:color="auto" w:val="clear"/>
        <w:tabs>
          <w:tab w:val="left" w:pos="1000"/>
        </w:tabs>
        <w:spacing w:after="240" w:before="360" w:line="360"/>
        <w:ind w:left="0"/>
      </w:pPr>
      <w:r>
        <w:rPr>
          <w:b/>
          <w:bCs/>
          <w:i/>
          <w:iCs/>
          <w:color w:val="FFFFFF"/>
        </w:rPr>
        <w:tab/>
        <w:t>Das razões para a reforma da sentença.</w:t>
      </w:r>
    </w:p>
    <w:p>
      <w:pPr>
        <w:keepNext/>
        <w:tabs>
          <w:tab w:val="left" w:pos="700"/>
        </w:tabs>
        <w:spacing w:after="160" w:before="240" w:line="360"/>
        <w:ind w:left="700" w:hanging="400"/>
      </w:pPr>
      <w:r>
        <w:rPr>
          <w:b/>
          <w:bCs/>
          <w:i/>
          <w:iCs/>
        </w:rPr>
        <w:t>a.</w:t>
        <w:tab/>
        <w:t>Da aplicação do Código de Defesa do Consumidor e da responsabilidade objetiva da instituição financeira:</w:t>
      </w:r>
    </w:p>
    <w:p>
      <w:pPr>
        <w:spacing w:after="60" w:line="360"/>
        <w:ind w:firstLine="850"/>
        <w:jc w:val="both"/>
      </w:pPr>
      <w:r>
        <w:rPr>
          <w:b w:val="0"/>
          <w:i w:val="0"/>
        </w:rPr>
        <w:t xml:space="preserve">A relação jurídica estabelecida entre as partes é de consumo, nos termos da </w:t>
      </w:r>
      <w:r>
        <w:rPr>
          <w:b/>
          <w:i w:val="0"/>
        </w:rPr>
        <w:t>Súmula 297 do Superior Tribunal de Justiça</w:t>
      </w:r>
      <w:r>
        <w:rPr>
          <w:b w:val="0"/>
          <w:i w:val="0"/>
        </w:rPr>
        <w:t>: “O Código de Defesa do Consumidor é aplicável às instituições financeiras”. Por consequência, o Apelado responde objetivamente pelos defeitos na prestação de seus serviços (art. 14 do CDC), e as cláusulas contratuais que coloquem o consumidor em desvantagem exagerada são nulas de pleno direito (art. 51, IV e § 1º, do CDC).</w:t>
      </w:r>
    </w:p>
    <w:p>
      <w:pPr>
        <w:spacing w:after="60" w:line="360"/>
        <w:ind w:firstLine="850"/>
        <w:jc w:val="both"/>
      </w:pPr>
      <w:r>
        <w:rPr>
          <w:b w:val="0"/>
          <w:i w:val="0"/>
        </w:rPr>
        <w:t>No ponto, não prospera a tese, sustentada pelo Apelado ao longo da instrução, de que o controle da margem consignável compete exclusivamente à fonte pagadora. A instituição financeira, ao conceder o crédito, tem o dever de avaliar a capacidade de pagamento do consumidor e de observar os limites legais de comprometimento da renda, em atenção à boa-fé objetiva (art. 422 do Código Civil) e ao dever de concessão responsável do crédito, hoje positivado nos arts. 6º, XI, e 54-D do CDC, introduzidos pela Lei nº 14.181/2021. Esta Egrégia Corte assim decidiu recentemente:</w:t>
      </w:r>
    </w:p>
    <w:p>
      <w:pPr>
        <w:pBdr>
          <w:top w:val="single" w:color="9AA0A6" w:sz="4" w:space="6"/>
        </w:pBdr>
        <w:spacing w:after="0" w:before="160" w:line="240"/>
        <w:ind w:left="2270" w:right="570"/>
        <w:jc w:val="both"/>
      </w:pPr>
      <w:r>
        <w:rPr>
          <w:b/>
          <w:i w:val="0"/>
          <w:iCs w:val="false"/>
          <w:sz w:val="18"/>
          <w:szCs w:val="18"/>
        </w:rPr>
        <w:t>EMENTA: DIREITO DO CONSUMIDOR E PROCESSUAL CIVIL. APELAÇÃO CÍVEL. EMPRÉSTIMO CONSIGNADO. SERVIDOR PÚBLICO ESTADUAL. LIMITAÇÃO DA MARGEM CONSIGNÁVEL. [...] DESCONTOS SUPERIORES AO LIMITE LEGAL. FALHA NA PRESTAÇÃO DO SERVIÇO. RESTITUIÇÃO DOS VALORES DESCONTADOS INDEVIDAMENTE.</w:t>
      </w:r>
      <w:r>
        <w:rPr>
          <w:b w:val="0"/>
          <w:i w:val="0"/>
          <w:iCs w:val="false"/>
          <w:sz w:val="18"/>
          <w:szCs w:val="18"/>
        </w:rPr>
        <w:t xml:space="preserve"> </w:t>
      </w:r>
      <w:r>
        <w:rPr>
          <w:b/>
          <w:i w:val="0"/>
          <w:iCs w:val="false"/>
          <w:sz w:val="18"/>
          <w:szCs w:val="18"/>
          <w:highlight w:val="yellow"/>
        </w:rPr>
        <w:t>[...]</w:t>
      </w:r>
      <w:r>
        <w:rPr>
          <w:b w:val="0"/>
          <w:i w:val="0"/>
          <w:iCs w:val="false"/>
          <w:sz w:val="18"/>
          <w:szCs w:val="18"/>
        </w:rPr>
        <w:t xml:space="preserve"> A instituição financeira possui dever de diligência e de concessão responsável do crédito, devendo avaliar a capacidade de pagamento do consumidor e observar os limites legais da margem consignável. O controle da margem consignável não compete exclusivamente à fonte pagadora, pois a concessão de crédito em desacordo com os limites legais caracteriza falha na prestação do serviço bancário. A ultrapassagem da margem consignável compromete verbas de natureza alimentar e afronta a proteção do mínimo existencial do consumidor. Configurada a falha na prestação do serviço, incide a responsabilidade objetiva da instituição financeira, nos termos do art. 14 do Código de Defesa do Consumidor. Os valores descontados acima do limite legal devem ser restituídos, inclusive aqueles eventualmente descontados após a perícia, a serem apurados em liquidação de sentença. </w:t>
      </w:r>
      <w:r>
        <w:rPr>
          <w:b/>
          <w:i w:val="0"/>
          <w:iCs w:val="false"/>
          <w:sz w:val="18"/>
          <w:szCs w:val="18"/>
          <w:highlight w:val="yellow"/>
        </w:rPr>
        <w:t>[...]</w:t>
      </w:r>
    </w:p>
    <w:p>
      <w:pPr>
        <w:pBdr>
          <w:bottom w:val="single" w:color="9AA0A6" w:sz="4" w:space="6"/>
        </w:pBdr>
        <w:spacing w:after="200" w:before="0" w:line="240"/>
        <w:ind w:left="2270" w:right="570"/>
        <w:jc w:val="both"/>
      </w:pPr>
      <w:r>
        <w:rPr>
          <w:b w:val="0"/>
          <w:i w:val="0"/>
          <w:iCs w:val="false"/>
          <w:sz w:val="18"/>
          <w:szCs w:val="18"/>
        </w:rPr>
        <w:t>(TJ-MG - Apelação Cível: 50047076620218130481, Relator: Des. Sérgio André da Fonseca Xavier, Data de Julgamento: 26/05/2026, 18ª Câmara Cível, Data de Publicação: 27/05/2026)</w:t>
      </w:r>
    </w:p>
    <w:p>
      <w:pPr>
        <w:spacing w:after="60" w:line="360"/>
        <w:ind w:firstLine="850"/>
        <w:jc w:val="both"/>
      </w:pPr>
      <w:r>
        <w:rPr>
          <w:b w:val="0"/>
          <w:i w:val="0"/>
        </w:rPr>
        <w:t>Assentadas essas premissas, a revisão do contrato e a reparação integral dos prejuízos suportados pela Apelante são consequências necessárias, como se demonstra nos tópicos seguintes.</w:t>
      </w:r>
    </w:p>
    <w:p>
      <w:pPr>
        <w:keepNext/>
        <w:tabs>
          <w:tab w:val="left" w:pos="700"/>
        </w:tabs>
        <w:spacing w:after="160" w:before="240" w:line="360"/>
        <w:ind w:left="700" w:hanging="400"/>
      </w:pPr>
      <w:r>
        <w:rPr>
          <w:b/>
          <w:bCs/>
          <w:i/>
          <w:iCs/>
        </w:rPr>
        <w:t>b.</w:t>
        <w:tab/>
        <w:t>Da abusividade dos juros remuneratórios:</w:t>
      </w:r>
    </w:p>
    <w:p>
      <w:pPr>
        <w:spacing w:after="60" w:line="360"/>
        <w:ind w:firstLine="850"/>
        <w:jc w:val="both"/>
      </w:pPr>
      <w:r>
        <w:rPr>
          <w:b w:val="0"/>
          <w:i w:val="0"/>
        </w:rPr>
        <w:t>Ao julgar o REsp nº 1.061.530/RS, sob o rito dos recursos repetitivos, o Superior Tribunal de Justiça firmou o entendimento de que é admitida a revisão das taxas de juros remuneratórios em situações excepcionais, desde que caracterizada a relação de consumo e que a abusividade, capaz de colocar o consumidor em desvantagem exagerada (art. 51, § 1º, do CDC), fique cabalmente demonstrada ante as peculiaridades do caso concreto, adotando-se como parâmetro a taxa média de mercado divulgada pelo Banco Central do Brasil para operações da mesma espécie.</w:t>
      </w:r>
    </w:p>
    <w:p>
      <w:pPr>
        <w:spacing w:after="60" w:line="360"/>
        <w:ind w:firstLine="850"/>
        <w:jc w:val="both"/>
      </w:pPr>
      <w:r>
        <w:rPr>
          <w:b w:val="0"/>
          <w:i w:val="0"/>
        </w:rPr>
        <w:t xml:space="preserve">No caso, a abusividade não decorre de mera alegação, mas da própria prova técnica produzida sob o contraditório. O laudo pericial apurou que </w:t>
      </w:r>
      <w:r>
        <w:rPr>
          <w:b/>
          <w:i w:val="0"/>
          <w:highlight w:val="yellow"/>
        </w:rPr>
        <w:t>[nos contratos nº ___ foi praticada taxa de ___% a.m. (___% a.a.), ao passo que a taxa média de mercado divulgada pelo BACEN para a modalidade, no mesmo período, era de ___% a.m. (___% a.a.)]</w:t>
      </w:r>
      <w:r>
        <w:rPr>
          <w:b w:val="0"/>
          <w:i w:val="0"/>
        </w:rPr>
        <w:t xml:space="preserve">, ou seja, taxa </w:t>
      </w:r>
      <w:r>
        <w:rPr>
          <w:b/>
          <w:i w:val="0"/>
          <w:highlight w:val="yellow"/>
        </w:rPr>
        <w:t>[___ vezes]</w:t>
      </w:r>
      <w:r>
        <w:rPr>
          <w:b w:val="0"/>
          <w:i w:val="0"/>
        </w:rPr>
        <w:t xml:space="preserve"> superior à média, discrepância que não encontra justificativa no risco da operação, sobretudo porque se trata de crédito </w:t>
      </w:r>
      <w:r>
        <w:rPr>
          <w:b/>
          <w:i w:val="0"/>
          <w:highlight w:val="yellow"/>
        </w:rPr>
        <w:t>[consignado em folha]</w:t>
      </w:r>
      <w:r>
        <w:rPr>
          <w:b w:val="0"/>
          <w:i w:val="0"/>
        </w:rPr>
        <w:t>, modalidade de baixíssimo risco de inadimplência para a instituição financeira, já que o pagamento é descontado diretamente da remuneração da servidora.</w:t>
      </w:r>
    </w:p>
    <w:p>
      <w:pPr>
        <w:spacing w:after="60" w:line="360"/>
        <w:ind w:firstLine="850"/>
        <w:jc w:val="both"/>
      </w:pPr>
      <w:r>
        <w:rPr>
          <w:b w:val="0"/>
          <w:i w:val="0"/>
        </w:rPr>
        <w:t xml:space="preserve">Ademais, quanto aos contratos cuja taxa não foi demonstrada pelo Apelado </w:t>
      </w:r>
      <w:r>
        <w:rPr>
          <w:b/>
          <w:i w:val="0"/>
          <w:highlight w:val="yellow"/>
        </w:rPr>
        <w:t>[indicar, se for o caso]</w:t>
      </w:r>
      <w:r>
        <w:rPr>
          <w:b w:val="0"/>
          <w:i w:val="0"/>
        </w:rPr>
        <w:t xml:space="preserve">, incide a </w:t>
      </w:r>
      <w:r>
        <w:rPr>
          <w:b/>
          <w:i w:val="0"/>
        </w:rPr>
        <w:t>Súmula 530 do STJ</w:t>
      </w:r>
      <w:r>
        <w:rPr>
          <w:b w:val="0"/>
          <w:i w:val="0"/>
        </w:rPr>
        <w:t>: “Nos contratos bancários, na impossibilidade de comprovar a taxa de juros efetivamente contratada – por ausência de pactuação ou pela falta de juntada do instrumento aos autos –, aplica-se a taxa média de mercado, divulgada pelo Bacen, praticada nas operações da mesma espécie, salvo se a taxa cobrada for mais vantajosa para o devedor”.</w:t>
      </w:r>
    </w:p>
    <w:p>
      <w:pPr>
        <w:spacing w:after="60" w:line="360"/>
        <w:ind w:firstLine="850"/>
        <w:jc w:val="both"/>
      </w:pPr>
      <w:r>
        <w:rPr>
          <w:b w:val="0"/>
          <w:i w:val="0"/>
        </w:rPr>
        <w:t>Deve, portanto, ser reformada a sentença para limitar os juros remuneratórios à taxa média de mercado divulgada pelo BACEN para a modalidade e o período de cada contratação, com o recálculo das parcelas e a restituição das diferenças.</w:t>
      </w:r>
    </w:p>
    <w:p>
      <w:pPr>
        <w:keepNext/>
        <w:tabs>
          <w:tab w:val="left" w:pos="700"/>
        </w:tabs>
        <w:spacing w:after="160" w:before="240" w:line="360"/>
        <w:ind w:left="700" w:hanging="400"/>
      </w:pPr>
      <w:r>
        <w:rPr>
          <w:b/>
          <w:bCs/>
          <w:i/>
          <w:iCs/>
        </w:rPr>
        <w:t>c.</w:t>
        <w:tab/>
        <w:t>Da capitalização de juros:</w:t>
      </w:r>
    </w:p>
    <w:p>
      <w:pPr>
        <w:spacing w:after="60" w:line="360"/>
        <w:ind w:firstLine="850"/>
        <w:jc w:val="both"/>
      </w:pPr>
      <w:r>
        <w:rPr>
          <w:b w:val="0"/>
          <w:i w:val="0"/>
        </w:rPr>
        <w:t xml:space="preserve">Nos termos da </w:t>
      </w:r>
      <w:r>
        <w:rPr>
          <w:b/>
          <w:i w:val="0"/>
        </w:rPr>
        <w:t>Súmula 539 do STJ</w:t>
      </w:r>
      <w:r>
        <w:rPr>
          <w:b w:val="0"/>
          <w:i w:val="0"/>
        </w:rPr>
        <w:t xml:space="preserve">, a capitalização de juros com periodicidade inferior à anual somente é permitida nos contratos celebrados após 31/03/2000 (MP nº 1.963-17/2000, reeditada como MP nº 2.170-36/2001) “desde que expressamente pactuada”. A </w:t>
      </w:r>
      <w:r>
        <w:rPr>
          <w:b/>
          <w:i w:val="0"/>
        </w:rPr>
        <w:t>Súmula 541 do STJ</w:t>
      </w:r>
      <w:r>
        <w:rPr>
          <w:b w:val="0"/>
          <w:i w:val="0"/>
        </w:rPr>
        <w:t>, por sua vez, admite a cobrança da taxa efetiva anual contratada quando a previsão no contrato bancário de taxa de juros anual for superior ao duodécuplo da mensal.</w:t>
      </w:r>
    </w:p>
    <w:p>
      <w:pPr>
        <w:spacing w:after="60" w:line="360"/>
        <w:ind w:firstLine="850"/>
        <w:jc w:val="both"/>
      </w:pPr>
      <w:r>
        <w:rPr>
          <w:b w:val="0"/>
          <w:i w:val="0"/>
        </w:rPr>
        <w:t xml:space="preserve">A capitalização, portanto, não se presume: exige pactuação expressa, clara e compreensível ao consumidor, em observância ao dever de informação (arts. 6º, III, 46 e 52 do CDC). No caso, </w:t>
      </w:r>
      <w:r>
        <w:rPr>
          <w:b/>
          <w:i w:val="0"/>
          <w:highlight w:val="yellow"/>
        </w:rPr>
        <w:t>[os instrumentos dos contratos nº ___ não foram juntados aos autos pelo Apelado / não contêm previsão expressa da capitalização nem indicação das taxas mensal e anual]</w:t>
      </w:r>
      <w:r>
        <w:rPr>
          <w:b w:val="0"/>
          <w:i w:val="0"/>
        </w:rPr>
        <w:t>, de modo que a cobrança de juros capitalizados é indevida e deve ser afastada, com a aplicação de juros simples no recálculo do débito.</w:t>
      </w:r>
    </w:p>
    <w:p>
      <w:pPr>
        <w:keepNext/>
        <w:tabs>
          <w:tab w:val="left" w:pos="700"/>
        </w:tabs>
        <w:spacing w:after="160" w:before="240" w:line="360"/>
        <w:ind w:left="700" w:hanging="400"/>
      </w:pPr>
      <w:r>
        <w:rPr>
          <w:b/>
          <w:bCs/>
          <w:i/>
          <w:iCs/>
        </w:rPr>
        <w:t>d.</w:t>
        <w:tab/>
        <w:t>Da cumulação indevida de encargos moratórios:</w:t>
      </w:r>
    </w:p>
    <w:p>
      <w:pPr>
        <w:spacing w:after="60" w:line="360"/>
        <w:ind w:firstLine="850"/>
        <w:jc w:val="both"/>
      </w:pPr>
      <w:r>
        <w:rPr>
          <w:b w:val="0"/>
          <w:i w:val="0"/>
        </w:rPr>
        <w:t xml:space="preserve">É pacífico no Superior Tribunal de Justiça que a comissão de permanência não pode ser cumulada com correção monetária (Súmula 30), com juros remuneratórios (Súmula 296) nem com juros moratórios e multa contratual. Nos termos da </w:t>
      </w:r>
      <w:r>
        <w:rPr>
          <w:b/>
          <w:i w:val="0"/>
        </w:rPr>
        <w:t>Súmula 472 do STJ</w:t>
      </w:r>
      <w:r>
        <w:rPr>
          <w:b w:val="0"/>
          <w:i w:val="0"/>
        </w:rPr>
        <w:t>, “a cobrança de comissão de permanência – cujo valor não pode ultrapassar a soma dos encargos remuneratórios e moratórios previstos no contrato – exclui a exigibilidade dos juros remuneratórios, moratórios e da multa contratual”.</w:t>
      </w:r>
    </w:p>
    <w:p>
      <w:pPr>
        <w:spacing w:after="60" w:line="360"/>
        <w:ind w:firstLine="850"/>
        <w:jc w:val="both"/>
      </w:pPr>
      <w:r>
        <w:rPr>
          <w:b w:val="0"/>
          <w:i w:val="0"/>
        </w:rPr>
        <w:t xml:space="preserve">No caso, </w:t>
      </w:r>
      <w:r>
        <w:rPr>
          <w:b/>
          <w:i w:val="0"/>
          <w:highlight w:val="yellow"/>
        </w:rPr>
        <w:t>[o laudo pericial / os extratos de doc. ___ demonstram que, nos períodos de atraso, o Apelado cobrou comissão de permanência cumulada com juros moratórios e multa contratual]</w:t>
      </w:r>
      <w:r>
        <w:rPr>
          <w:b w:val="0"/>
          <w:i w:val="0"/>
        </w:rPr>
        <w:t>. A cumulação deve ser afastada, admitindo-se apenas a incidência isolada da comissão de permanência, limitada à soma dos encargos contratuais, ou, alternativamente, dos encargos moratórios regularmente pactuados, com restituição do que foi cobrado a maior.</w:t>
      </w:r>
    </w:p>
    <w:p>
      <w:pPr>
        <w:keepNext/>
        <w:tabs>
          <w:tab w:val="left" w:pos="700"/>
        </w:tabs>
        <w:spacing w:after="160" w:before="240" w:line="360"/>
        <w:ind w:left="700" w:hanging="400"/>
      </w:pPr>
      <w:r>
        <w:rPr>
          <w:b/>
          <w:bCs/>
          <w:i/>
          <w:iCs/>
        </w:rPr>
        <w:t>e.</w:t>
        <w:tab/>
        <w:t>Da restituição integral dos valores indevidamente descontados:</w:t>
      </w:r>
    </w:p>
    <w:p>
      <w:pPr>
        <w:spacing w:after="60" w:line="360"/>
        <w:ind w:firstLine="850"/>
        <w:jc w:val="both"/>
      </w:pPr>
      <w:r>
        <w:rPr>
          <w:b w:val="0"/>
          <w:i w:val="0"/>
        </w:rPr>
        <w:t>A sentença reconheceu que os descontos ultrapassaram o limite legal e condenou o Apelado à restituição. Contudo, ao limitar a devolução ao período examinado pela perícia e ao determiná-la de forma simples, deixou de assegurar a reparação integral do dano material (arts. 6º, VI, do CDC e 944 do Código Civil).</w:t>
      </w:r>
    </w:p>
    <w:p>
      <w:pPr>
        <w:spacing w:after="60" w:line="360"/>
        <w:ind w:firstLine="850"/>
        <w:jc w:val="both"/>
      </w:pPr>
      <w:r>
        <w:rPr>
          <w:b w:val="0"/>
          <w:i w:val="0"/>
        </w:rPr>
        <w:t xml:space="preserve">Em primeiro lugar, a restituição deve abranger </w:t>
      </w:r>
      <w:r>
        <w:rPr>
          <w:b/>
          <w:i w:val="0"/>
        </w:rPr>
        <w:t>todos</w:t>
      </w:r>
      <w:r>
        <w:rPr>
          <w:b w:val="0"/>
          <w:i w:val="0"/>
        </w:rPr>
        <w:t xml:space="preserve"> os valores cobrados indevidamente, e não apenas o excesso de margem apurado entre dezembro de 2019 e outubro de 2021. Devem ser restituídos: (i) os valores descontados acima da margem consignável desde o primeiro desconto excedente até a efetiva adequação dos descontos ao limite legal, inclusive os posteriores à perícia; e (ii) as diferenças decorrentes da revisão das cláusulas contratuais abusivas (juros remuneratórios acima da taxa média, capitalização não pactuada e cumulação de encargos), tudo a ser apurado em liquidação de sentença (art. 509 do CPC), autorizada a compensação com eventual saldo devedor remanescente.</w:t>
      </w:r>
    </w:p>
    <w:p>
      <w:pPr>
        <w:spacing w:after="60" w:line="360"/>
        <w:ind w:firstLine="850"/>
        <w:jc w:val="both"/>
      </w:pPr>
      <w:r>
        <w:rPr>
          <w:b w:val="0"/>
          <w:i w:val="0"/>
        </w:rPr>
        <w:t xml:space="preserve">Em segundo lugar, a restituição deve se dar </w:t>
      </w:r>
      <w:r>
        <w:rPr>
          <w:b/>
          <w:i w:val="0"/>
        </w:rPr>
        <w:t>em dobro</w:t>
      </w:r>
      <w:r>
        <w:rPr>
          <w:b w:val="0"/>
          <w:i w:val="0"/>
        </w:rPr>
        <w:t>, nos termos do art. 42, parágrafo único, do CDC. A Corte Especial do Superior Tribunal de Justiça, no julgamento do EAREsp nº 676.608/RS, fixou a tese de que “a restituição em dobro do indébito (parágrafo único do artigo 42 do CDC) independe da natureza do elemento volitivo do fornecedor que cobrou valor indevido, revelando-se cabível quando a cobrança indevida consubstanciar conduta contrária à boa-fé objetiva”.</w:t>
      </w:r>
    </w:p>
    <w:p>
      <w:pPr>
        <w:spacing w:after="60" w:line="360"/>
        <w:ind w:firstLine="850"/>
        <w:jc w:val="both"/>
      </w:pPr>
      <w:r>
        <w:rPr>
          <w:b w:val="0"/>
          <w:i w:val="0"/>
        </w:rPr>
        <w:t>É exatamente o caso dos autos. O Apelado, instituição financeira de grande porte, que dispõe de todos os meios para verificar a renda e o comprometimento de margem de seus clientes, concedeu crédito e promoveu descontos sabidamente superiores ao limite legal, atingindo verba de natureza alimentar e, mesmo após a citação e a perícia, persistiu na defesa da regularidade dos descontos. Trata-se de conduta manifestamente contrária à boa-fé objetiva, que não se confunde com engano justificável.</w:t>
      </w:r>
    </w:p>
    <w:p>
      <w:pPr>
        <w:spacing w:after="60" w:line="360"/>
        <w:ind w:firstLine="850"/>
        <w:jc w:val="both"/>
      </w:pPr>
      <w:r>
        <w:rPr>
          <w:b w:val="0"/>
          <w:i w:val="0"/>
        </w:rPr>
        <w:t>Em atenção à modulação de efeitos fixada no referido precedente, que alcança os indébitos cobrados após a publicação do acórdão (30/03/2021), requer-se a restituição em dobro dos valores descontados indevidamente a partir dessa data e, subsidiariamente quanto ao período anterior, a restituição simples, com correção monetária desde cada desconto indevido (Súmula 43 do STJ) e juros de mora a partir da citação, observados, a partir de sua vigência, os critérios da Lei nº 14.905/2024.</w:t>
      </w:r>
    </w:p>
    <w:p>
      <w:pPr>
        <w:keepNext/>
        <w:tabs>
          <w:tab w:val="left" w:pos="700"/>
        </w:tabs>
        <w:spacing w:after="160" w:before="240" w:line="360"/>
        <w:ind w:left="700" w:hanging="400"/>
      </w:pPr>
      <w:r>
        <w:rPr>
          <w:b/>
          <w:bCs/>
          <w:i/>
          <w:iCs/>
        </w:rPr>
        <w:t>f.</w:t>
        <w:tab/>
        <w:t>Dos danos morais:</w:t>
      </w:r>
    </w:p>
    <w:p>
      <w:pPr>
        <w:spacing w:after="60" w:line="360"/>
        <w:ind w:firstLine="850"/>
        <w:jc w:val="both"/>
      </w:pPr>
      <w:r>
        <w:rPr>
          <w:b w:val="0"/>
          <w:i w:val="0"/>
        </w:rPr>
        <w:t>A sentença afastou a indenização por danos morais. Com a devida vênia, os descontos realizados acima do limite legal não configuraram mero aborrecimento: atingiram, ao longo do período apurado pela perícia, a remuneração da Apelante, verba de natureza alimentar protegida pelo ordenamento (art. 7º, X, da Constituição Federal e art. 833, IV, do CPC), privando-a de recursos indispensáveis à sua subsistência e à de sua família e comprometendo o seu mínimo existencial.</w:t>
      </w:r>
    </w:p>
    <w:p>
      <w:pPr>
        <w:spacing w:after="60" w:line="360"/>
        <w:ind w:firstLine="850"/>
        <w:jc w:val="both"/>
      </w:pPr>
      <w:r>
        <w:rPr>
          <w:b/>
          <w:i w:val="0"/>
          <w:highlight w:val="yellow"/>
        </w:rPr>
        <w:t>[Descrever as consequências concretas comprovadas nos autos: atraso de contas essenciais, inscrição em cadastros, necessidade de novos empréstimos, comprometimento de despesas com alimentação, saúde e moradia, com indicação dos documentos.]</w:t>
      </w:r>
      <w:r>
        <w:rPr>
          <w:b w:val="0"/>
          <w:i w:val="0"/>
        </w:rPr>
        <w:t xml:space="preserve"> Esse quadro, imposto por falha na prestação do serviço bancário, ultrapassa o simples inadimplemento contratual e atinge a dignidade da consumidora (art. 1º, III, da CF), ensejando a reparação prevista no art. 6º, VI, e no art. 14 do CDC.</w:t>
      </w:r>
    </w:p>
    <w:p>
      <w:pPr>
        <w:spacing w:after="60" w:line="360"/>
        <w:ind w:firstLine="850"/>
        <w:jc w:val="both"/>
      </w:pPr>
      <w:r>
        <w:rPr>
          <w:b w:val="0"/>
          <w:i w:val="0"/>
        </w:rPr>
        <w:t xml:space="preserve">Requer-se, assim, a condenação do Apelado ao pagamento de indenização por danos morais no valor de </w:t>
      </w:r>
      <w:r>
        <w:rPr>
          <w:b/>
          <w:i w:val="0"/>
          <w:highlight w:val="yellow"/>
        </w:rPr>
        <w:t>[R$ ___ – valor pedido na inicial]</w:t>
      </w:r>
      <w:r>
        <w:rPr>
          <w:b w:val="0"/>
          <w:i w:val="0"/>
        </w:rPr>
        <w:t>, ou em outro montante que esta Colenda Câmara entenda adequado, atendidas as funções compensatória e pedagógica da reparação, com correção monetária a partir do arbitramento (Súmula 362 do STJ) e juros de mora a partir da citação.</w:t>
      </w:r>
    </w:p>
    <w:p>
      <w:pPr>
        <w:keepNext/>
        <w:tabs>
          <w:tab w:val="left" w:pos="700"/>
        </w:tabs>
        <w:spacing w:after="160" w:before="240" w:line="360"/>
        <w:ind w:left="700" w:hanging="400"/>
      </w:pPr>
      <w:r>
        <w:rPr>
          <w:b/>
          <w:bCs/>
          <w:i/>
          <w:iCs/>
        </w:rPr>
        <w:t>g.</w:t>
        <w:tab/>
        <w:t>Da redistribuição dos ônus de sucumbência:</w:t>
      </w:r>
    </w:p>
    <w:p>
      <w:pPr>
        <w:spacing w:after="60" w:line="360"/>
        <w:ind w:firstLine="850"/>
        <w:jc w:val="both"/>
      </w:pPr>
      <w:r>
        <w:rPr>
          <w:b w:val="0"/>
          <w:i w:val="0"/>
        </w:rPr>
        <w:t>Providos os pedidos recursais, a Apelante terá decaído de parte mínima dos pedidos, de modo que os ônus da sucumbência devem ser integralmente suportados pelo Apelado (art. 86, parágrafo único, do CPC), com a fixação dos honorários advocatícios nos termos do art. 85, § 2º, do CPC ou, caso o proveito econômico permaneça irrisório, por apreciação equitativa (art. 85, § 8º, do CPC), em valor não inferior ao arbitrado na origem, e com a majoração dos honorários em razão do trabalho adicional realizado em grau recursal (art. 85, § 11, do CPC).</w:t>
      </w:r>
    </w:p>
    <w:p>
      <w:pPr>
        <w:shd w:fill="123BB8" w:color="auto" w:val="clear"/>
        <w:tabs>
          <w:tab w:val="left" w:pos="1000"/>
        </w:tabs>
        <w:spacing w:after="240" w:before="360" w:line="360"/>
        <w:ind w:left="0"/>
      </w:pPr>
      <w:r>
        <w:rPr>
          <w:b/>
          <w:bCs/>
          <w:i/>
          <w:iCs/>
          <w:color w:val="FFFFFF"/>
        </w:rPr>
        <w:tab/>
        <w:t>Do prequestionamento.</w:t>
      </w:r>
    </w:p>
    <w:p>
      <w:pPr>
        <w:spacing w:after="60" w:line="360"/>
        <w:ind w:firstLine="850"/>
        <w:jc w:val="both"/>
      </w:pPr>
      <w:r>
        <w:rPr>
          <w:b w:val="0"/>
          <w:i w:val="0"/>
        </w:rPr>
        <w:t>Para fins de eventual interposição de recursos às instâncias superiores, requer-se o expresso pronunciamento desta Colenda Câmara acerca dos arts. 6º, III, VI e XI, 14, 42, parágrafo único, 46, 51, IV e § 1º, 52 e 54-D do Código de Defesa do Consumidor; 422 e 944 do Código Civil; 85, 86 e 833, IV, do Código de Processo Civil; e 5º da MP nº 2.170-36/2001.</w:t>
      </w:r>
    </w:p>
    <w:p>
      <w:pPr>
        <w:shd w:fill="123BB8" w:color="auto" w:val="clear"/>
        <w:tabs>
          <w:tab w:val="left" w:pos="1000"/>
        </w:tabs>
        <w:spacing w:after="240" w:before="360" w:line="360"/>
        <w:ind w:left="0"/>
      </w:pPr>
      <w:r>
        <w:rPr>
          <w:b/>
          <w:bCs/>
          <w:i/>
          <w:iCs/>
          <w:color w:val="FFFFFF"/>
        </w:rPr>
        <w:tab/>
        <w:t>Dos pedidos.</w:t>
      </w:r>
    </w:p>
    <w:p>
      <w:pPr>
        <w:spacing w:after="60" w:line="360"/>
        <w:ind w:firstLine="850"/>
        <w:jc w:val="both"/>
      </w:pPr>
      <w:r>
        <w:rPr>
          <w:b w:val="0"/>
          <w:i w:val="0"/>
        </w:rPr>
        <w:t>Ante o exposto, requer a Apelante:</w:t>
      </w:r>
    </w:p>
    <w:p>
      <w:pPr>
        <w:tabs>
          <w:tab w:val="left" w:pos="1000"/>
        </w:tabs>
        <w:spacing w:after="60" w:line="360"/>
        <w:ind w:left="1000" w:hanging="400"/>
        <w:jc w:val="both"/>
      </w:pPr>
      <w:r>
        <w:rPr>
          <w:b w:val="0"/>
          <w:i w:val="0"/>
        </w:rPr>
        <w:t>A.</w:t>
        <w:tab/>
        <w:t>o conhecimento e o provimento do presente recurso, para reformar a r. sentença e julgar procedentes os pedidos iniciais;</w:t>
      </w:r>
    </w:p>
    <w:p>
      <w:pPr>
        <w:tabs>
          <w:tab w:val="left" w:pos="1000"/>
        </w:tabs>
        <w:spacing w:after="60" w:line="360"/>
        <w:ind w:left="1000" w:hanging="400"/>
        <w:jc w:val="both"/>
      </w:pPr>
      <w:r>
        <w:rPr>
          <w:b w:val="0"/>
          <w:i w:val="0"/>
        </w:rPr>
        <w:t>B.</w:t>
        <w:tab/>
        <w:t>a limitação dos juros remuneratórios à taxa média de mercado divulgada pelo Banco Central do Brasil para a modalidade e o período de cada contratação, com o recálculo das parcelas;</w:t>
      </w:r>
    </w:p>
    <w:p>
      <w:pPr>
        <w:tabs>
          <w:tab w:val="left" w:pos="1000"/>
        </w:tabs>
        <w:spacing w:after="60" w:line="360"/>
        <w:ind w:left="1000" w:hanging="400"/>
        <w:jc w:val="both"/>
      </w:pPr>
      <w:r>
        <w:rPr>
          <w:b w:val="0"/>
          <w:i w:val="0"/>
        </w:rPr>
        <w:t>C.</w:t>
        <w:tab/>
        <w:t>o afastamento da capitalização de juros não expressamente pactuada, aplicando-se juros simples no recálculo do débito;</w:t>
      </w:r>
    </w:p>
    <w:p>
      <w:pPr>
        <w:tabs>
          <w:tab w:val="left" w:pos="1000"/>
        </w:tabs>
        <w:spacing w:after="60" w:line="360"/>
        <w:ind w:left="1000" w:hanging="400"/>
        <w:jc w:val="both"/>
      </w:pPr>
      <w:r>
        <w:rPr>
          <w:b w:val="0"/>
          <w:i w:val="0"/>
        </w:rPr>
        <w:t>D.</w:t>
        <w:tab/>
        <w:t>o afastamento da cumulação da comissão de permanência com juros remuneratórios, juros moratórios, multa e correção monetária;</w:t>
      </w:r>
    </w:p>
    <w:p>
      <w:pPr>
        <w:tabs>
          <w:tab w:val="left" w:pos="1000"/>
        </w:tabs>
        <w:spacing w:after="60" w:line="360"/>
        <w:ind w:left="1000" w:hanging="400"/>
        <w:jc w:val="both"/>
      </w:pPr>
      <w:r>
        <w:rPr>
          <w:b w:val="0"/>
          <w:i w:val="0"/>
        </w:rPr>
        <w:t>E.</w:t>
        <w:tab/>
        <w:t xml:space="preserve">a manutenção da limitação dos descontos ao limite legal da margem consignável e a condenação do Apelado à restituição integral dos valores indevidamente descontados – excesso de margem, desde o primeiro desconto excedente até a efetiva adequação, inclusive após a perícia, e diferenças decorrentes da revisão contratual –, </w:t>
      </w:r>
      <w:r>
        <w:rPr>
          <w:b/>
          <w:i w:val="0"/>
        </w:rPr>
        <w:t>em dobro</w:t>
      </w:r>
      <w:r>
        <w:rPr>
          <w:b w:val="0"/>
          <w:i w:val="0"/>
        </w:rPr>
        <w:t xml:space="preserve"> quanto aos valores descontados a partir de 30/03/2021 (art. 42, parágrafo único, do CDC; EAREsp nº 676.608/RS) e, subsidiariamente, de forma simples, com correção monetária desde cada desconto e juros de mora desde a citação, a serem apurados em liquidação de sentença, autorizada a compensação com eventual saldo devedor;</w:t>
      </w:r>
    </w:p>
    <w:p>
      <w:pPr>
        <w:tabs>
          <w:tab w:val="left" w:pos="1000"/>
        </w:tabs>
        <w:spacing w:after="60" w:line="360"/>
        <w:ind w:left="1000" w:hanging="400"/>
        <w:jc w:val="both"/>
      </w:pPr>
      <w:r>
        <w:rPr>
          <w:b w:val="0"/>
          <w:i w:val="0"/>
        </w:rPr>
        <w:t>F.</w:t>
        <w:tab/>
        <w:t xml:space="preserve">a condenação do Apelado ao pagamento de indenização por danos morais no valor de </w:t>
      </w:r>
      <w:r>
        <w:rPr>
          <w:b/>
          <w:i w:val="0"/>
          <w:highlight w:val="yellow"/>
        </w:rPr>
        <w:t>[R$ ___]</w:t>
      </w:r>
      <w:r>
        <w:rPr>
          <w:b w:val="0"/>
          <w:i w:val="0"/>
        </w:rPr>
        <w:t>, ou em outro valor que esta Colenda Câmara entender adequado;</w:t>
      </w:r>
    </w:p>
    <w:p>
      <w:pPr>
        <w:tabs>
          <w:tab w:val="left" w:pos="1000"/>
        </w:tabs>
        <w:spacing w:after="60" w:line="360"/>
        <w:ind w:left="1000" w:hanging="400"/>
        <w:jc w:val="both"/>
      </w:pPr>
      <w:r>
        <w:rPr>
          <w:b w:val="0"/>
          <w:i w:val="0"/>
        </w:rPr>
        <w:t>G.</w:t>
        <w:tab/>
        <w:t>a inversão dos ônus da sucumbência, com a condenação do Apelado ao pagamento integral das custas processuais e dos honorários advocatícios, majorados nos termos do art. 85, § 11, do CPC;</w:t>
      </w:r>
    </w:p>
    <w:p>
      <w:pPr>
        <w:tabs>
          <w:tab w:val="left" w:pos="1000"/>
        </w:tabs>
        <w:spacing w:after="60" w:line="360"/>
        <w:ind w:left="1000" w:hanging="400"/>
        <w:jc w:val="both"/>
      </w:pPr>
      <w:r>
        <w:rPr>
          <w:b w:val="0"/>
          <w:i w:val="0"/>
        </w:rPr>
        <w:t>H.</w:t>
        <w:tab/>
        <w:t>o expresso pronunciamento sobre os dispositivos indicados no tópico do prequestionamento.</w:t>
      </w:r>
    </w:p>
    <w:p>
      <w:pPr>
        <w:spacing w:after="0"/>
      </w:pPr>
    </w:p>
    <w:p>
      <w:pPr>
        <w:spacing w:after="0" w:line="360"/>
        <w:jc w:val="center"/>
      </w:pPr>
      <w:r>
        <w:rPr>
          <w:b w:val="0"/>
          <w:i w:val="0"/>
        </w:rPr>
        <w:t>Nestes termos,</w:t>
      </w:r>
    </w:p>
    <w:p>
      <w:pPr>
        <w:spacing w:after="0" w:line="360"/>
        <w:jc w:val="center"/>
      </w:pPr>
      <w:r>
        <w:rPr>
          <w:b w:val="0"/>
          <w:i w:val="0"/>
        </w:rPr>
        <w:t>Pede deferimento.</w:t>
      </w:r>
    </w:p>
    <w:p>
      <w:pPr>
        <w:spacing w:after="0"/>
      </w:pPr>
    </w:p>
    <w:p>
      <w:pPr>
        <w:spacing w:after="0" w:line="360"/>
        <w:jc w:val="center"/>
      </w:pPr>
      <w:r>
        <w:rPr>
          <w:b/>
          <w:i w:val="0"/>
          <w:highlight w:val="yellow"/>
        </w:rPr>
        <w:t>[Cidade]</w:t>
      </w:r>
      <w:r>
        <w:rPr>
          <w:b w:val="0"/>
          <w:i w:val="0"/>
        </w:rPr>
        <w:t>-</w:t>
      </w:r>
      <w:r>
        <w:rPr>
          <w:b/>
          <w:i w:val="0"/>
          <w:highlight w:val="yellow"/>
        </w:rPr>
        <w:t>[UF]</w:t>
      </w:r>
      <w:r>
        <w:rPr>
          <w:b w:val="0"/>
          <w:i w:val="0"/>
        </w:rPr>
        <w:t>, datado eletronicamente.</w:t>
      </w:r>
    </w:p>
    <w:p>
      <w:pPr>
        <w:spacing w:after="0"/>
      </w:pPr>
    </w:p>
    <w:p>
      <w:pPr>
        <w:spacing w:after="0" w:line="360"/>
        <w:jc w:val="center"/>
      </w:pPr>
      <w:r>
        <w:rPr>
          <w:b/>
          <w:bCs/>
          <w:i w:val="0"/>
        </w:rPr>
        <w:t>ANTÔNIO DE PÁDUA SANTOS NETO</w:t>
      </w:r>
    </w:p>
    <w:p>
      <w:pPr>
        <w:spacing w:after="0" w:line="360"/>
        <w:jc w:val="center"/>
      </w:pPr>
      <w:r>
        <w:rPr>
          <w:b/>
          <w:bCs/>
          <w:i w:val="0"/>
        </w:rPr>
        <w:t>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Ely Sandro Vaz e Silva</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