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 decisão transitou em julgado em </w:t>
      </w:r>
      <w:r>
        <w:rPr>
          <w:b/>
          <w:i w:val="0"/>
          <w:highlight w:val="yellow"/>
          <w:u w:val="none"/>
        </w:rPr>
        <w:t>[__/__/____]</w:t>
      </w:r>
      <w:r>
        <w:rPr>
          <w:b w:val="0"/>
          <w:i w:val="0"/>
          <w:u w:val="none"/>
        </w:rPr>
        <w:t xml:space="preserve">, conforme certidão de ID </w:t>
      </w:r>
      <w:r>
        <w:rPr>
          <w:b/>
          <w:i w:val="0"/>
          <w:highlight w:val="yellow"/>
          <w:u w:val="none"/>
        </w:rPr>
        <w:t>[________]</w:t>
      </w:r>
      <w:r>
        <w:rPr>
          <w:b w:val="0"/>
          <w:i w:val="0"/>
          <w:u w:val="none"/>
        </w:rPr>
        <w:t>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1,132200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R$ 37.642,72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1,030075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R$ 2.060,15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R$ 35.247,41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R$ 39.702,87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R$ 3.970,29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R$ 43.673,16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R$ 43.673,16 (quarenta e três mil, seiscentos e setenta e três reais e dezesseis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R$ 43.673,16 incidirão multa de R$ 4.367,32 e honorários de R$ 4.367,32, perfazendo </w:t>
      </w:r>
      <w:r>
        <w:rPr>
          <w:b/>
          <w:i w:val="0"/>
          <w:u w:val="none"/>
        </w:rPr>
        <w:t>R$ 52.407,80 (cinquenta e dois mil, quatrocentos e sete reais e oitenta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R$ 43.673,16 (quarenta e três mil, seiscentos e setenta e três reais e dezesseis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