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NOTA TÉCNICA</w:t>
      </w:r>
    </w:p>
    <w:p>
      <w:pPr>
        <w:spacing w:after="360"/>
        <w:jc w:val="center"/>
      </w:pPr>
      <w:r>
        <w:rPr>
          <w:i/>
          <w:iCs/>
        </w:rPr>
        <w:t xml:space="preserve">Legislação municipal de Miguel Alves/PI aplicável aos animais soltos em vias públicas</w:t>
      </w:r>
    </w:p>
    <w:p>
      <w:pPr>
        <w:pStyle w:val="Heading1"/>
        <w:spacing w:after="160" w:before="300"/>
      </w:pPr>
      <w:r>
        <w:t xml:space="preserve">1. Objeto e fontes</w:t>
      </w:r>
    </w:p>
    <w:p>
      <w:pPr>
        <w:spacing w:after="160" w:line="360"/>
        <w:ind w:firstLine="709"/>
        <w:jc w:val="both"/>
      </w:pPr>
      <w:r>
        <w:t xml:space="preserve">Complementa o Relatório Jurídico sobre animais soltos em vias públicas, examinando a legislação municipal de Miguel Alves/PI efetivamente consultada: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Lei Orgânica do Município (1990), com as Emendas 001/05, 001/06, 001/2011 e 003/2013;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Anteprojeto de Regimento Interno da Câmara Municipal (2025);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Lei nº 970/2025 — Código Tributário Municipal, de 29/12/2025, que revogou a Lei nº 824/2017;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Lei nº 592, de 05/06/1995 — Código de Posturas do Município (cópia juntada ao processo nº 0800795-40.2022.8.18.0061, TJPI).</w:t>
      </w:r>
    </w:p>
    <w:p>
      <w:pPr>
        <w:pStyle w:val="Heading1"/>
        <w:spacing w:after="160" w:before="300"/>
      </w:pPr>
      <w:r>
        <w:t xml:space="preserve">2. Conclusão central</w:t>
      </w:r>
    </w:p>
    <w:p>
      <w:pPr>
        <w:spacing w:after="160" w:line="360"/>
        <w:ind w:firstLine="709"/>
        <w:jc w:val="both"/>
      </w:pPr>
      <w:r>
        <w:t xml:space="preserve">O Município de Miguel Alves proíbe a permanência de animais nas vias públicas e determina seu recolhimento ao depósito municipal desde 1995 (Código de Posturas, arts. 96 a 98). A Lei Orgânica atribui-lhe essa competência privativa, e o Código Tributário de 2025 instituiu taxa específica pela apreensão, progressiva conforme a reincidência. O problema, portanto, não é ausência de lei: é o descumprimento, há três décadas, de dever legal expresso. Essa constatação fortalece pedidos administrativos, a representação ao Ministério Público e eventual ação de obrigação de fazer.</w:t>
      </w:r>
    </w:p>
    <w:p>
      <w:pPr>
        <w:pStyle w:val="Heading1"/>
        <w:spacing w:after="160" w:before="300"/>
      </w:pPr>
      <w:r>
        <w:t xml:space="preserve">3. Lei Orgânica do Município</w:t>
      </w:r>
    </w:p>
    <w:p>
      <w:pPr>
        <w:spacing w:after="160" w:line="360"/>
        <w:ind w:firstLine="709"/>
        <w:jc w:val="both"/>
      </w:pPr>
      <w:r>
        <w:t xml:space="preserve">Art. 8º — competências privativas do Município, entre as quais:</w:t>
      </w:r>
    </w:p>
    <w:p>
      <w:pPr>
        <w:spacing w:after="160" w:line="300"/>
        <w:ind w:left="2268"/>
        <w:jc w:val="both"/>
      </w:pPr>
      <w:r>
        <w:rPr>
          <w:i/>
          <w:iCs/>
          <w:sz w:val="22"/>
          <w:szCs w:val="22"/>
        </w:rPr>
        <w:t xml:space="preserve">XXVI – dispor sobre o depósito e venda de animais e mercadorias apreendidos em decorrência de transgressão da legislação municipal;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XII – regulamentar a utilização dos logradouros públicos;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XVII, “b” – construção e conservação de estradas e caminhos municipais;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XXIII – estabelecer e impor penalidades por infração de suas leis e regulamentos;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XXIV – organizar e manter os serviços de fiscalização necessários ao exercício do poder de polícia administrativa;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XXX – sinalizar as vias urbanas e as estradas municipais, bem como regulamentar e fiscalizar sua utilização;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VI – integrar consórcio com outros municípios.</w:t>
      </w:r>
    </w:p>
    <w:p>
      <w:pPr>
        <w:spacing w:after="160" w:line="360"/>
        <w:ind w:firstLine="709"/>
        <w:jc w:val="both"/>
      </w:pPr>
      <w:r>
        <w:t xml:space="preserve">Demais dispositivos relevantes: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Art. 9º, VII e XII – preservar a fauna e estabelecer e implantar política de educação para a segurança no trânsito;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Art. 150, § 1º, VII – vedação de práticas que submetam animais a crueldade;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Art. 34, § 3º – responsabilidade das pessoas jurídicas de direito público e das prestadoras de serviço pelos danos causados por seus agentes;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Art. 37, art. 42, XII, e art. 43, XI – convênios com o Estado e consórcios, mediante autorização legislativa (base para convênio com o DER/PI);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Art. 25 – dever de fornecer certidões a qualquer interessado em até 15 dias;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Art. 6º, § 1º – sanção ao agente que, em 90 dias, deixar injustificadamente de sanar omissão inviabilizadora de direito constitucional;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Arts. 44, § 2º, e 58, § 2º – pedidos escritos de informação a Secretários; recusa ou não atendimento em 30 dias configura crime de responsabilidade;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Art. 57, § 2º, II a IV – audiências públicas e recebimento de reclamações de qualquer pessoa contra omissões de autoridades;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Art. 119 – isenção tributária dos veículos de tração animal do pequeno agricultor.</w:t>
      </w:r>
    </w:p>
    <w:p>
      <w:pPr>
        <w:pStyle w:val="Heading1"/>
        <w:spacing w:after="160" w:before="300"/>
      </w:pPr>
      <w:r>
        <w:t xml:space="preserve">4. Processo legislativo</w:t>
      </w:r>
    </w:p>
    <w:tbl>
      <w:tblPr>
        <w:tblW w:type="dxa" w:w="90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64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W w:type="dxa" w:w="3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Consequência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Iniciativa geral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LOM, art. 64</w:t>
            </w:r>
          </w:p>
        </w:tc>
        <w:tc>
          <w:tcPr>
            <w:tcW w:type="dxa" w:w="3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Vereador, comissão, Prefeito e cidadãos.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Iniciativa exclusiva do Prefeito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LOM, art. 65 (cargos, servidores, criação e atribuições de secretarias e órgãos, matéria orçamentária e tributária)</w:t>
            </w:r>
          </w:p>
        </w:tc>
        <w:tc>
          <w:tcPr>
            <w:tcW w:type="dxa" w:w="3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projeto parlamentar não pode criar órgão nem taxa; o serviço de recolhimento deve ser objeto de indicação ao Executivo.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Iniciativa popular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LOM, art. 67: 5% do eleitorado, apreciação em até 60 dias</w:t>
            </w:r>
          </w:p>
        </w:tc>
        <w:tc>
          <w:tcPr>
            <w:tcW w:type="dxa" w:w="3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Prevalece sobre o anteprojeto de Regimento (art. 159), que exige 10%; os 10% da LOM (art. 62, III) referem-se apenas a emenda à Lei Orgânica.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Vedação de aumento de despesa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LOM, art. 68</w:t>
            </w:r>
          </w:p>
        </w:tc>
        <w:tc>
          <w:tcPr>
            <w:tcW w:type="dxa" w:w="3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Restrita aos projetos de iniciativa exclusiva do Prefeito e de organização da Câmara; o Regimento (art. 163, I) a estende à iniciativa popular, em aparente conflito com a LOM.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Código de Posturas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LOM, art. 63, III; Regimento, art. 160</w:t>
            </w:r>
          </w:p>
        </w:tc>
        <w:tc>
          <w:tcPr>
            <w:tcW w:type="dxa" w:w="3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Alteração exige maioria absoluta; lei ordinária própria tramita com maioria simples (LOM, art. 40).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Indicação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Regimento, arts. 169–171</w:t>
            </w:r>
          </w:p>
        </w:tc>
        <w:tc>
          <w:tcPr>
            <w:tcW w:type="dxa" w:w="3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Sugestão ao Executivo, votada na mesma sessão.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Pedido de informações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Regimento, arts. 277–279; LOM, arts. 44 e 58</w:t>
            </w:r>
          </w:p>
        </w:tc>
        <w:tc>
          <w:tcPr>
            <w:tcW w:type="dxa" w:w="3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Prazo de 15 dias (Regimento) ou 30 dias sob pena de crime de responsabilidade (LOM).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Audiência pública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Regimento, arts. 141–144</w:t>
            </w:r>
          </w:p>
        </w:tc>
        <w:tc>
          <w:tcPr>
            <w:tcW w:type="dxa" w:w="3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Requerimento de vereador aprovado pelo Plenário; participação aberta.</w:t>
            </w:r>
          </w:p>
        </w:tc>
      </w:tr>
    </w:tbl>
    <w:p>
      <w:pPr>
        <w:pStyle w:val="Heading1"/>
        <w:spacing w:after="160" w:before="300"/>
      </w:pPr>
      <w:r>
        <w:t xml:space="preserve">5. Código Tributário Municipal (Lei nº 970/2025)</w:t>
      </w:r>
    </w:p>
    <w:p>
      <w:pPr>
        <w:spacing w:after="160" w:line="360"/>
        <w:ind w:firstLine="709"/>
        <w:jc w:val="both"/>
      </w:pPr>
      <w:r>
        <w:t xml:space="preserve">A Taxa de Serviços Municipais Diversos (TSMD) tem como fato gerador, entre outros serviços:</w:t>
      </w:r>
    </w:p>
    <w:p>
      <w:pPr>
        <w:spacing w:after="160" w:line="300"/>
        <w:ind w:left="2268"/>
        <w:jc w:val="both"/>
      </w:pPr>
      <w:r>
        <w:rPr>
          <w:i/>
          <w:iCs/>
          <w:sz w:val="22"/>
          <w:szCs w:val="22"/>
        </w:rPr>
        <w:t xml:space="preserve">Art. 358. [...] I - depósito e liberação de bens, animais e mercadorias apreendidas;</w:t>
      </w:r>
    </w:p>
    <w:p>
      <w:pPr>
        <w:spacing w:after="160" w:line="360"/>
        <w:ind w:firstLine="709"/>
        <w:jc w:val="both"/>
      </w:pPr>
      <w:r>
        <w:t xml:space="preserve">O contribuinte é o proprietário, possuidor ou qualquer pessoa que requeira, promova ou tenha interesse na liberação (art. 359, I). A taxa é calculada conforme o Anexo X (art. 360) e recolhida antes da execução do serviço (art. 360, parágrafo único).</w:t>
      </w:r>
    </w:p>
    <w:p>
      <w:pPr>
        <w:spacing w:after="160" w:line="360"/>
        <w:ind w:firstLine="709"/>
        <w:jc w:val="both"/>
      </w:pPr>
      <w:r>
        <w:t xml:space="preserve">Anexo X, Tabela 1 — Depósito e liberação de bens apreendidos, por unidade (UFIR de R$ 6,00 em 2026, art. 527, § 1º):</w:t>
      </w:r>
    </w:p>
    <w:tbl>
      <w:tblPr>
        <w:tblW w:type="dxa" w:w="90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32"/>
        <w:gridCol w:w="2832"/>
      </w:tblGrid>
      <w:tr>
        <w:trPr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Apreensão do animal</w:t>
            </w:r>
          </w:p>
        </w:tc>
        <w:tc>
          <w:tcPr>
            <w:tcW w:type="dxa" w:w="2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Pequeno porte</w:t>
            </w:r>
          </w:p>
        </w:tc>
        <w:tc>
          <w:tcPr>
            <w:tcW w:type="dxa" w:w="2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Grande porte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1ª vez</w:t>
            </w:r>
          </w:p>
        </w:tc>
        <w:tc>
          <w:tcPr>
            <w:tcW w:type="dxa" w:w="2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UFIR (R$ 36,00)</w:t>
            </w:r>
          </w:p>
        </w:tc>
        <w:tc>
          <w:tcPr>
            <w:tcW w:type="dxa" w:w="2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UFIR (R$ 72,00)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2ª vez</w:t>
            </w:r>
          </w:p>
        </w:tc>
        <w:tc>
          <w:tcPr>
            <w:tcW w:type="dxa" w:w="2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UFIR (R$ 72,00)</w:t>
            </w:r>
          </w:p>
        </w:tc>
        <w:tc>
          <w:tcPr>
            <w:tcW w:type="dxa" w:w="2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 UFIR (R$ 150,00)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3ª vez</w:t>
            </w:r>
          </w:p>
        </w:tc>
        <w:tc>
          <w:tcPr>
            <w:tcW w:type="dxa" w:w="2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UFIR (R$ 120,00)</w:t>
            </w:r>
          </w:p>
        </w:tc>
        <w:tc>
          <w:tcPr>
            <w:tcW w:type="dxa" w:w="28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 UFIR (R$ 240,00)</w:t>
            </w:r>
          </w:p>
        </w:tc>
      </w:tr>
    </w:tbl>
    <w:p>
      <w:pPr>
        <w:spacing w:after="160" w:line="360"/>
        <w:ind w:firstLine="709"/>
        <w:jc w:val="both"/>
      </w:pPr>
      <w:r>
        <w:t xml:space="preserve">A lei foi publicada em 29/12/2025 e produz efeitos 90 dias após a publicação (art. 529), atendidas as anterioridades anual e nonagesimal; a taxa é exigível desde o fim de março de 2026. O art. 528 determinou a regulamentação em 120 dias. O art. 359, V, menciona “agentes de trânsito” municipais, o que sugere a existência de estrutura de trânsito local.</w:t>
      </w:r>
    </w:p>
    <w:p>
      <w:pPr>
        <w:spacing w:after="160" w:line="360"/>
        <w:ind w:firstLine="709"/>
        <w:jc w:val="both"/>
      </w:pPr>
      <w:r>
        <w:t xml:space="preserve">Lacunas identificadas no Código Tributário: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não define as hipóteses em que o animal pode ser apreendido — matéria do Código de Posturas ou de lei própria;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não prevê valores para remoção, transporte ou diárias de guarda;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não disciplina a destinação de animais não resgatados (os arts. 475–476, sobre leilão, referem-se a bens retidos em fiscalização tributária);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o art. 385 (preço público) não inclui serviços de recolhimento de animais, embora seu § 2º admita a inclusão de outros serviços.</w:t>
      </w:r>
    </w:p>
    <w:p>
      <w:pPr>
        <w:pStyle w:val="Heading1"/>
        <w:spacing w:after="160" w:before="300"/>
      </w:pPr>
      <w:r>
        <w:t xml:space="preserve">6. Código de Posturas (Lei nº 592/1995)</w:t>
      </w:r>
    </w:p>
    <w:p>
      <w:pPr>
        <w:spacing w:after="160" w:line="300"/>
        <w:ind w:left="2268"/>
        <w:jc w:val="both"/>
      </w:pPr>
      <w:r>
        <w:rPr>
          <w:i/>
          <w:iCs/>
          <w:sz w:val="22"/>
          <w:szCs w:val="22"/>
        </w:rPr>
        <w:t xml:space="preserve">Art. 96 – É proibida a permanência de animais nas vias públicas.</w:t>
      </w:r>
    </w:p>
    <w:p>
      <w:pPr>
        <w:spacing w:after="160" w:line="300"/>
        <w:ind w:left="2268"/>
        <w:jc w:val="both"/>
      </w:pPr>
      <w:r>
        <w:rPr>
          <w:i/>
          <w:iCs/>
          <w:sz w:val="22"/>
          <w:szCs w:val="22"/>
        </w:rPr>
        <w:t xml:space="preserve">Art. 97 – Os animais encontrados nas ruas, praças, estradas ou caminhos públicos, serão recolhidos ao depósito da Municipalidade.</w:t>
      </w:r>
    </w:p>
    <w:p>
      <w:pPr>
        <w:spacing w:after="160" w:line="300"/>
        <w:ind w:left="2268"/>
        <w:jc w:val="both"/>
      </w:pPr>
      <w:r>
        <w:rPr>
          <w:i/>
          <w:iCs/>
          <w:sz w:val="22"/>
          <w:szCs w:val="22"/>
        </w:rPr>
        <w:t xml:space="preserve">Art. 98 – O animal recolhido em virtude do disposto neste capítulo deverá ser retirado dentro do prazo máximo de 7 (sete) dias, mediante pagamento da multa e da taxa de manutenção respectiva. Parágrafo único – Não sendo retirado o animal nesse prazo, deverá a Prefeitura efetuar a sua venda em hasta pública, precedida da necessária publicação.</w:t>
      </w:r>
    </w:p>
    <w:p>
      <w:pPr>
        <w:spacing w:after="160" w:line="360"/>
        <w:ind w:firstLine="709"/>
        <w:jc w:val="both"/>
      </w:pPr>
      <w:r>
        <w:t xml:space="preserve">Outros dispositivos relevantes: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Art. 2º – compete ao Prefeito e aos servidores cumprir e fazer cumprir o Código;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Art. 5º – é também infrator o encarregado da execução que, tendo conhecimento da infração, deixar de autuar o infrator;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Art. 16 – qualquer pessoa pode levar a infração ao conhecimento do Prefeito, com prova ou testemunhas, para lavratura do auto;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Art. 108, parágrafo único – nas infrações do capítulo sobre animais, qualquer pessoa poderá autuar os infratores, com auto assinado por duas testemunhas e enviado à Prefeitura;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Arts. 94, IV e V, 99, 100 e 104 – proibição de amarrar animais em postes e de mantê-los em passeios, de criar porcos e gado no perímetro urbano e de passagem de rebanhos pela cidade;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Art. 107, X – proibição de abandonar animais doentes, extenuados ou feridos;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Arts. 146, parágrafo único, e 147 – dever do proprietário de cercar terrenos destinados à pecuária (arame farpado com três fios e 1,40 m, cerca viva ou tela de 1,50 m);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Art. 9º – multas em dobro na reincidência; art. 108 – multa de 200% do “valor de referência vigente”;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Art. 101, §§ 1º e 2º – sacrifício de cães não retirados, incompatível com a Lei Federal nº 14.228/2021.</w:t>
      </w:r>
    </w:p>
    <w:p>
      <w:pPr>
        <w:spacing w:after="160" w:line="360"/>
        <w:ind w:firstLine="709"/>
        <w:jc w:val="both"/>
      </w:pPr>
      <w:r>
        <w:t xml:space="preserve">Problema das multas: o art. 171 do Código de Posturas define o “valor de referência vigente” como o do Código Tributário Municipal. O Código Tributário de 2025 revogou o anterior e não define valor de referência, adotando apenas a UFIR (R$ 6,00). A base de cálculo das multas ficou indeterminada; se aplicada a UFIR, a multa do art. 108 seria de cerca de R$ 12,00.</w:t>
      </w:r>
    </w:p>
    <w:p>
      <w:pPr>
        <w:spacing w:after="160" w:line="360"/>
        <w:ind w:firstLine="709"/>
        <w:jc w:val="both"/>
      </w:pPr>
      <w:r>
        <w:t xml:space="preserve">Quórum: a alteração do Código de Posturas exige maioria absoluta (Lei Orgânica, art. 63, III) e tramitação de lei complementar em duas discussões (Regimento, art. 160, III).</w:t>
      </w:r>
    </w:p>
    <w:p>
      <w:pPr>
        <w:pStyle w:val="Heading1"/>
        <w:spacing w:after="160" w:before="300"/>
      </w:pPr>
      <w:r>
        <w:t xml:space="preserve">7. Consequências para a estratégia</w:t>
      </w:r>
    </w:p>
    <w:p>
      <w:pPr>
        <w:pStyle w:val="ListParagraph"/>
        <w:numPr>
          <w:ilvl w:val="0"/>
          <w:numId w:val="3"/>
        </w:numPr>
        <w:spacing w:after="80" w:line="320"/>
        <w:jc w:val="both"/>
      </w:pPr>
      <w:r>
        <w:t xml:space="preserve">Argumento central: o Município proíbe animais nas vias e determina seu recolhimento desde 1995 (Código de Posturas, arts. 96 e 97), tem competência expressa (LOM, art. 8º, XXVI) e instituiu taxa pelo serviço (CTM, art. 358, I, e Anexo X); a ausência de apreensões efetivas caracteriza omissão específica, relevante para a responsabilidade civil (seção 3 do Relatório) e para eventual ação de obrigação de fazer.</w:t>
      </w:r>
    </w:p>
    <w:p>
      <w:pPr>
        <w:pStyle w:val="ListParagraph"/>
        <w:numPr>
          <w:ilvl w:val="0"/>
          <w:numId w:val="3"/>
        </w:numPr>
        <w:spacing w:after="80" w:line="320"/>
        <w:jc w:val="both"/>
      </w:pPr>
      <w:r>
        <w:t xml:space="preserve">Pedido de informações e certidão (LOM, art. 25; Lei nº 12.527/2011) sobre: número de apreensões desde março de 2026; arrecadação da TSMD referente a animais; órgão responsável e local de depósito; norma que define as hipóteses de apreensão; regulamento do art. 528; destinação dos animais não resgatados.</w:t>
      </w:r>
    </w:p>
    <w:p>
      <w:pPr>
        <w:pStyle w:val="ListParagraph"/>
        <w:numPr>
          <w:ilvl w:val="0"/>
          <w:numId w:val="3"/>
        </w:numPr>
        <w:spacing w:after="80" w:line="320"/>
        <w:jc w:val="both"/>
      </w:pPr>
      <w:r>
        <w:t xml:space="preserve">Projeto de lei complementar (popular ou parlamentar) que atualize o Capítulo V do Código de Posturas: procedimento de apreensão, multas em UFIR, destinação e revogação do sacrifício de cães, com remissão à TSMD, sem criar tributo nem órgão, aprovado por maioria absoluta.</w:t>
      </w:r>
    </w:p>
    <w:p>
      <w:pPr>
        <w:pStyle w:val="ListParagraph"/>
        <w:numPr>
          <w:ilvl w:val="0"/>
          <w:numId w:val="3"/>
        </w:numPr>
        <w:spacing w:after="80" w:line="320"/>
        <w:jc w:val="both"/>
      </w:pPr>
      <w:r>
        <w:t xml:space="preserve">Uso imediato do Código de Posturas: comunicação formal de infrações (art. 16) e autuação por qualquer pessoa com duas testemunhas (art. 108, parágrafo único), gerando prova documental da omissão administrativa.</w:t>
      </w:r>
    </w:p>
    <w:p>
      <w:pPr>
        <w:pStyle w:val="ListParagraph"/>
        <w:numPr>
          <w:ilvl w:val="0"/>
          <w:numId w:val="3"/>
        </w:numPr>
        <w:spacing w:after="80" w:line="320"/>
        <w:jc w:val="both"/>
      </w:pPr>
      <w:r>
        <w:t xml:space="preserve">Indicação ao Prefeito para estruturar o serviço de recolhimento e o depósito, regulamentar a TSMD de animais, incluir remoção e diárias e firmar convênio com o DER/PI.</w:t>
      </w:r>
    </w:p>
    <w:p>
      <w:pPr>
        <w:pStyle w:val="ListParagraph"/>
        <w:numPr>
          <w:ilvl w:val="0"/>
          <w:numId w:val="3"/>
        </w:numPr>
        <w:spacing w:after="80" w:line="320"/>
        <w:jc w:val="both"/>
      </w:pPr>
      <w:r>
        <w:t xml:space="preserve">Iniciativa popular com 5% do eleitorado (LOM, art. 67).</w:t>
      </w:r>
    </w:p>
    <w:p>
      <w:pPr>
        <w:pStyle w:val="Heading1"/>
        <w:spacing w:after="160" w:before="300"/>
      </w:pPr>
      <w:r>
        <w:t xml:space="preserve">8. Pendências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verificar se a Lei nº 592/1995 sofreu alterações posteriores e se há outras leis municipais sobre animais;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confirmar se o anteprojeto de Regimento Interno de 2025 foi aprovado e se há emendas à Lei Orgânica posteriores a 2013;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verificar se foi editado o decreto regulamentar do Código Tributário (art. 528) e o decreto da UFIR de 2026.</w:t>
      </w:r>
    </w:p>
    <w:p>
      <w:pPr>
        <w:spacing w:before="240"/>
        <w:jc w:val="both"/>
      </w:pPr>
      <w:r>
        <w:rPr>
          <w:i/>
          <w:iCs/>
        </w:rPr>
        <w:t xml:space="preserve">Textos extraídos dos documentos fornecidos; a Lei Orgânica foi lida a partir de cópia digitalizada. Confira a redação oficial vigente antes do uso profissional.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2026-10-27T19:30:19.399Z</dcterms:created>
  <dcterms:modified xsi:type="dcterms:W3CDTF">2026-10-27T19:30:19.399Z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