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Lora-bold.ttf" ContentType="application/x-font-ttf"/>
  <Override PartName="/word/fonts/Lora-boldItalic.ttf" ContentType="application/x-font-ttf"/>
  <Override PartName="/word/fonts/Lora-italic.ttf" ContentType="application/x-font-ttf"/>
  <Override PartName="/word/fonts/Lora-regular.ttf" ContentType="application/x-font-ttf"/>
  <Override PartName="/word/fonts/LoraMedium-bold.ttf" ContentType="application/x-font-ttf"/>
  <Override PartName="/word/fonts/LoraMedium-boldItalic.ttf" ContentType="application/x-font-ttf"/>
  <Override PartName="/word/fonts/LoraMedium-italic.ttf" ContentType="application/x-font-ttf"/>
  <Override PartName="/word/fonts/LoraMedium-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360" w:lineRule="auto"/>
        <w:jc w:val="both"/>
        <w:rPr/>
      </w:pPr>
      <w:r w:rsidDel="00000000" w:rsidR="00000000" w:rsidRPr="00000000">
        <w:rPr>
          <w:rFonts w:ascii="Lora Medium" w:cs="Lora Medium" w:eastAsia="Lora Medium" w:hAnsi="Lora Medium"/>
          <w:b w:val="1"/>
          <w:bCs w:val="1"/>
          <w:rtl w:val="0"/>
        </w:rPr>
        <w:t xml:space="preserve">EXCELENTÍSSIMO SENHOR DESEMBARGADOR FERNANDO LOPES E SILVA NETO, RELATOR DO AGRAVO DE INSTRUMENTO, DO EGRÉGIO TRIBUNAL DE JUSTIÇA DO ESTADO DO PIAUÍ.</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0" w:line="360" w:lineRule="auto"/>
        <w:rPr/>
      </w:pPr>
      <w:r w:rsidDel="00000000" w:rsidR="00000000" w:rsidRPr="00000000">
        <w:rPr>
          <w:rFonts w:ascii="Lora Medium" w:cs="Lora Medium" w:eastAsia="Lora Medium" w:hAnsi="Lora Medium"/>
          <w:b w:val="1"/>
          <w:bCs w:val="1"/>
          <w:rtl w:val="0"/>
        </w:rPr>
        <w:t xml:space="preserve">Agravo de Instrumento nº 0763031-67.2026.8.18.0000</w:t>
      </w:r>
      <w:r w:rsidDel="00000000" w:rsidR="00000000" w:rsidRPr="00000000">
        <w:rPr>
          <w:rtl w:val="0"/>
        </w:rPr>
      </w:r>
    </w:p>
    <w:p w:rsidR="00000000" w:rsidDel="00000000" w:rsidP="00000000" w:rsidRDefault="00000000" w:rsidRPr="00000000" w14:paraId="00000004">
      <w:pPr>
        <w:spacing w:after="0" w:line="360" w:lineRule="auto"/>
        <w:rPr/>
      </w:pPr>
      <w:r w:rsidDel="00000000" w:rsidR="00000000" w:rsidRPr="00000000">
        <w:rPr>
          <w:rFonts w:ascii="Lora Medium" w:cs="Lora Medium" w:eastAsia="Lora Medium" w:hAnsi="Lora Medium"/>
          <w:rtl w:val="0"/>
        </w:rPr>
        <w:t xml:space="preserve">Processo de origem: 0800122-42.2025.8.18.0061 – Vara Única da Comarca de Miguel Alves/PI</w:t>
      </w:r>
      <w:r w:rsidDel="00000000" w:rsidR="00000000" w:rsidRPr="00000000">
        <w:rPr>
          <w:rtl w:val="0"/>
        </w:rPr>
      </w:r>
    </w:p>
    <w:p w:rsidR="00000000" w:rsidDel="00000000" w:rsidP="00000000" w:rsidRDefault="00000000" w:rsidRPr="00000000" w14:paraId="00000005">
      <w:pPr>
        <w:spacing w:after="0" w:line="360" w:lineRule="auto"/>
        <w:rPr/>
      </w:pPr>
      <w:r w:rsidDel="00000000" w:rsidR="00000000" w:rsidRPr="00000000">
        <w:rPr>
          <w:rFonts w:ascii="Lora Medium" w:cs="Lora Medium" w:eastAsia="Lora Medium" w:hAnsi="Lora Medium"/>
          <w:rtl w:val="0"/>
        </w:rPr>
        <w:t xml:space="preserve">Agravante: BANCO PAN S.A.</w:t>
      </w:r>
      <w:r w:rsidDel="00000000" w:rsidR="00000000" w:rsidRPr="00000000">
        <w:rPr>
          <w:rtl w:val="0"/>
        </w:rPr>
      </w:r>
    </w:p>
    <w:p w:rsidR="00000000" w:rsidDel="00000000" w:rsidP="00000000" w:rsidRDefault="00000000" w:rsidRPr="00000000" w14:paraId="00000006">
      <w:pPr>
        <w:spacing w:after="60" w:line="360" w:lineRule="auto"/>
        <w:rPr/>
      </w:pPr>
      <w:r w:rsidDel="00000000" w:rsidR="00000000" w:rsidRPr="00000000">
        <w:rPr>
          <w:rFonts w:ascii="Lora Medium" w:cs="Lora Medium" w:eastAsia="Lora Medium" w:hAnsi="Lora Medium"/>
          <w:rtl w:val="0"/>
        </w:rPr>
        <w:t xml:space="preserve">Agravada: FRANCISCA SOUSA DA SILVA (falecida), representada por seus sucessores</w:t>
      </w: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after="60" w:line="360" w:lineRule="auto"/>
        <w:ind w:firstLine="850"/>
        <w:jc w:val="both"/>
        <w:rPr>
          <w:rFonts w:ascii="Lora Medium" w:cs="Lora Medium" w:eastAsia="Lora Medium" w:hAnsi="Lora Medium"/>
        </w:rPr>
      </w:pPr>
      <w:r w:rsidDel="00000000" w:rsidR="00000000" w:rsidRPr="00000000">
        <w:rPr>
          <w:rFonts w:ascii="Lora Medium" w:cs="Lora Medium" w:eastAsia="Lora Medium" w:hAnsi="Lora Medium"/>
          <w:b w:val="1"/>
          <w:bCs w:val="1"/>
          <w:rtl w:val="0"/>
        </w:rPr>
        <w:t xml:space="preserve">MANOEL LOPES DA SILVA</w:t>
      </w:r>
      <w:r w:rsidDel="00000000" w:rsidR="00000000" w:rsidRPr="00000000">
        <w:rPr>
          <w:rFonts w:ascii="Lora Medium" w:cs="Lora Medium" w:eastAsia="Lora Medium" w:hAnsi="Lora Medium"/>
          <w:rtl w:val="0"/>
        </w:rPr>
        <w:t xml:space="preserve">, </w:t>
      </w:r>
      <w:r w:rsidDel="00000000" w:rsidR="00000000" w:rsidRPr="00000000">
        <w:rPr>
          <w:rFonts w:ascii="Lora Medium" w:cs="Lora Medium" w:eastAsia="Lora Medium" w:hAnsi="Lora Medium"/>
          <w:b w:val="1"/>
          <w:bCs w:val="1"/>
          <w:rtl w:val="0"/>
        </w:rPr>
        <w:t xml:space="preserve">JAILENE SOUSA SILVA RODRIGUES</w:t>
      </w:r>
      <w:r w:rsidDel="00000000" w:rsidR="00000000" w:rsidRPr="00000000">
        <w:rPr>
          <w:rFonts w:ascii="Lora Medium" w:cs="Lora Medium" w:eastAsia="Lora Medium" w:hAnsi="Lora Medium"/>
          <w:rtl w:val="0"/>
        </w:rPr>
        <w:t xml:space="preserve">, </w:t>
      </w:r>
      <w:r w:rsidDel="00000000" w:rsidR="00000000" w:rsidRPr="00000000">
        <w:rPr>
          <w:rFonts w:ascii="Lora Medium" w:cs="Lora Medium" w:eastAsia="Lora Medium" w:hAnsi="Lora Medium"/>
          <w:b w:val="1"/>
          <w:bCs w:val="1"/>
          <w:rtl w:val="0"/>
        </w:rPr>
        <w:t xml:space="preserve">JOEL CARLOS SOUSA SILVA</w:t>
      </w:r>
      <w:r w:rsidDel="00000000" w:rsidR="00000000" w:rsidRPr="00000000">
        <w:rPr>
          <w:rFonts w:ascii="Lora Medium" w:cs="Lora Medium" w:eastAsia="Lora Medium" w:hAnsi="Lora Medium"/>
          <w:rtl w:val="0"/>
        </w:rPr>
        <w:t xml:space="preserve">, </w:t>
      </w:r>
      <w:r w:rsidDel="00000000" w:rsidR="00000000" w:rsidRPr="00000000">
        <w:rPr>
          <w:rFonts w:ascii="Lora Medium" w:cs="Lora Medium" w:eastAsia="Lora Medium" w:hAnsi="Lora Medium"/>
          <w:b w:val="1"/>
          <w:bCs w:val="1"/>
          <w:rtl w:val="0"/>
        </w:rPr>
        <w:t xml:space="preserve">GEAN CARLOS SOUSA SILVA</w:t>
      </w:r>
      <w:r w:rsidDel="00000000" w:rsidR="00000000" w:rsidRPr="00000000">
        <w:rPr>
          <w:rFonts w:ascii="Lora Medium" w:cs="Lora Medium" w:eastAsia="Lora Medium" w:hAnsi="Lora Medium"/>
          <w:rtl w:val="0"/>
        </w:rPr>
        <w:t xml:space="preserve"> e </w:t>
      </w:r>
      <w:r w:rsidDel="00000000" w:rsidR="00000000" w:rsidRPr="00000000">
        <w:rPr>
          <w:rFonts w:ascii="Lora Medium" w:cs="Lora Medium" w:eastAsia="Lora Medium" w:hAnsi="Lora Medium"/>
          <w:b w:val="1"/>
          <w:bCs w:val="1"/>
          <w:rtl w:val="0"/>
        </w:rPr>
        <w:t xml:space="preserve">JANAÍNA DE SOUSA SILVA</w:t>
      </w:r>
      <w:r w:rsidDel="00000000" w:rsidR="00000000" w:rsidRPr="00000000">
        <w:rPr>
          <w:rFonts w:ascii="Lora Medium" w:cs="Lora Medium" w:eastAsia="Lora Medium" w:hAnsi="Lora Medium"/>
          <w:rtl w:val="0"/>
        </w:rPr>
        <w:t xml:space="preserve">, sucessores da agravada </w:t>
      </w:r>
      <w:r w:rsidDel="00000000" w:rsidR="00000000" w:rsidRPr="00000000">
        <w:rPr>
          <w:rFonts w:ascii="Lora Medium" w:cs="Lora Medium" w:eastAsia="Lora Medium" w:hAnsi="Lora Medium"/>
          <w:b w:val="1"/>
          <w:bCs w:val="1"/>
          <w:rtl w:val="0"/>
        </w:rPr>
        <w:t xml:space="preserve">FRANCISCA SOUSA DA SILVA</w:t>
      </w:r>
      <w:r w:rsidDel="00000000" w:rsidR="00000000" w:rsidRPr="00000000">
        <w:rPr>
          <w:rFonts w:ascii="Lora Medium" w:cs="Lora Medium" w:eastAsia="Lora Medium" w:hAnsi="Lora Medium"/>
          <w:rtl w:val="0"/>
        </w:rPr>
        <w:t xml:space="preserve">, cuja habilitação foi requerida na origem (ID 107118300) e nestes autos, vêm, respeitosamente, por intermédio de seu advogado, com fundamento no art. 1.019, II, do Código de Processo Civil, apresentar</w:t>
      </w:r>
      <w:r w:rsidDel="00000000" w:rsidR="00000000" w:rsidRPr="00000000">
        <w:rPr>
          <w:rtl w:val="0"/>
        </w:rPr>
        <w:t xml:space="preserve"> </w:t>
      </w:r>
      <w:r w:rsidDel="00000000" w:rsidR="00000000" w:rsidRPr="00000000">
        <w:rPr>
          <w:rFonts w:ascii="Lora Medium" w:cs="Lora Medium" w:eastAsia="Lora Medium" w:hAnsi="Lora Medium"/>
          <w:b w:val="1"/>
          <w:bCs w:val="1"/>
          <w:rtl w:val="0"/>
        </w:rPr>
        <w:t xml:space="preserve">CONTRARRAZÕES AO AGRAVO DE INSTRUMENTO</w:t>
      </w:r>
      <w:r w:rsidDel="00000000" w:rsidR="00000000" w:rsidRPr="00000000">
        <w:rPr>
          <w:rtl w:val="0"/>
        </w:rPr>
        <w:t xml:space="preserve"> </w:t>
      </w:r>
      <w:r w:rsidDel="00000000" w:rsidR="00000000" w:rsidRPr="00000000">
        <w:rPr>
          <w:rFonts w:ascii="Lora Medium" w:cs="Lora Medium" w:eastAsia="Lora Medium" w:hAnsi="Lora Medium"/>
          <w:rtl w:val="0"/>
        </w:rPr>
        <w:t xml:space="preserve">interposto por </w:t>
      </w:r>
      <w:r w:rsidDel="00000000" w:rsidR="00000000" w:rsidRPr="00000000">
        <w:rPr>
          <w:rFonts w:ascii="Lora Medium" w:cs="Lora Medium" w:eastAsia="Lora Medium" w:hAnsi="Lora Medium"/>
          <w:b w:val="1"/>
          <w:bCs w:val="1"/>
          <w:rtl w:val="0"/>
        </w:rPr>
        <w:t xml:space="preserve">BANCO PAN S.A.</w:t>
      </w:r>
      <w:r w:rsidDel="00000000" w:rsidR="00000000" w:rsidRPr="00000000">
        <w:rPr>
          <w:rFonts w:ascii="Lora Medium" w:cs="Lora Medium" w:eastAsia="Lora Medium" w:hAnsi="Lora Medium"/>
          <w:rtl w:val="0"/>
        </w:rPr>
        <w:t xml:space="preserve">, pelos fatos e fundamentos a seguir expostos.</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keepNext w:val="1"/>
        <w:shd w:fill="123bb8" w:val="clear"/>
        <w:tabs>
          <w:tab w:val="left" w:leader="none" w:pos="1000"/>
        </w:tabs>
        <w:spacing w:after="0" w:before="0" w:line="240" w:lineRule="auto"/>
        <w:ind w:left="0" w:firstLine="0"/>
        <w:rPr/>
      </w:pPr>
      <w:r w:rsidDel="00000000" w:rsidR="00000000" w:rsidRPr="00000000">
        <w:rPr>
          <w:rFonts w:ascii="Lora Medium" w:cs="Lora Medium" w:eastAsia="Lora Medium" w:hAnsi="Lora Medium"/>
          <w:b w:val="1"/>
          <w:bCs w:val="1"/>
          <w:i w:val="1"/>
          <w:iCs w:val="1"/>
          <w:color w:val="ffffff"/>
          <w:rtl w:val="0"/>
        </w:rPr>
        <w:tab/>
        <w:t xml:space="preserve">DA TEMPESTIVIDADE</w:t>
      </w:r>
      <w:r w:rsidDel="00000000" w:rsidR="00000000" w:rsidRPr="00000000">
        <w:rPr>
          <w:rtl w:val="0"/>
        </w:rPr>
      </w:r>
    </w:p>
    <w:p w:rsidR="00000000" w:rsidDel="00000000" w:rsidP="00000000" w:rsidRDefault="00000000" w:rsidRPr="00000000" w14:paraId="0000000B">
      <w:pPr>
        <w:spacing w:after="60" w:line="360" w:lineRule="auto"/>
        <w:ind w:firstLine="850"/>
        <w:jc w:val="both"/>
        <w:rPr>
          <w:rFonts w:ascii="Lora Medium" w:cs="Lora Medium" w:eastAsia="Lora Medium" w:hAnsi="Lora Medium"/>
        </w:rPr>
      </w:pPr>
      <w:r w:rsidDel="00000000" w:rsidR="00000000" w:rsidRPr="00000000">
        <w:rPr>
          <w:rtl w:val="0"/>
        </w:rPr>
      </w:r>
    </w:p>
    <w:p w:rsidR="00000000" w:rsidDel="00000000" w:rsidP="00000000" w:rsidRDefault="00000000" w:rsidRPr="00000000" w14:paraId="0000000C">
      <w:pPr>
        <w:spacing w:after="60" w:line="360" w:lineRule="auto"/>
        <w:ind w:firstLine="850"/>
        <w:jc w:val="both"/>
        <w:rPr/>
      </w:pPr>
      <w:r w:rsidDel="00000000" w:rsidR="00000000" w:rsidRPr="00000000">
        <w:rPr>
          <w:rFonts w:ascii="Lora Medium" w:cs="Lora Medium" w:eastAsia="Lora Medium" w:hAnsi="Lora Medium"/>
          <w:rtl w:val="0"/>
        </w:rPr>
        <w:t xml:space="preserve">O prazo para contrarrazões ainda não começou a correr. A agravada faleceu em 16/07/2026, o que suspendeu o processo (art. 313, I, do CPC). Além disso, a carta de intimação enviada pelo Tribunal retornou sem cumprimento, com a anotação “destinatário desconhecido no endereço” (ID 37150869).</w:t>
      </w:r>
      <w:r w:rsidDel="00000000" w:rsidR="00000000" w:rsidRPr="00000000">
        <w:rPr>
          <w:rtl w:val="0"/>
        </w:rPr>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O Superior Tribunal de Justiça reconhece a nulidade dos atos praticados sem a suspensão do processo após a morte da parte quando há prejuízo aos interessados. É o caso dos autos, pois a tutela recursal foi deferida sem que a agravada pudesse se manifestar.</w:t>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 1. Segundo jurisprudência desta Corte Superior, se demonstrado efetivo prejuízo aos interessados, deverá ser declarada a nulidade dos atos processuais por falta de suspensão do feito a partir da morte da parte, em razão de inobservância do art. 313, I, do CPC, tal como ocorreu na hipótese dos autos. 2. Agravo interno desprovido. (STJ, AgInt no REsp 1.986.188/MG, Quarta Turma, julgado em 30/05/2022, DJe 02/06/2022)</w:t>
      </w:r>
    </w:p>
    <w:p w:rsidR="00000000" w:rsidDel="00000000" w:rsidP="00000000" w:rsidRDefault="00000000" w:rsidRPr="00000000" w14:paraId="0000000D">
      <w:pPr>
        <w:spacing w:after="60" w:line="360" w:lineRule="auto"/>
        <w:ind w:firstLine="850"/>
        <w:jc w:val="both"/>
        <w:rPr/>
      </w:pPr>
      <w:r w:rsidDel="00000000" w:rsidR="00000000" w:rsidRPr="00000000">
        <w:rPr>
          <w:rFonts w:ascii="Lora Medium" w:cs="Lora Medium" w:eastAsia="Lora Medium" w:hAnsi="Lora Medium"/>
          <w:rtl w:val="0"/>
        </w:rPr>
        <w:t xml:space="preserve">Os sucessores apresentam desde logo estas contrarrazões, em atenção à celeridade, </w:t>
      </w:r>
      <w:r w:rsidDel="00000000" w:rsidR="00000000" w:rsidRPr="00000000">
        <w:rPr>
          <w:rFonts w:ascii="Lora Medium" w:cs="Lora Medium" w:eastAsia="Lora Medium" w:hAnsi="Lora Medium"/>
          <w:b w:val="1"/>
          <w:bCs w:val="1"/>
          <w:u w:val="single"/>
          <w:shd w:fill="cfe2f3" w:val="clear"/>
          <w:rtl w:val="0"/>
        </w:rPr>
        <w:t xml:space="preserve">sem renunciar à restituição integral do prazo</w:t>
      </w:r>
      <w:r w:rsidDel="00000000" w:rsidR="00000000" w:rsidRPr="00000000">
        <w:rPr>
          <w:rFonts w:ascii="Lora Medium" w:cs="Lora Medium" w:eastAsia="Lora Medium" w:hAnsi="Lora Medium"/>
          <w:rtl w:val="0"/>
        </w:rPr>
        <w:t xml:space="preserve"> requerida na comunicação de óbito, que lhes permite complementá-las, se necessário, após a habilitação (art. 221 do CPC).</w:t>
      </w:r>
      <w:r w:rsidDel="00000000" w:rsidR="00000000" w:rsidRPr="00000000">
        <w:rPr>
          <w:rtl w:val="0"/>
        </w:rPr>
      </w:r>
    </w:p>
    <w:p w:rsidR="00000000" w:rsidDel="00000000" w:rsidP="00000000" w:rsidRDefault="00000000" w:rsidRPr="00000000" w14:paraId="0000000E">
      <w:pPr>
        <w:keepNext w:val="1"/>
        <w:shd w:fill="123bb8" w:val="clear"/>
        <w:tabs>
          <w:tab w:val="left" w:leader="none" w:pos="1000"/>
        </w:tabs>
        <w:spacing w:after="0" w:before="0" w:line="240" w:lineRule="auto"/>
        <w:ind w:left="0" w:firstLine="0"/>
        <w:rPr/>
      </w:pPr>
      <w:r w:rsidDel="00000000" w:rsidR="00000000" w:rsidRPr="00000000">
        <w:rPr>
          <w:rFonts w:ascii="Lora Medium" w:cs="Lora Medium" w:eastAsia="Lora Medium" w:hAnsi="Lora Medium"/>
          <w:b w:val="1"/>
          <w:bCs w:val="1"/>
          <w:i w:val="1"/>
          <w:iCs w:val="1"/>
          <w:color w:val="ffffff"/>
          <w:rtl w:val="0"/>
        </w:rPr>
        <w:tab/>
        <w:t xml:space="preserve">SÍNTESE DO PROCESSO</w:t>
      </w:r>
      <w:r w:rsidDel="00000000" w:rsidR="00000000" w:rsidRPr="00000000">
        <w:rPr>
          <w:rtl w:val="0"/>
        </w:rPr>
      </w:r>
    </w:p>
    <w:p w:rsidR="00000000" w:rsidDel="00000000" w:rsidP="00000000" w:rsidRDefault="00000000" w:rsidRPr="00000000" w14:paraId="0000000F">
      <w:pPr>
        <w:spacing w:after="60" w:line="360" w:lineRule="auto"/>
        <w:ind w:firstLine="850"/>
        <w:jc w:val="both"/>
        <w:rPr>
          <w:rFonts w:ascii="Lora Medium" w:cs="Lora Medium" w:eastAsia="Lora Medium" w:hAnsi="Lora Medium"/>
        </w:rPr>
      </w:pPr>
      <w:r w:rsidDel="00000000" w:rsidR="00000000" w:rsidRPr="00000000">
        <w:rPr>
          <w:rtl w:val="0"/>
        </w:rPr>
      </w:r>
    </w:p>
    <w:p w:rsidR="00000000" w:rsidDel="00000000" w:rsidP="00000000" w:rsidRDefault="00000000" w:rsidRPr="00000000" w14:paraId="00000010">
      <w:pPr>
        <w:spacing w:after="60" w:line="360" w:lineRule="auto"/>
        <w:ind w:firstLine="850"/>
        <w:jc w:val="both"/>
        <w:rPr/>
      </w:pPr>
      <w:r w:rsidDel="00000000" w:rsidR="00000000" w:rsidRPr="00000000">
        <w:rPr>
          <w:rFonts w:ascii="Lora Medium" w:cs="Lora Medium" w:eastAsia="Lora Medium" w:hAnsi="Lora Medium"/>
          <w:rtl w:val="0"/>
        </w:rPr>
        <w:t xml:space="preserve">A Sra. Francisca, idosa e em tratamento contra o câncer, sofreu descontos de dois empréstimos consignados que nunca contratou. A sentença declarou a inexistência dos contratos e condenou o banco à repetição do indébito em dobro. Ela transitou em julgado em 08/12/2025.</w:t>
      </w:r>
      <w:r w:rsidDel="00000000" w:rsidR="00000000" w:rsidRPr="00000000">
        <w:rPr>
          <w:rtl w:val="0"/>
        </w:rPr>
      </w:r>
    </w:p>
    <w:p w:rsidR="00000000" w:rsidDel="00000000" w:rsidP="00000000" w:rsidRDefault="00000000" w:rsidRPr="00000000" w14:paraId="00000011">
      <w:pPr>
        <w:spacing w:after="60" w:line="360" w:lineRule="auto"/>
        <w:ind w:firstLine="850"/>
        <w:jc w:val="both"/>
        <w:rPr/>
      </w:pPr>
      <w:r w:rsidDel="00000000" w:rsidR="00000000" w:rsidRPr="00000000">
        <w:rPr>
          <w:rFonts w:ascii="Lora Medium" w:cs="Lora Medium" w:eastAsia="Lora Medium" w:hAnsi="Lora Medium"/>
          <w:rtl w:val="0"/>
        </w:rPr>
        <w:t xml:space="preserve">No cumprimento de sentença, o banco depositou os valores, mas impugnou a execução, alegando que R$ 30.724,36 já teriam sido “estornados administrativamente”. O Juízo de origem rejeitou a impugnação, qualificando-a como “manifestamente protelatória”, homologou o cálculo de R$ 35.057,00 e fixou a multa e os honorários do art. 523, § 1º, do CPC.</w:t>
      </w:r>
      <w:r w:rsidDel="00000000" w:rsidR="00000000" w:rsidRPr="00000000">
        <w:rPr>
          <w:rtl w:val="0"/>
        </w:rPr>
      </w:r>
    </w:p>
    <w:p w:rsidR="00000000" w:rsidDel="00000000" w:rsidP="00000000" w:rsidRDefault="00000000" w:rsidRPr="00000000" w14:paraId="00000012">
      <w:pPr>
        <w:spacing w:after="60" w:line="360" w:lineRule="auto"/>
        <w:ind w:firstLine="850"/>
        <w:jc w:val="both"/>
        <w:rPr/>
      </w:pPr>
      <w:r w:rsidDel="00000000" w:rsidR="00000000" w:rsidRPr="00000000">
        <w:rPr>
          <w:rFonts w:ascii="Lora Medium" w:cs="Lora Medium" w:eastAsia="Lora Medium" w:hAnsi="Lora Medium"/>
          <w:rtl w:val="0"/>
        </w:rPr>
        <w:t xml:space="preserve">Neste agravo, Vossa Excelência deferiu parcialmente a tutela recursal, por entender necessário o </w:t>
      </w:r>
      <w:r w:rsidDel="00000000" w:rsidR="00000000" w:rsidRPr="00000000">
        <w:rPr>
          <w:rFonts w:ascii="Lora Medium" w:cs="Lora Medium" w:eastAsia="Lora Medium" w:hAnsi="Lora Medium"/>
          <w:b w:val="1"/>
          <w:bCs w:val="1"/>
          <w:u w:val="single"/>
          <w:shd w:fill="cfe2f3" w:val="clear"/>
          <w:rtl w:val="0"/>
        </w:rPr>
        <w:t xml:space="preserve">cotejo entre as datas da sentença, do trânsito em julgado e dos estornos</w:t>
      </w:r>
      <w:r w:rsidDel="00000000" w:rsidR="00000000" w:rsidRPr="00000000">
        <w:rPr>
          <w:rFonts w:ascii="Lora Medium" w:cs="Lora Medium" w:eastAsia="Lora Medium" w:hAnsi="Lora Medium"/>
          <w:rtl w:val="0"/>
        </w:rPr>
        <w:t xml:space="preserve">, a fim de verificar se eles seriam fatos supervenientes (art. 525, § 1º, VII, do CPC).</w:t>
      </w:r>
      <w:r w:rsidDel="00000000" w:rsidR="00000000" w:rsidRPr="00000000">
        <w:rPr>
          <w:rtl w:val="0"/>
        </w:rPr>
      </w:r>
    </w:p>
    <w:p w:rsidR="00000000" w:rsidDel="00000000" w:rsidP="00000000" w:rsidRDefault="00000000" w:rsidRPr="00000000" w14:paraId="00000013">
      <w:pPr>
        <w:spacing w:after="60" w:line="360" w:lineRule="auto"/>
        <w:ind w:firstLine="850"/>
        <w:jc w:val="both"/>
        <w:rPr/>
      </w:pPr>
      <w:r w:rsidDel="00000000" w:rsidR="00000000" w:rsidRPr="00000000">
        <w:rPr>
          <w:rFonts w:ascii="Lora Medium" w:cs="Lora Medium" w:eastAsia="Lora Medium" w:hAnsi="Lora Medium"/>
          <w:rtl w:val="0"/>
        </w:rPr>
        <w:t xml:space="preserve">Esse cotejo demonstra que </w:t>
      </w:r>
      <w:r w:rsidDel="00000000" w:rsidR="00000000" w:rsidRPr="00000000">
        <w:rPr>
          <w:rFonts w:ascii="Lora Medium" w:cs="Lora Medium" w:eastAsia="Lora Medium" w:hAnsi="Lora Medium"/>
          <w:b w:val="1"/>
          <w:bCs w:val="1"/>
          <w:u w:val="single"/>
          <w:shd w:fill="cfe2f3" w:val="clear"/>
          <w:rtl w:val="0"/>
        </w:rPr>
        <w:t xml:space="preserve">todos os estornos são anteriores à sentença</w:t>
      </w:r>
      <w:r w:rsidDel="00000000" w:rsidR="00000000" w:rsidRPr="00000000">
        <w:rPr>
          <w:rFonts w:ascii="Lora Medium" w:cs="Lora Medium" w:eastAsia="Lora Medium" w:hAnsi="Lora Medium"/>
          <w:rtl w:val="0"/>
        </w:rPr>
        <w:t xml:space="preserve">, como se passa a expor.</w:t>
      </w:r>
      <w:r w:rsidDel="00000000" w:rsidR="00000000" w:rsidRPr="00000000">
        <w:rPr>
          <w:rtl w:val="0"/>
        </w:rPr>
      </w:r>
    </w:p>
    <w:p w:rsidR="00000000" w:rsidDel="00000000" w:rsidP="00000000" w:rsidRDefault="00000000" w:rsidRPr="00000000" w14:paraId="00000014">
      <w:pPr>
        <w:keepNext w:val="1"/>
        <w:shd w:fill="123bb8" w:val="clear"/>
        <w:tabs>
          <w:tab w:val="left" w:leader="none" w:pos="1000"/>
        </w:tabs>
        <w:spacing w:after="240" w:before="0" w:line="240" w:lineRule="auto"/>
        <w:ind w:left="0" w:firstLine="0"/>
        <w:rPr/>
      </w:pPr>
      <w:r w:rsidDel="00000000" w:rsidR="00000000" w:rsidRPr="00000000">
        <w:rPr>
          <w:rFonts w:ascii="Lora Medium" w:cs="Lora Medium" w:eastAsia="Lora Medium" w:hAnsi="Lora Medium"/>
          <w:b w:val="1"/>
          <w:bCs w:val="1"/>
          <w:i w:val="1"/>
          <w:iCs w:val="1"/>
          <w:color w:val="ffffff"/>
          <w:rtl w:val="0"/>
        </w:rPr>
        <w:tab/>
        <w:t xml:space="preserve">DAS RAZÕES PARA O DESPROVIMENTO DO RECURSO</w:t>
      </w:r>
      <w:r w:rsidDel="00000000" w:rsidR="00000000" w:rsidRPr="00000000">
        <w:rPr>
          <w:rtl w:val="0"/>
        </w:rPr>
      </w:r>
    </w:p>
    <w:p w:rsidR="00000000" w:rsidDel="00000000" w:rsidP="00000000" w:rsidRDefault="00000000" w:rsidRPr="00000000" w14:paraId="00000015">
      <w:pPr>
        <w:keepNext w:val="1"/>
        <w:tabs>
          <w:tab w:val="left" w:leader="none" w:pos="700"/>
        </w:tabs>
        <w:spacing w:after="160" w:before="240" w:line="360" w:lineRule="auto"/>
        <w:ind w:left="700" w:hanging="400"/>
        <w:rPr/>
      </w:pPr>
      <w:r w:rsidDel="00000000" w:rsidR="00000000" w:rsidRPr="00000000">
        <w:rPr>
          <w:rFonts w:ascii="Lora Medium" w:cs="Lora Medium" w:eastAsia="Lora Medium" w:hAnsi="Lora Medium"/>
          <w:b w:val="1"/>
          <w:bCs w:val="1"/>
          <w:i w:val="1"/>
          <w:iCs w:val="1"/>
          <w:rtl w:val="0"/>
        </w:rPr>
        <w:t xml:space="preserve">a.</w:t>
        <w:tab/>
        <w:t xml:space="preserve">O cotejo das datas: todos os estornos são anteriores à sentença:</w:t>
      </w:r>
      <w:r w:rsidDel="00000000" w:rsidR="00000000" w:rsidRPr="00000000">
        <w:rPr>
          <w:rtl w:val="0"/>
        </w:rPr>
      </w:r>
    </w:p>
    <w:p w:rsidR="00000000" w:rsidDel="00000000" w:rsidP="00000000" w:rsidRDefault="00000000" w:rsidRPr="00000000" w14:paraId="00000016">
      <w:pPr>
        <w:spacing w:after="60" w:line="360" w:lineRule="auto"/>
        <w:ind w:firstLine="850"/>
        <w:jc w:val="both"/>
        <w:rPr/>
      </w:pPr>
      <w:r w:rsidDel="00000000" w:rsidR="00000000" w:rsidRPr="00000000">
        <w:rPr>
          <w:rFonts w:ascii="Lora Medium" w:cs="Lora Medium" w:eastAsia="Lora Medium" w:hAnsi="Lora Medium"/>
          <w:rtl w:val="0"/>
        </w:rPr>
        <w:t xml:space="preserve">O “Demonstrativo de Operações” juntado pelo próprio banco (ID 87136270 da origem, reproduzido no ID 35832394 destes autos) registra a data de cada lançamento “ESTORNO PRC P/ REEMB”. Comparadas com os marcos do processo, as datas são as seguintes:</w:t>
      </w:r>
      <w:r w:rsidDel="00000000" w:rsidR="00000000" w:rsidRPr="00000000">
        <w:rPr>
          <w:rtl w:val="0"/>
        </w:rPr>
      </w:r>
    </w:p>
    <w:p w:rsidR="00000000" w:rsidDel="00000000" w:rsidP="00000000" w:rsidRDefault="00000000" w:rsidRPr="00000000" w14:paraId="00000017">
      <w:pPr>
        <w:spacing w:after="0" w:line="360" w:lineRule="auto"/>
        <w:ind w:left="2267.716535433071" w:hanging="570"/>
        <w:jc w:val="both"/>
        <w:rPr>
          <w:sz w:val="20"/>
          <w:szCs w:val="20"/>
        </w:rPr>
      </w:pPr>
      <w:r w:rsidDel="00000000" w:rsidR="00000000" w:rsidRPr="00000000">
        <w:rPr>
          <w:rFonts w:ascii="Lora Medium" w:cs="Lora Medium" w:eastAsia="Lora Medium" w:hAnsi="Lora Medium"/>
          <w:sz w:val="20"/>
          <w:szCs w:val="20"/>
          <w:rtl w:val="0"/>
        </w:rPr>
        <w:t xml:space="preserve">a)</w:t>
        <w:tab/>
      </w:r>
      <w:r w:rsidDel="00000000" w:rsidR="00000000" w:rsidRPr="00000000">
        <w:rPr>
          <w:rFonts w:ascii="Lora Medium" w:cs="Lora Medium" w:eastAsia="Lora Medium" w:hAnsi="Lora Medium"/>
          <w:b w:val="1"/>
          <w:bCs w:val="1"/>
          <w:sz w:val="20"/>
          <w:szCs w:val="20"/>
          <w:rtl w:val="0"/>
        </w:rPr>
        <w:t xml:space="preserve">28/03/2025</w:t>
      </w:r>
      <w:r w:rsidDel="00000000" w:rsidR="00000000" w:rsidRPr="00000000">
        <w:rPr>
          <w:rFonts w:ascii="Lora Medium" w:cs="Lora Medium" w:eastAsia="Lora Medium" w:hAnsi="Lora Medium"/>
          <w:sz w:val="20"/>
          <w:szCs w:val="20"/>
          <w:rtl w:val="0"/>
        </w:rPr>
        <w:t xml:space="preserve"> – estorno das 28 parcelas do contrato nº 365740967-2 (R$ 200,00 cada);</w:t>
      </w:r>
      <w:r w:rsidDel="00000000" w:rsidR="00000000" w:rsidRPr="00000000">
        <w:rPr>
          <w:rtl w:val="0"/>
        </w:rPr>
      </w:r>
    </w:p>
    <w:p w:rsidR="00000000" w:rsidDel="00000000" w:rsidP="00000000" w:rsidRDefault="00000000" w:rsidRPr="00000000" w14:paraId="00000018">
      <w:pPr>
        <w:spacing w:after="0" w:line="360" w:lineRule="auto"/>
        <w:ind w:left="2267.716535433071" w:hanging="570"/>
        <w:jc w:val="both"/>
        <w:rPr>
          <w:sz w:val="20"/>
          <w:szCs w:val="20"/>
        </w:rPr>
      </w:pPr>
      <w:r w:rsidDel="00000000" w:rsidR="00000000" w:rsidRPr="00000000">
        <w:rPr>
          <w:rFonts w:ascii="Lora Medium" w:cs="Lora Medium" w:eastAsia="Lora Medium" w:hAnsi="Lora Medium"/>
          <w:sz w:val="20"/>
          <w:szCs w:val="20"/>
          <w:rtl w:val="0"/>
        </w:rPr>
        <w:t xml:space="preserve">b)</w:t>
        <w:tab/>
      </w:r>
      <w:r w:rsidDel="00000000" w:rsidR="00000000" w:rsidRPr="00000000">
        <w:rPr>
          <w:rFonts w:ascii="Lora Medium" w:cs="Lora Medium" w:eastAsia="Lora Medium" w:hAnsi="Lora Medium"/>
          <w:b w:val="1"/>
          <w:bCs w:val="1"/>
          <w:sz w:val="20"/>
          <w:szCs w:val="20"/>
          <w:rtl w:val="0"/>
        </w:rPr>
        <w:t xml:space="preserve">01/04/2025</w:t>
      </w:r>
      <w:r w:rsidDel="00000000" w:rsidR="00000000" w:rsidRPr="00000000">
        <w:rPr>
          <w:rFonts w:ascii="Lora Medium" w:cs="Lora Medium" w:eastAsia="Lora Medium" w:hAnsi="Lora Medium"/>
          <w:sz w:val="20"/>
          <w:szCs w:val="20"/>
          <w:rtl w:val="0"/>
        </w:rPr>
        <w:t xml:space="preserve"> – citação do banco;</w:t>
      </w:r>
      <w:r w:rsidDel="00000000" w:rsidR="00000000" w:rsidRPr="00000000">
        <w:rPr>
          <w:rtl w:val="0"/>
        </w:rPr>
      </w:r>
    </w:p>
    <w:p w:rsidR="00000000" w:rsidDel="00000000" w:rsidP="00000000" w:rsidRDefault="00000000" w:rsidRPr="00000000" w14:paraId="00000019">
      <w:pPr>
        <w:spacing w:after="0" w:line="360" w:lineRule="auto"/>
        <w:ind w:left="2267.716535433071" w:hanging="570"/>
        <w:jc w:val="both"/>
        <w:rPr>
          <w:sz w:val="20"/>
          <w:szCs w:val="20"/>
        </w:rPr>
      </w:pPr>
      <w:r w:rsidDel="00000000" w:rsidR="00000000" w:rsidRPr="00000000">
        <w:rPr>
          <w:rFonts w:ascii="Lora Medium" w:cs="Lora Medium" w:eastAsia="Lora Medium" w:hAnsi="Lora Medium"/>
          <w:bCs w:val="1"/>
          <w:sz w:val="20"/>
          <w:szCs w:val="20"/>
          <w:rtl w:val="0"/>
        </w:rPr>
        <w:t>c)</w:t>
        <w:tab/>
      </w:r>
      <w:r w:rsidDel="00000000" w:rsidR="00000000" w:rsidRPr="00000000">
        <w:rPr>
          <w:rFonts w:ascii="Lora Medium" w:cs="Lora Medium" w:eastAsia="Lora Medium" w:hAnsi="Lora Medium"/>
          <w:b/>
          <w:bCs w:val="1"/>
          <w:sz w:val="20"/>
          <w:szCs w:val="20"/>
          <w:rtl w:val="0"/>
        </w:rPr>
        <w:t>12/05/2025</w:t>
      </w:r>
      <w:r w:rsidDel="00000000" w:rsidR="00000000" w:rsidRPr="00000000">
        <w:rPr>
          <w:rFonts w:ascii="Lora Medium" w:cs="Lora Medium" w:eastAsia="Lora Medium" w:hAnsi="Lora Medium"/>
          <w:bCs w:val="1"/>
          <w:sz w:val="20"/>
          <w:szCs w:val="20"/>
          <w:rtl w:val="0"/>
        </w:rPr>
        <w:t xml:space="preserve"> – contestação (ID 75506718), na qual o banco </w:t>
      </w:r>
      <w:r w:rsidDel="00000000" w:rsidR="00000000" w:rsidRPr="00000000">
        <w:rPr>
          <w:rFonts w:ascii="Lora Medium" w:cs="Lora Medium" w:eastAsia="Lora Medium" w:hAnsi="Lora Medium"/>
          <w:b/>
          <w:bCs w:val="1"/>
          <w:sz w:val="20"/>
          <w:szCs w:val="20"/>
          <w:rtl w:val="0"/>
        </w:rPr>
        <w:t>já afirmava que os valores descontados haviam sido “devidamente restituídos”</w:t>
      </w:r>
      <w:r w:rsidDel="00000000" w:rsidR="00000000" w:rsidRPr="00000000">
        <w:rPr>
          <w:rFonts w:ascii="Lora Medium" w:cs="Lora Medium" w:eastAsia="Lora Medium" w:hAnsi="Lora Medium"/>
          <w:bCs w:val="1"/>
          <w:sz w:val="20"/>
          <w:szCs w:val="20"/>
          <w:rtl w:val="0"/>
        </w:rPr>
        <w:t>, alegação rebatida na réplica (ID 76604920);</w:t>
      </w:r>
    </w:p>
    <w:p w:rsidR="00000000" w:rsidDel="00000000" w:rsidP="00000000" w:rsidRDefault="00000000" w:rsidRPr="00000000" w14:paraId="0000001A">
      <w:pPr>
        <w:spacing w:after="0" w:line="360" w:lineRule="auto"/>
        <w:ind w:left="2267.716535433071" w:hanging="570"/>
        <w:jc w:val="both"/>
        <w:rPr>
          <w:sz w:val="20"/>
          <w:szCs w:val="20"/>
        </w:rPr>
      </w:pPr>
      <w:r w:rsidDel="00000000" w:rsidR="00000000" w:rsidRPr="00000000">
        <w:rPr>
          <w:rFonts w:ascii="Lora Medium" w:cs="Lora Medium" w:eastAsia="Lora Medium" w:hAnsi="Lora Medium"/>
          <w:sz w:val="20"/>
          <w:szCs w:val="20"/>
          <w:rtl w:val="0"/>
        </w:rPr>
        <w:t xml:space="preserve">d)</w:t>
        <w:tab/>
      </w:r>
      <w:r w:rsidDel="00000000" w:rsidR="00000000" w:rsidRPr="00000000">
        <w:rPr>
          <w:rFonts w:ascii="Lora Medium" w:cs="Lora Medium" w:eastAsia="Lora Medium" w:hAnsi="Lora Medium"/>
          <w:b w:val="1"/>
          <w:bCs w:val="1"/>
          <w:sz w:val="20"/>
          <w:szCs w:val="20"/>
          <w:rtl w:val="0"/>
        </w:rPr>
        <w:t xml:space="preserve">18/06/2025</w:t>
      </w:r>
      <w:r w:rsidDel="00000000" w:rsidR="00000000" w:rsidRPr="00000000">
        <w:rPr>
          <w:rFonts w:ascii="Lora Medium" w:cs="Lora Medium" w:eastAsia="Lora Medium" w:hAnsi="Lora Medium"/>
          <w:sz w:val="20"/>
          <w:szCs w:val="20"/>
          <w:rtl w:val="0"/>
        </w:rPr>
        <w:t xml:space="preserve"> – estorno das 31 parcelas do contrato nº 365738167-3 (R$ 224,00 cada);</w:t>
      </w:r>
      <w:r w:rsidDel="00000000" w:rsidR="00000000" w:rsidRPr="00000000">
        <w:rPr>
          <w:rtl w:val="0"/>
        </w:rPr>
      </w:r>
    </w:p>
    <w:p w:rsidR="00000000" w:rsidDel="00000000" w:rsidP="00000000" w:rsidRDefault="00000000" w:rsidRPr="00000000" w14:paraId="0000001B">
      <w:pPr>
        <w:spacing w:after="0" w:line="360" w:lineRule="auto"/>
        <w:ind w:left="2267.716535433071" w:hanging="570"/>
        <w:jc w:val="both"/>
        <w:rPr>
          <w:sz w:val="20"/>
          <w:szCs w:val="20"/>
        </w:rPr>
      </w:pPr>
      <w:r w:rsidDel="00000000" w:rsidR="00000000" w:rsidRPr="00000000">
        <w:rPr>
          <w:rFonts w:ascii="Lora Medium" w:cs="Lora Medium" w:eastAsia="Lora Medium" w:hAnsi="Lora Medium"/>
          <w:sz w:val="20"/>
          <w:szCs w:val="20"/>
          <w:rtl w:val="0"/>
        </w:rPr>
        <w:t xml:space="preserve">e)</w:t>
        <w:tab/>
      </w:r>
      <w:r w:rsidDel="00000000" w:rsidR="00000000" w:rsidRPr="00000000">
        <w:rPr>
          <w:rFonts w:ascii="Lora Medium" w:cs="Lora Medium" w:eastAsia="Lora Medium" w:hAnsi="Lora Medium"/>
          <w:b w:val="1"/>
          <w:bCs w:val="1"/>
          <w:sz w:val="20"/>
          <w:szCs w:val="20"/>
          <w:rtl w:val="0"/>
        </w:rPr>
        <w:t xml:space="preserve">08/08/2025</w:t>
      </w:r>
      <w:r w:rsidDel="00000000" w:rsidR="00000000" w:rsidRPr="00000000">
        <w:rPr>
          <w:rFonts w:ascii="Lora Medium" w:cs="Lora Medium" w:eastAsia="Lora Medium" w:hAnsi="Lora Medium"/>
          <w:sz w:val="20"/>
          <w:szCs w:val="20"/>
          <w:rtl w:val="0"/>
        </w:rPr>
        <w:t xml:space="preserve"> – </w:t>
      </w:r>
      <w:r w:rsidDel="00000000" w:rsidR="00000000" w:rsidRPr="00000000">
        <w:rPr>
          <w:rFonts w:ascii="Lora Medium" w:cs="Lora Medium" w:eastAsia="Lora Medium" w:hAnsi="Lora Medium"/>
          <w:b w:val="1"/>
          <w:bCs w:val="1"/>
          <w:sz w:val="20"/>
          <w:szCs w:val="20"/>
          <w:u w:val="single"/>
          <w:shd w:fill="cfe2f3" w:val="clear"/>
          <w:rtl w:val="0"/>
        </w:rPr>
        <w:t xml:space="preserve">sentença</w:t>
      </w:r>
      <w:r w:rsidDel="00000000" w:rsidR="00000000" w:rsidRPr="00000000">
        <w:rPr>
          <w:rFonts w:ascii="Lora Medium" w:cs="Lora Medium" w:eastAsia="Lora Medium" w:hAnsi="Lora Medium"/>
          <w:sz w:val="20"/>
          <w:szCs w:val="20"/>
          <w:rtl w:val="0"/>
        </w:rPr>
        <w:t xml:space="preserve">, que condenou o banco à restituição sem reconhecer nenhuma devolução;</w:t>
      </w:r>
      <w:r w:rsidDel="00000000" w:rsidR="00000000" w:rsidRPr="00000000">
        <w:rPr>
          <w:rtl w:val="0"/>
        </w:rPr>
      </w:r>
    </w:p>
    <w:p w:rsidR="00000000" w:rsidDel="00000000" w:rsidP="00000000" w:rsidRDefault="00000000" w:rsidRPr="00000000" w14:paraId="0000001C">
      <w:pPr>
        <w:spacing w:after="0" w:line="360" w:lineRule="auto"/>
        <w:ind w:left="2267.716535433071" w:hanging="570"/>
        <w:jc w:val="both"/>
        <w:rPr>
          <w:sz w:val="20"/>
          <w:szCs w:val="20"/>
        </w:rPr>
      </w:pPr>
      <w:r w:rsidDel="00000000" w:rsidR="00000000" w:rsidRPr="00000000">
        <w:rPr>
          <w:rFonts w:ascii="Lora Medium" w:cs="Lora Medium" w:eastAsia="Lora Medium" w:hAnsi="Lora Medium"/>
          <w:sz w:val="20"/>
          <w:szCs w:val="20"/>
          <w:rtl w:val="0"/>
        </w:rPr>
        <w:t xml:space="preserve">f)</w:t>
        <w:tab/>
      </w:r>
      <w:r w:rsidDel="00000000" w:rsidR="00000000" w:rsidRPr="00000000">
        <w:rPr>
          <w:rFonts w:ascii="Lora Medium" w:cs="Lora Medium" w:eastAsia="Lora Medium" w:hAnsi="Lora Medium"/>
          <w:b w:val="1"/>
          <w:bCs w:val="1"/>
          <w:sz w:val="20"/>
          <w:szCs w:val="20"/>
          <w:rtl w:val="0"/>
        </w:rPr>
        <w:t xml:space="preserve">19/08/2025</w:t>
      </w:r>
      <w:r w:rsidDel="00000000" w:rsidR="00000000" w:rsidRPr="00000000">
        <w:rPr>
          <w:rFonts w:ascii="Lora Medium" w:cs="Lora Medium" w:eastAsia="Lora Medium" w:hAnsi="Lora Medium"/>
          <w:sz w:val="20"/>
          <w:szCs w:val="20"/>
          <w:rtl w:val="0"/>
        </w:rPr>
        <w:t xml:space="preserve"> – embargos de declaração do banco contra a sentença, sem nenhuma menção aos estornos;</w:t>
      </w:r>
      <w:r w:rsidDel="00000000" w:rsidR="00000000" w:rsidRPr="00000000">
        <w:rPr>
          <w:rtl w:val="0"/>
        </w:rPr>
      </w:r>
    </w:p>
    <w:p w:rsidR="00000000" w:rsidDel="00000000" w:rsidP="00000000" w:rsidRDefault="00000000" w:rsidRPr="00000000" w14:paraId="0000001D">
      <w:pPr>
        <w:spacing w:after="0" w:line="360" w:lineRule="auto"/>
        <w:ind w:left="2267.716535433071" w:hanging="570"/>
        <w:jc w:val="both"/>
        <w:rPr>
          <w:sz w:val="20"/>
          <w:szCs w:val="20"/>
        </w:rPr>
      </w:pPr>
      <w:r w:rsidDel="00000000" w:rsidR="00000000" w:rsidRPr="00000000">
        <w:rPr>
          <w:rFonts w:ascii="Lora Medium" w:cs="Lora Medium" w:eastAsia="Lora Medium" w:hAnsi="Lora Medium"/>
          <w:bCs w:val="1"/>
          <w:sz w:val="20"/>
          <w:szCs w:val="20"/>
          <w:rtl w:val="0"/>
        </w:rPr>
        <w:t>g)</w:t>
        <w:tab/>
      </w:r>
      <w:r w:rsidDel="00000000" w:rsidR="00000000" w:rsidRPr="00000000">
        <w:rPr>
          <w:rFonts w:ascii="Lora Medium" w:cs="Lora Medium" w:eastAsia="Lora Medium" w:hAnsi="Lora Medium"/>
          <w:b/>
          <w:bCs w:val="1"/>
          <w:sz w:val="20"/>
          <w:szCs w:val="20"/>
          <w:rtl w:val="0"/>
        </w:rPr>
        <w:t>08/12/2025</w:t>
      </w:r>
      <w:r w:rsidDel="00000000" w:rsidR="00000000" w:rsidRPr="00000000">
        <w:rPr>
          <w:rFonts w:ascii="Lora Medium" w:cs="Lora Medium" w:eastAsia="Lora Medium" w:hAnsi="Lora Medium"/>
          <w:bCs w:val="1"/>
          <w:sz w:val="20"/>
          <w:szCs w:val="20"/>
          <w:rtl w:val="0"/>
        </w:rPr>
        <w:t xml:space="preserve"> – trânsito em julgado, conforme certidão (ID 93346877).</w:t>
      </w:r>
    </w:p>
    <w:p w:rsidR="00000000" w:rsidDel="00000000" w:rsidP="00000000" w:rsidRDefault="00000000" w:rsidRPr="00000000" w14:paraId="0000001E">
      <w:pPr>
        <w:spacing w:after="60" w:line="360" w:lineRule="auto"/>
        <w:ind w:firstLine="850"/>
        <w:jc w:val="both"/>
        <w:rPr>
          <w:rFonts w:ascii="Lora Medium" w:cs="Lora Medium" w:eastAsia="Lora Medium" w:hAnsi="Lora Medium"/>
        </w:rPr>
      </w:pPr>
      <w:r w:rsidDel="00000000" w:rsidR="00000000" w:rsidRPr="00000000">
        <w:rPr>
          <w:rtl w:val="0"/>
        </w:rPr>
      </w:r>
    </w:p>
    <w:p w:rsidR="00000000" w:rsidDel="00000000" w:rsidP="00000000" w:rsidRDefault="00000000" w:rsidRPr="00000000" w14:paraId="0000001F">
      <w:pPr>
        <w:spacing w:after="60" w:line="360" w:lineRule="auto"/>
        <w:ind w:firstLine="850"/>
        <w:jc w:val="both"/>
        <w:rPr/>
      </w:pPr>
      <w:r w:rsidDel="00000000" w:rsidR="00000000" w:rsidRPr="00000000">
        <w:rPr>
          <w:rFonts w:ascii="Lora Medium" w:cs="Lora Medium" w:eastAsia="Lora Medium" w:hAnsi="Lora Medium"/>
          <w:rtl w:val="0"/>
        </w:rPr>
        <w:t xml:space="preserve">O art. 525, § 1º, VII, do CPC só admite, na impugnação, causa extintiva da obrigação “</w:t>
      </w:r>
      <w:r w:rsidDel="00000000" w:rsidR="00000000" w:rsidRPr="00000000">
        <w:rPr>
          <w:rFonts w:ascii="Lora Medium" w:cs="Lora Medium" w:eastAsia="Lora Medium" w:hAnsi="Lora Medium"/>
          <w:b w:val="1"/>
          <w:bCs w:val="1"/>
          <w:u w:val="single"/>
          <w:shd w:fill="cfe2f3" w:val="clear"/>
          <w:rtl w:val="0"/>
        </w:rPr>
        <w:t xml:space="preserve">desde que superveniente à sentença</w:t>
      </w:r>
      <w:r w:rsidDel="00000000" w:rsidR="00000000" w:rsidRPr="00000000">
        <w:rPr>
          <w:rFonts w:ascii="Lora Medium" w:cs="Lora Medium" w:eastAsia="Lora Medium" w:hAnsi="Lora Medium"/>
          <w:rtl w:val="0"/>
        </w:rPr>
        <w:t xml:space="preserve">”. Os estornos são de março e junho de 2025, de dois a quatro meses </w:t>
      </w:r>
      <w:r w:rsidDel="00000000" w:rsidR="00000000" w:rsidRPr="00000000">
        <w:rPr>
          <w:rFonts w:ascii="Lora Medium" w:cs="Lora Medium" w:eastAsia="Lora Medium" w:hAnsi="Lora Medium"/>
          <w:b w:val="1"/>
          <w:bCs w:val="1"/>
          <w:u w:val="single"/>
          <w:shd w:fill="cfe2f3" w:val="clear"/>
          <w:rtl w:val="0"/>
        </w:rPr>
        <w:t xml:space="preserve">antes</w:t>
      </w:r>
      <w:r w:rsidDel="00000000" w:rsidR="00000000" w:rsidRPr="00000000">
        <w:rPr>
          <w:rFonts w:ascii="Lora Medium" w:cs="Lora Medium" w:eastAsia="Lora Medium" w:hAnsi="Lora Medium"/>
          <w:rtl w:val="0"/>
        </w:rPr>
        <w:t xml:space="preserve"> da sentença. Não são fatos supervenientes.</w:t>
      </w:r>
      <w:r w:rsidDel="00000000" w:rsidR="00000000" w:rsidRPr="00000000">
        <w:rPr>
          <w:rtl w:val="0"/>
        </w:rPr>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As datas que aparecem no cabeçalho do demonstrativo (“Prc.: 25/11/2025”, “Sist.: 26/11/2025” e “Cont.: 21/11/2025”) não se referem aos estornos. Elas se repetem, idênticas, em todas as páginas do relatório e indicam apenas a sua emissão, feita três dias antes da juntada aos autos, em 28/11/2025. A data de cada lançamento consta da coluna própria (“DT. PGTO”), linha por linha, e é sempre 28/03/2025 ou 18/06/2025. Tanto é assim que, já na contestação de 12/05/2025, o banco afirmava que “ocorreu o estorno das parcelas descontadas”, e a decisão que deferiu a tutela recursal registrou “lançamentos datados de 18/06/2025”.</w:t>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A contestação, apresentada em 12/05/2025 (ID 75506718 da origem), é expressa:</w:t>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Ao liquidar a operação e restituir valores, o banco demonstrou sua responsabilidade em lidar com situações de fraude de maneira eficiente e ética. (...) Impende registrar que os valores descontados já foram devidamente restituídos, não havendo que se falar de descontos contínuos e de necessidade de resolução, o que reforça a atitude de boa-fé do Banco PAN. De acordo com os dados fornecidos no demonstrativo, fica claro que a operação foi baixada e ocorreu o estorno das parcelas descontadas. O autor já obteve a satisfação de sua pretensão, não necessitando mais da intervenção do Poder Judiciário (...).</w:t>
      </w:r>
    </w:p>
    <w:p w:rsidR="00000000" w:rsidDel="00000000" w:rsidP="00000000" w:rsidRDefault="00000000" w:rsidRPr="00000000" w14:paraId="00000020">
      <w:pPr>
        <w:spacing w:after="60" w:line="360" w:lineRule="auto"/>
        <w:ind w:firstLine="850"/>
        <w:jc w:val="both"/>
        <w:rPr/>
      </w:pPr>
      <w:r w:rsidDel="00000000" w:rsidR="00000000" w:rsidRPr="00000000">
        <w:rPr>
          <w:rFonts w:ascii="Lora Medium" w:cs="Lora Medium" w:eastAsia="Lora Medium" w:hAnsi="Lora Medium"/>
          <w:rtl w:val="0"/>
        </w:rPr>
        <w:t xml:space="preserve">Mais do que isso, a restituição foi expressamente alegada pelo banco na contestação, impugnada pela autora e afastada pela sentença, que condenou o réu a restituir os valores. A matéria foi deduzida e decidida, e está coberta pela coisa julgada e por sua eficácia preclusiva (arts. 502 e 508 do CPC):</w:t>
      </w:r>
      <w:r w:rsidDel="00000000" w:rsidR="00000000" w:rsidRPr="00000000">
        <w:rPr>
          <w:rtl w:val="0"/>
        </w:rPr>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b w:val="1"/>
          <w:bCs w:val="1"/>
          <w:i w:val="1"/>
          <w:iCs w:val="1"/>
          <w:sz w:val="18"/>
          <w:szCs w:val="18"/>
          <w:rtl w:val="0"/>
        </w:rPr>
        <w:t xml:space="preserve">Art. 508.</w:t>
      </w:r>
      <w:r w:rsidDel="00000000" w:rsidR="00000000" w:rsidRPr="00000000">
        <w:rPr>
          <w:rFonts w:ascii="Lora Medium" w:cs="Lora Medium" w:eastAsia="Lora Medium" w:hAnsi="Lora Medium"/>
          <w:i w:val="1"/>
          <w:iCs w:val="1"/>
          <w:sz w:val="18"/>
          <w:szCs w:val="18"/>
          <w:rtl w:val="0"/>
        </w:rPr>
        <w:t xml:space="preserve"> Transitada em julgado a decisão de mérito, considerar-se-ão deduzidas e repelidas todas as alegações e as defesas que a parte poderia opor tanto ao acolhimento quanto à rejeição do pedido.</w:t>
      </w:r>
    </w:p>
    <w:p w:rsidR="00000000" w:rsidDel="00000000" w:rsidP="00000000" w:rsidRDefault="00000000" w:rsidRPr="00000000" w14:paraId="00000022">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O Superior Tribunal de Justiça já decidiu exatamente esta questão. Fatos anteriores à sentença, ainda que apresentados como “novos”, não podem ser discutidos em impugnação ao cumprimento de sentença.</w:t>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 3. Segundo a jurisprudência do STJ, no cumprimento de sentença não se admite a rediscussão das matérias decididas na formação do título executivo judicial. (...) 4. Ademais, a ratio essendi da norma prevista no art. 525, § 1º, VII, do CPC/2015, é viabilizar ao executado a discussão de causas impeditivas, modificativas e extintivas que, além de supervenientes a sentença, ainda não foram objeto de decisão por parte do órgão jurisdicional. Precedentes. 4.1. No caso em tela, os fatos alegadamente novos, em verdade, são anteriores à própria fase de conhecimento, circunstância que não legitima seu debate em sede de impugnação ao cumprimento de sentença. (STJ, AgInt no AREsp 2.394.260/SP, Rel. Min. Marco Buzzi, Quarta Turma, julgado em 16/06/2025, DJEN 24/06/2025)</w:t>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Feito o cotejo determinado por Vossa Excelência, a conclusão é a mesma da decisão agravada, a pretensão do banco é rediscussão do mérito já julgado.</w:t>
      </w:r>
      <w:r w:rsidDel="00000000" w:rsidR="00000000" w:rsidRPr="00000000">
        <w:rPr>
          <w:rtl w:val="0"/>
        </w:rPr>
      </w:r>
    </w:p>
    <w:p w:rsidR="00000000" w:rsidDel="00000000" w:rsidP="00000000" w:rsidRDefault="00000000" w:rsidRPr="00000000" w14:paraId="00000024">
      <w:pPr>
        <w:keepNext w:val="1"/>
        <w:tabs>
          <w:tab w:val="left" w:leader="none" w:pos="700"/>
        </w:tabs>
        <w:spacing w:after="160" w:before="240" w:line="360" w:lineRule="auto"/>
        <w:ind w:left="700" w:hanging="400"/>
        <w:rPr/>
      </w:pPr>
      <w:r w:rsidDel="00000000" w:rsidR="00000000" w:rsidRPr="00000000">
        <w:rPr>
          <w:rFonts w:ascii="Lora Medium" w:cs="Lora Medium" w:eastAsia="Lora Medium" w:hAnsi="Lora Medium"/>
          <w:b w:val="1"/>
          <w:bCs w:val="1"/>
          <w:i w:val="1"/>
          <w:iCs w:val="1"/>
          <w:rtl w:val="0"/>
        </w:rPr>
        <w:t xml:space="preserve">b.</w:t>
        <w:tab/>
        <w:t xml:space="preserve">A afirmação falsa do agravante sobre as datas:</w:t>
      </w:r>
      <w:r w:rsidDel="00000000" w:rsidR="00000000" w:rsidRPr="00000000">
        <w:rPr>
          <w:rtl w:val="0"/>
        </w:rPr>
      </w:r>
    </w:p>
    <w:p w:rsidR="00000000" w:rsidDel="00000000" w:rsidP="00000000" w:rsidRDefault="00000000" w:rsidRPr="00000000" w14:paraId="00000025">
      <w:pPr>
        <w:spacing w:after="60" w:line="360" w:lineRule="auto"/>
        <w:ind w:firstLine="850"/>
        <w:jc w:val="both"/>
        <w:rPr/>
      </w:pPr>
      <w:r w:rsidDel="00000000" w:rsidR="00000000" w:rsidRPr="00000000">
        <w:rPr>
          <w:rFonts w:ascii="Lora Medium" w:cs="Lora Medium" w:eastAsia="Lora Medium" w:hAnsi="Lora Medium"/>
          <w:rtl w:val="0"/>
        </w:rPr>
        <w:t xml:space="preserve">Nas razões do agravo (ID 35832392, pág. 2), o banco afirma que sustentou, “tanto na impugnação quanto nos embargos de declaração, que os estornos administrativos comprovados nos autos </w:t>
      </w:r>
      <w:r w:rsidDel="00000000" w:rsidR="00000000" w:rsidRPr="00000000">
        <w:rPr>
          <w:rFonts w:ascii="Lora Medium" w:cs="Lora Medium" w:eastAsia="Lora Medium" w:hAnsi="Lora Medium"/>
          <w:b w:val="1"/>
          <w:bCs w:val="1"/>
          <w:u w:val="single"/>
          <w:shd w:fill="cfe2f3" w:val="clear"/>
          <w:rtl w:val="0"/>
        </w:rPr>
        <w:t xml:space="preserve">ocorreram em momento posterior à formação do título executivo</w:t>
      </w:r>
      <w:r w:rsidDel="00000000" w:rsidR="00000000" w:rsidRPr="00000000">
        <w:rPr>
          <w:rFonts w:ascii="Lora Medium" w:cs="Lora Medium" w:eastAsia="Lora Medium" w:hAnsi="Lora Medium"/>
          <w:rtl w:val="0"/>
        </w:rPr>
        <w:t xml:space="preserve">”.</w:t>
      </w:r>
      <w:r w:rsidDel="00000000" w:rsidR="00000000" w:rsidRPr="00000000">
        <w:rPr>
          <w:rtl w:val="0"/>
        </w:rPr>
      </w:r>
    </w:p>
    <w:p w:rsidR="00000000" w:rsidDel="00000000" w:rsidP="00000000" w:rsidRDefault="00000000" w:rsidRPr="00000000" w14:paraId="00000026">
      <w:pPr>
        <w:spacing w:after="60" w:line="360" w:lineRule="auto"/>
        <w:ind w:firstLine="850"/>
        <w:jc w:val="both"/>
        <w:rPr/>
      </w:pPr>
      <w:r w:rsidDel="00000000" w:rsidR="00000000" w:rsidRPr="00000000">
        <w:rPr>
          <w:rFonts w:ascii="Lora Medium" w:cs="Lora Medium" w:eastAsia="Lora Medium" w:hAnsi="Lora Medium"/>
          <w:rtl w:val="0"/>
        </w:rPr>
        <w:t xml:space="preserve">A afirmação é falsa, e o próprio documento do banco a desmente, os estornos datam de 28/03/2025 e 18/06/2025, antes da sentença de 08/08/2025 e muito antes do trânsito em julgado de 08/12/2025. Foi justamente essa alegação que deu plausibilidade à tutela recursal.</w:t>
      </w:r>
      <w:r w:rsidDel="00000000" w:rsidR="00000000" w:rsidRPr="00000000">
        <w:rPr>
          <w:rtl w:val="0"/>
        </w:rPr>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Há mais. Em 12/05/2025, na contestação, o banco afirmou que todos os valores descontados “já foram devidamente restituídos”. Pelo seu próprio demonstrativo, porém, as 31 parcelas do contrato nº 365738167-3 só foram estornadas em 18/06/2025, mais de um mês depois. O banco afirmou em juízo uma restituição que, para esse contrato, sequer tinha sido lançada.</w:t>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Pior ainda. Depois de afirmar ao Juízo, em 12/05/2025, que já havia restituído tudo, o banco continuou descontando do benefício da autora. O próprio demonstrativo registra o desconto da 31ª parcela do contrato nº 365738167-3 em 09/06/2025, quase um mês depois da contestação. Enquanto dizia em juízo que nada mais era devido, o banco seguia retendo parte da única renda de uma idosa em tratamento contra o câncer.</w:t>
      </w:r>
    </w:p>
    <w:p w:rsidR="00000000" w:rsidDel="00000000" w:rsidP="00000000" w:rsidRDefault="00000000" w:rsidRPr="00000000" w14:paraId="00000027">
      <w:pPr>
        <w:keepNext w:val="1"/>
        <w:tabs>
          <w:tab w:val="left" w:leader="none" w:pos="700"/>
        </w:tabs>
        <w:spacing w:after="160" w:before="240" w:line="360" w:lineRule="auto"/>
        <w:ind w:left="700" w:hanging="400"/>
        <w:rPr/>
      </w:pPr>
      <w:r w:rsidDel="00000000" w:rsidR="00000000" w:rsidRPr="00000000">
        <w:rPr>
          <w:rFonts w:ascii="Lora Medium" w:cs="Lora Medium" w:eastAsia="Lora Medium" w:hAnsi="Lora Medium"/>
          <w:b w:val="1"/>
          <w:bCs w:val="1"/>
          <w:i w:val="1"/>
          <w:iCs w:val="1"/>
          <w:rtl w:val="0"/>
        </w:rPr>
        <w:t xml:space="preserve">c.</w:t>
        <w:tab/>
        <w:t xml:space="preserve">Estorno contábil não é pagamento, a autora nunca recebeu os valores:</w:t>
      </w:r>
      <w:r w:rsidDel="00000000" w:rsidR="00000000" w:rsidRPr="00000000">
        <w:rPr>
          <w:rtl w:val="0"/>
        </w:rPr>
      </w:r>
    </w:p>
    <w:p w:rsidR="00000000" w:rsidDel="00000000" w:rsidP="00000000" w:rsidRDefault="00000000" w:rsidRPr="00000000" w14:paraId="00000028">
      <w:pPr>
        <w:spacing w:after="60" w:line="360" w:lineRule="auto"/>
        <w:ind w:firstLine="850"/>
        <w:jc w:val="both"/>
        <w:rPr/>
      </w:pPr>
      <w:r w:rsidDel="00000000" w:rsidR="00000000" w:rsidRPr="00000000">
        <w:rPr>
          <w:rFonts w:ascii="Lora Medium" w:cs="Lora Medium" w:eastAsia="Lora Medium" w:hAnsi="Lora Medium"/>
          <w:rtl w:val="0"/>
        </w:rPr>
        <w:t xml:space="preserve">Ainda que se superasse a questão temporal, não há prova de pagamento. O demonstrativo do banco mostra, para cada parcela, três lançamentos internos: (i) “RECBTO DESC EM FOLHA”, o recebimento da parcela; (ii) “Est.Bx. – ESTORNO PRC P/ REEMB”, o estorno dessa baixa; e (iii) nova baixa como “</w:t>
      </w:r>
      <w:r w:rsidDel="00000000" w:rsidR="00000000" w:rsidRPr="00000000">
        <w:rPr>
          <w:rFonts w:ascii="Lora Medium" w:cs="Lora Medium" w:eastAsia="Lora Medium" w:hAnsi="Lora Medium"/>
          <w:b w:val="1"/>
          <w:bCs w:val="1"/>
          <w:u w:val="single"/>
          <w:shd w:fill="cfe2f3" w:val="clear"/>
          <w:rtl w:val="0"/>
        </w:rPr>
        <w:t xml:space="preserve">230 – FRAUDE – PERDA DIRETA</w:t>
      </w:r>
      <w:r w:rsidDel="00000000" w:rsidR="00000000" w:rsidRPr="00000000">
        <w:rPr>
          <w:rFonts w:ascii="Lora Medium" w:cs="Lora Medium" w:eastAsia="Lora Medium" w:hAnsi="Lora Medium"/>
          <w:rtl w:val="0"/>
        </w:rPr>
        <w:t xml:space="preserve">”.</w:t>
      </w:r>
      <w:r w:rsidDel="00000000" w:rsidR="00000000" w:rsidRPr="00000000">
        <w:rPr>
          <w:rtl w:val="0"/>
        </w:rPr>
      </w:r>
    </w:p>
    <w:p w:rsidR="00000000" w:rsidDel="00000000" w:rsidP="00000000" w:rsidRDefault="00000000" w:rsidRPr="00000000" w14:paraId="00000029">
      <w:pPr>
        <w:spacing w:after="60" w:line="360" w:lineRule="auto"/>
        <w:ind w:firstLine="850"/>
        <w:jc w:val="both"/>
        <w:rPr/>
      </w:pPr>
      <w:r w:rsidDel="00000000" w:rsidR="00000000" w:rsidRPr="00000000">
        <w:rPr>
          <w:rFonts w:ascii="Lora Medium" w:cs="Lora Medium" w:eastAsia="Lora Medium" w:hAnsi="Lora Medium"/>
          <w:rtl w:val="0"/>
        </w:rPr>
        <w:t xml:space="preserve">Trata-se de reclassificação contábil interna, a parcela deixa de constar como recebida e passa a ser lançada como perda por fraude. Nenhum desses lançamentos indica transferência de dinheiro à autora. Não há comprovante de TED, PIX ou ordem de pagamento, nem sequer a indicação da conta em que o valor teria sido creditado.</w:t>
      </w:r>
      <w:r w:rsidDel="00000000" w:rsidR="00000000" w:rsidRPr="00000000">
        <w:rPr>
          <w:rtl w:val="0"/>
        </w:rPr>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O Superior Tribunal de Justiça manteve acórdão que, em impugnação ao cumprimento de sentença, rejeitou a tese de quitação baseada em lançamento contábil sem prova de pagamento efetivo:</w:t>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 2. No caso, o Tribunal de Justiça, com arrimo no acervo fático-probatório carreado aos autos, concluiu, entre outros fundamentos, quanto à alegada quitação da dívida, que “não foi apresentada qualquer documentação hábil ou idônea que comprove que o lançamento contábil em questão representa um pagamento efetivo realizado pelo Requerente/Apelante e, por conseguinte, devesse ser computado como crédito em seu favor”. (...) (STJ, AgInt no AREsp 2.962.391/MS, Rel. Min. Raul Araújo, Quarta Turma, julgado em 09/02/2026, DJEN 13/02/2026)</w:t>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No mesmo sentido, este Egrégio Tribunal de Justiça exige prova idônea da efetiva entrega de valores ao consumidor e recusa documentos unilaterais produzidos pela instituição financeira:</w:t>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 6. A alegação de existência de TED não se sustenta, pois o documento apresentado não possui autenticidade nem comprova efetiva transferência, tratando-se apenas de print de tela produzido unilateralmente pela instituição financeira, o que é insuficiente para demonstrar a tradição do valor, conforme reiterada jurisprudência deste Tribunal. (...) (TJPI, Embargos de Declaração Cível 0801483-41.2022.8.18.0048, Rel. Des. Olimpio José Passos Galvão, 4ª Câmara Especializada Cível, julgado em 19/06/2026)</w:t>
      </w:r>
    </w:p>
    <w:p w:rsidR="00000000" w:rsidDel="00000000" w:rsidP="00000000" w:rsidRDefault="00000000" w:rsidRPr="00000000" w14:paraId="0000002A">
      <w:pPr>
        <w:spacing w:after="60" w:line="360" w:lineRule="auto"/>
        <w:ind w:firstLine="850"/>
        <w:jc w:val="both"/>
        <w:rPr/>
      </w:pPr>
      <w:r w:rsidDel="00000000" w:rsidR="00000000" w:rsidRPr="00000000">
        <w:rPr>
          <w:rFonts w:ascii="Lora Medium" w:cs="Lora Medium" w:eastAsia="Lora Medium" w:hAnsi="Lora Medium"/>
          <w:rtl w:val="0"/>
        </w:rPr>
        <w:t xml:space="preserve">A única conta que o banco já atribuiu à autora, a conta nº 48723-3 da agência 2298 do Banco do Brasil, </w:t>
      </w:r>
      <w:r w:rsidDel="00000000" w:rsidR="00000000" w:rsidRPr="00000000">
        <w:rPr>
          <w:rFonts w:ascii="Lora Medium" w:cs="Lora Medium" w:eastAsia="Lora Medium" w:hAnsi="Lora Medium"/>
          <w:b w:val="1"/>
          <w:bCs w:val="1"/>
          <w:u w:val="single"/>
          <w:shd w:fill="cfe2f3" w:val="clear"/>
          <w:rtl w:val="0"/>
        </w:rPr>
        <w:t xml:space="preserve">não existe</w:t>
      </w:r>
      <w:r w:rsidDel="00000000" w:rsidR="00000000" w:rsidRPr="00000000">
        <w:rPr>
          <w:rFonts w:ascii="Lora Medium" w:cs="Lora Medium" w:eastAsia="Lora Medium" w:hAnsi="Lora Medium"/>
          <w:rtl w:val="0"/>
        </w:rPr>
        <w:t xml:space="preserve">. O gerente da agência declarou formalmente que a autora não possui conta corrente nem poupança naquela instituição (ID 76604921 da origem). A autora jamais pediu restituição administrativa.</w:t>
      </w:r>
      <w:r w:rsidDel="00000000" w:rsidR="00000000" w:rsidRPr="00000000">
        <w:rPr>
          <w:rtl w:val="0"/>
        </w:rPr>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O único documento de transferência que o banco juntou foi o “Recibo de Transferência via SPB” de 19/10/2022 (ID 77594125 da origem), produzido por ele próprio, que trata da liberação dos empréstimos, e não de qualquer devolução. Ele aponta como destino exatamente a conta nº 48723-3 da agência 2298, que o Banco do Brasil declarou não pertencer à autora. Para os estornos, o banco não juntou nem mesmo um documento desse tipo.</w:t>
      </w:r>
    </w:p>
    <w:p w:rsidR="00000000" w:rsidDel="00000000" w:rsidP="00000000" w:rsidRDefault="00000000" w:rsidRPr="00000000" w14:paraId="0000002B">
      <w:pPr>
        <w:spacing w:after="60" w:line="360" w:lineRule="auto"/>
        <w:ind w:firstLine="850"/>
        <w:jc w:val="both"/>
        <w:rPr/>
      </w:pPr>
      <w:r w:rsidDel="00000000" w:rsidR="00000000" w:rsidRPr="00000000">
        <w:rPr>
          <w:rFonts w:ascii="Lora Medium" w:cs="Lora Medium" w:eastAsia="Lora Medium" w:hAnsi="Lora Medium"/>
          <w:rtl w:val="0"/>
        </w:rPr>
        <w:t xml:space="preserve">Quem paga mal paga duas vezes. O pagamento deve ser feito ao credor e, se feito a terceiro, só vale se o credor o ratificar ou se reverter em seu proveito (art. 308 do Código Civil). A prova do pagamento é a quitação (arts. 319 e 320 do CC), e o ônus de prová-lo é do devedor (art. 373, II, do CPC). O banco não se desincumbiu desse ônus.</w:t>
      </w:r>
      <w:r w:rsidDel="00000000" w:rsidR="00000000" w:rsidRPr="00000000">
        <w:rPr>
          <w:rtl w:val="0"/>
        </w:rPr>
      </w:r>
    </w:p>
    <w:p w:rsidR="00000000" w:rsidDel="00000000" w:rsidP="00000000" w:rsidRDefault="00000000" w:rsidRPr="00000000" w14:paraId="0000002C">
      <w:pPr>
        <w:keepNext w:val="1"/>
        <w:tabs>
          <w:tab w:val="left" w:leader="none" w:pos="700"/>
        </w:tabs>
        <w:spacing w:after="160" w:before="240" w:line="360" w:lineRule="auto"/>
        <w:ind w:left="700" w:hanging="400"/>
        <w:rPr/>
      </w:pPr>
      <w:r w:rsidDel="00000000" w:rsidR="00000000" w:rsidRPr="00000000">
        <w:rPr>
          <w:rFonts w:ascii="Lora Medium" w:cs="Lora Medium" w:eastAsia="Lora Medium" w:hAnsi="Lora Medium"/>
          <w:b w:val="1"/>
          <w:bCs w:val="1"/>
          <w:i w:val="1"/>
          <w:iCs w:val="1"/>
          <w:rtl w:val="0"/>
        </w:rPr>
        <w:t xml:space="preserve">d.</w:t>
        <w:tab/>
        <w:t xml:space="preserve">A conta do banco é aritmeticamente impossível:</w:t>
      </w:r>
      <w:r w:rsidDel="00000000" w:rsidR="00000000" w:rsidRPr="00000000">
        <w:rPr>
          <w:rtl w:val="0"/>
        </w:rPr>
      </w:r>
    </w:p>
    <w:p w:rsidR="00000000" w:rsidDel="00000000" w:rsidP="00000000" w:rsidRDefault="00000000" w:rsidRPr="00000000" w14:paraId="0000002D">
      <w:pPr>
        <w:spacing w:after="60" w:line="360" w:lineRule="auto"/>
        <w:ind w:firstLine="850"/>
        <w:jc w:val="both"/>
        <w:rPr/>
      </w:pPr>
      <w:r w:rsidDel="00000000" w:rsidR="00000000" w:rsidRPr="00000000">
        <w:rPr>
          <w:rFonts w:ascii="Lora Medium" w:cs="Lora Medium" w:eastAsia="Lora Medium" w:hAnsi="Lora Medium"/>
          <w:rtl w:val="0"/>
        </w:rPr>
        <w:t xml:space="preserve">Somadas todas as parcelas estornadas, pelo valor nominal, chega-se a </w:t>
      </w:r>
      <w:r w:rsidDel="00000000" w:rsidR="00000000" w:rsidRPr="00000000">
        <w:rPr>
          <w:rFonts w:ascii="Lora Medium" w:cs="Lora Medium" w:eastAsia="Lora Medium" w:hAnsi="Lora Medium"/>
          <w:b w:val="1"/>
          <w:bCs w:val="1"/>
          <w:u w:val="single"/>
          <w:shd w:fill="cfe2f3" w:val="clear"/>
          <w:rtl w:val="0"/>
        </w:rPr>
        <w:t xml:space="preserve">R$ 12.544,00</w:t>
      </w:r>
      <w:r w:rsidDel="00000000" w:rsidR="00000000" w:rsidRPr="00000000">
        <w:rPr>
          <w:rFonts w:ascii="Lora Medium" w:cs="Lora Medium" w:eastAsia="Lora Medium" w:hAnsi="Lora Medium"/>
          <w:rtl w:val="0"/>
        </w:rPr>
        <w:t xml:space="preserve"> (28 × R$ 200,00 + 31 × R$ 224,00). O banco, porém, pretende abater </w:t>
      </w:r>
      <w:r w:rsidDel="00000000" w:rsidR="00000000" w:rsidRPr="00000000">
        <w:rPr>
          <w:rFonts w:ascii="Lora Medium" w:cs="Lora Medium" w:eastAsia="Lora Medium" w:hAnsi="Lora Medium"/>
          <w:b w:val="1"/>
          <w:bCs w:val="1"/>
          <w:u w:val="single"/>
          <w:shd w:fill="cfe2f3" w:val="clear"/>
          <w:rtl w:val="0"/>
        </w:rPr>
        <w:t xml:space="preserve">R$ 30.724,36</w:t>
      </w:r>
      <w:r w:rsidDel="00000000" w:rsidR="00000000" w:rsidRPr="00000000">
        <w:rPr>
          <w:rFonts w:ascii="Lora Medium" w:cs="Lora Medium" w:eastAsia="Lora Medium" w:hAnsi="Lora Medium"/>
          <w:rtl w:val="0"/>
        </w:rPr>
        <w:t xml:space="preserve">. A diferença, de mais de R$ 18 mil, não tem nenhuma explicação.</w:t>
      </w:r>
      <w:r w:rsidDel="00000000" w:rsidR="00000000" w:rsidRPr="00000000">
        <w:rPr>
          <w:rtl w:val="0"/>
        </w:rPr>
      </w:r>
    </w:p>
    <w:p w:rsidR="00000000" w:rsidDel="00000000" w:rsidP="00000000" w:rsidRDefault="00000000" w:rsidRPr="00000000" w14:paraId="0000002E">
      <w:pPr>
        <w:spacing w:after="60" w:line="360" w:lineRule="auto"/>
        <w:ind w:firstLine="850"/>
        <w:jc w:val="both"/>
        <w:rPr/>
      </w:pPr>
      <w:r w:rsidDel="00000000" w:rsidR="00000000" w:rsidRPr="00000000">
        <w:rPr>
          <w:rFonts w:ascii="Lora Medium" w:cs="Lora Medium" w:eastAsia="Lora Medium" w:hAnsi="Lora Medium"/>
          <w:rtl w:val="0"/>
        </w:rPr>
        <w:t xml:space="preserve">Na verdade, o valor de R$ 30.724,36 não decorre dos estornos, é apenas a diferença entre o que o banco depositou (R$ 35.365,50) e o que ele aceita pagar (R$ 4.641,14). A planilha do banco (ID 95988162 da origem) zera o dano material e calcula honorários sobre o valor da causa, em frontal contrariedade ao título executivo.</w:t>
      </w:r>
      <w:r w:rsidDel="00000000" w:rsidR="00000000" w:rsidRPr="00000000">
        <w:rPr>
          <w:rtl w:val="0"/>
        </w:rPr>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Esta Colenda 3ª Câmara Especializada Cível já assentou que, sem prova de que os valores foram entregues ao consumidor, não há crédito a compensar com a repetição do indébito:</w:t>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 3. O contrato de mútuo se perfectibiliza com a entrega dos valores; cabia ao banco comprovar essa transferência ao mutuário (art. 373, II, do CPC; Súmula 18 do TJPI). O comprovante de Ordem de Pagamento direcionado a agência bancária, sem confirmação de recebimento pelo próprio consumidor, não se presta a esse fim. (...) 5. Inexistente prova de que os valores foram entregues ao consumidor, não há crédito a compensar; o instituto da compensação pressupõe obrigações recíprocas entre as mesmas partes. (TJPI, Apelação Cível 0802785-53.2022.8.18.0033, Rel. Des. Ricardo Gentil Eulálio Dantas, 3ª Câmara Especializada Cível, julgado em 11/06/2026)</w:t>
      </w:r>
    </w:p>
    <w:p w:rsidR="00000000" w:rsidDel="00000000" w:rsidP="00000000" w:rsidRDefault="00000000" w:rsidRPr="00000000" w14:paraId="0000002F">
      <w:pPr>
        <w:spacing w:after="60" w:line="360" w:lineRule="auto"/>
        <w:ind w:firstLine="850"/>
        <w:jc w:val="both"/>
        <w:rPr/>
      </w:pPr>
      <w:r w:rsidDel="00000000" w:rsidR="00000000" w:rsidRPr="00000000">
        <w:rPr>
          <w:rFonts w:ascii="Lora Medium" w:cs="Lora Medium" w:eastAsia="Lora Medium" w:hAnsi="Lora Medium"/>
          <w:rtl w:val="0"/>
        </w:rPr>
        <w:t xml:space="preserve">Mesmo que cada estorno fosse dinheiro efetivamente entregue à autora, ele cobriria no máximo o valor simples das parcelas. A </w:t>
      </w:r>
      <w:r w:rsidDel="00000000" w:rsidR="00000000" w:rsidRPr="00000000">
        <w:rPr>
          <w:rFonts w:ascii="Lora Medium" w:cs="Lora Medium" w:eastAsia="Lora Medium" w:hAnsi="Lora Medium"/>
          <w:b w:val="1"/>
          <w:bCs w:val="1"/>
          <w:u w:val="single"/>
          <w:shd w:fill="cfe2f3" w:val="clear"/>
          <w:rtl w:val="0"/>
        </w:rPr>
        <w:t xml:space="preserve">restituição em dobro</w:t>
      </w:r>
      <w:r w:rsidDel="00000000" w:rsidR="00000000" w:rsidRPr="00000000">
        <w:rPr>
          <w:rFonts w:ascii="Lora Medium" w:cs="Lora Medium" w:eastAsia="Lora Medium" w:hAnsi="Lora Medium"/>
          <w:rtl w:val="0"/>
        </w:rPr>
        <w:t xml:space="preserve"> determinada pela sentença (art. 42, parágrafo único, do CDC), a correção monetária, os juros e os honorários continuariam integralmente devidos.</w:t>
      </w:r>
      <w:r w:rsidDel="00000000" w:rsidR="00000000" w:rsidRPr="00000000">
        <w:rPr>
          <w:rtl w:val="0"/>
        </w:rPr>
      </w:r>
    </w:p>
    <w:p w:rsidR="00000000" w:rsidDel="00000000" w:rsidP="00000000" w:rsidRDefault="00000000" w:rsidRPr="00000000" w14:paraId="00000030">
      <w:pPr>
        <w:keepNext w:val="1"/>
        <w:tabs>
          <w:tab w:val="left" w:leader="none" w:pos="700"/>
        </w:tabs>
        <w:spacing w:after="160" w:before="240" w:line="360" w:lineRule="auto"/>
        <w:ind w:left="700" w:hanging="400"/>
        <w:rPr/>
      </w:pPr>
      <w:r w:rsidDel="00000000" w:rsidR="00000000" w:rsidRPr="00000000">
        <w:rPr>
          <w:rFonts w:ascii="Lora Medium" w:cs="Lora Medium" w:eastAsia="Lora Medium" w:hAnsi="Lora Medium"/>
          <w:b w:val="1"/>
          <w:bCs w:val="1"/>
          <w:i w:val="1"/>
          <w:iCs w:val="1"/>
          <w:rtl w:val="0"/>
        </w:rPr>
        <w:t xml:space="preserve">e.</w:t>
        <w:tab/>
        <w:t xml:space="preserve">Da multa e dos honorários do art. 523, § 1º, do CPC:</w:t>
      </w:r>
      <w:r w:rsidDel="00000000" w:rsidR="00000000" w:rsidRPr="00000000">
        <w:rPr>
          <w:rtl w:val="0"/>
        </w:rPr>
      </w:r>
    </w:p>
    <w:p w:rsidR="00000000" w:rsidDel="00000000" w:rsidP="00000000" w:rsidRDefault="00000000" w:rsidRPr="00000000" w14:paraId="00000031">
      <w:pPr>
        <w:spacing w:after="60" w:line="360" w:lineRule="auto"/>
        <w:ind w:firstLine="850"/>
        <w:jc w:val="both"/>
        <w:rPr/>
      </w:pPr>
      <w:r w:rsidDel="00000000" w:rsidR="00000000" w:rsidRPr="00000000">
        <w:rPr>
          <w:rFonts w:ascii="Lora Medium" w:cs="Lora Medium" w:eastAsia="Lora Medium" w:hAnsi="Lora Medium"/>
          <w:rtl w:val="0"/>
        </w:rPr>
        <w:t xml:space="preserve">A multa e os honorários do art. 523, § 1º, só são afastados quando o devedor deposita voluntariamente a quantia devida, sem condicionar seu levantamento à discussão do débito. Foi o que decidiu o Juízo de origem, com apoio na jurisprudência do STJ (REsp 2.007.874/DF).</w:t>
      </w:r>
      <w:r w:rsidDel="00000000" w:rsidR="00000000" w:rsidRPr="00000000">
        <w:rPr>
          <w:rtl w:val="0"/>
        </w:rPr>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 4. A multa e honorários advocatícios a que se refere o § 1º do art. 523 do CPC/2015 serão excluídos apenas se o executado depositar voluntariamente a quantia devida em juízo, sem condicionar seu levantamento a qualquer discussão do débito. 5. Na hipótese dos autos, a recorrida manifestou a sua intenção de depositar o valor executado como forma de garantia do juízo, destacando expressamente que não se tratava de cumprimento voluntário da obrigação, razão pela qual o débito exequendo deve ser acrescido das penalidades previstas no art. 523, § 1º, do CPC/2015. (STJ, REsp 2.007.874/DF, Terceira Turma, julgado em 04/10/2022, DJe 06/10/2022)</w:t>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 São dois os critérios para a incidência da multa e dos honorários previstos no mencionado dispositivo: a intempestividade do pagamento ou a resistência manifestada na fase de cumprimento de sentença. (...) (STJ, REsp 2.090.733/TO, Rel. Min. Nancy Andrighi, Terceira Turma, julgado em 17/10/2023, DJe 27/10/2023)</w:t>
      </w:r>
    </w:p>
    <w:p w:rsidR="00000000" w:rsidDel="00000000" w:rsidP="00000000" w:rsidRDefault="00000000" w:rsidRPr="00000000" w14:paraId="00000032">
      <w:pPr>
        <w:spacing w:after="60" w:line="360" w:lineRule="auto"/>
        <w:ind w:firstLine="850"/>
        <w:jc w:val="both"/>
        <w:rPr/>
      </w:pPr>
      <w:r w:rsidDel="00000000" w:rsidR="00000000" w:rsidRPr="00000000">
        <w:rPr>
          <w:rFonts w:ascii="Lora Medium" w:cs="Lora Medium" w:eastAsia="Lora Medium" w:hAnsi="Lora Medium"/>
          <w:rtl w:val="0"/>
        </w:rPr>
        <w:t xml:space="preserve">O banco fez exatamente o contrário. Depositou os valores como garantia, impugnou a execução e, quanto aos R$ 7.011,40, declarou nestas razões que o depósito foi feito “</w:t>
      </w:r>
      <w:r w:rsidDel="00000000" w:rsidR="00000000" w:rsidRPr="00000000">
        <w:rPr>
          <w:rFonts w:ascii="Lora Medium" w:cs="Lora Medium" w:eastAsia="Lora Medium" w:hAnsi="Lora Medium"/>
          <w:b w:val="1"/>
          <w:bCs w:val="1"/>
          <w:u w:val="single"/>
          <w:shd w:fill="cfe2f3" w:val="clear"/>
          <w:rtl w:val="0"/>
        </w:rPr>
        <w:t xml:space="preserve">sob protesto</w:t>
      </w:r>
      <w:r w:rsidDel="00000000" w:rsidR="00000000" w:rsidRPr="00000000">
        <w:rPr>
          <w:rFonts w:ascii="Lora Medium" w:cs="Lora Medium" w:eastAsia="Lora Medium" w:hAnsi="Lora Medium"/>
          <w:rtl w:val="0"/>
        </w:rPr>
        <w:t xml:space="preserve">” e tem “natureza exclusivamente cautelar” (ID 35832392, pág. 4). Não houve pagamento voluntário, e as sanções do art. 523, § 1º, são devidas.</w:t>
      </w:r>
      <w:r w:rsidDel="00000000" w:rsidR="00000000" w:rsidRPr="00000000">
        <w:rPr>
          <w:rtl w:val="0"/>
        </w:rPr>
      </w:r>
    </w:p>
    <w:p w:rsidR="00000000" w:rsidDel="00000000" w:rsidP="00000000" w:rsidRDefault="00000000" w:rsidRPr="00000000" w14:paraId="00000033">
      <w:pPr>
        <w:keepNext w:val="1"/>
        <w:tabs>
          <w:tab w:val="left" w:leader="none" w:pos="700"/>
        </w:tabs>
        <w:spacing w:after="160" w:before="240" w:line="360" w:lineRule="auto"/>
        <w:ind w:left="700" w:hanging="400"/>
        <w:rPr/>
      </w:pPr>
      <w:r w:rsidDel="00000000" w:rsidR="00000000" w:rsidRPr="00000000">
        <w:rPr>
          <w:rFonts w:ascii="Lora Medium" w:cs="Lora Medium" w:eastAsia="Lora Medium" w:hAnsi="Lora Medium"/>
          <w:b w:val="1"/>
          <w:bCs w:val="1"/>
          <w:i w:val="1"/>
          <w:iCs w:val="1"/>
          <w:rtl w:val="0"/>
        </w:rPr>
        <w:t xml:space="preserve">f.</w:t>
        <w:tab/>
        <w:t xml:space="preserve">Da preliminar de nulidade e da desnecessidade de cassação:</w:t>
      </w:r>
      <w:r w:rsidDel="00000000" w:rsidR="00000000" w:rsidRPr="00000000">
        <w:rPr>
          <w:rtl w:val="0"/>
        </w:rPr>
      </w:r>
    </w:p>
    <w:p w:rsidR="00000000" w:rsidDel="00000000" w:rsidP="00000000" w:rsidRDefault="00000000" w:rsidRPr="00000000" w14:paraId="00000034">
      <w:pPr>
        <w:spacing w:after="60" w:line="360" w:lineRule="auto"/>
        <w:ind w:firstLine="850"/>
        <w:jc w:val="both"/>
        <w:rPr/>
      </w:pPr>
      <w:r w:rsidDel="00000000" w:rsidR="00000000" w:rsidRPr="00000000">
        <w:rPr>
          <w:rFonts w:ascii="Lora Medium" w:cs="Lora Medium" w:eastAsia="Lora Medium" w:hAnsi="Lora Medium"/>
          <w:rtl w:val="0"/>
        </w:rPr>
        <w:t xml:space="preserve">A decisão agravada está fundamentada, reconheceu que a pretensão do banco era rediscussão do mérito e citou expressamente o art. 525, § 1º, VII, do CPC. O julgador não é obrigado a rebater argumento incapaz de alterar a conclusão (art. 489, § 1º, IV, do CPC), e a alegação de superveniência, como visto, é falsa.</w:t>
      </w:r>
      <w:r w:rsidDel="00000000" w:rsidR="00000000" w:rsidRPr="00000000">
        <w:rPr>
          <w:rtl w:val="0"/>
        </w:rPr>
      </w:r>
    </w:p>
    <w:p w:rsidR="00000000" w:rsidDel="00000000" w:rsidP="00000000" w:rsidRDefault="00000000" w:rsidRPr="00000000" w14:paraId="00000035">
      <w:pPr>
        <w:spacing w:after="60" w:line="360" w:lineRule="auto"/>
        <w:ind w:firstLine="850"/>
        <w:jc w:val="both"/>
        <w:rPr/>
      </w:pPr>
      <w:r w:rsidDel="00000000" w:rsidR="00000000" w:rsidRPr="00000000">
        <w:rPr>
          <w:rFonts w:ascii="Lora Medium" w:cs="Lora Medium" w:eastAsia="Lora Medium" w:hAnsi="Lora Medium"/>
          <w:rtl w:val="0"/>
        </w:rPr>
        <w:t xml:space="preserve">De todo modo, todos os documentos necessários ao cotejo estão nos autos, e o próprio agravante pediu, subsidiariamente, que este Tribunal suprisse a omissão desde logo (ID 35832392, pedido “d”). Cassar a decisão apenas para que a origem faça uma comparação de datas que já está feita nestas contrarrazões imporia aos sucessores, todos hipossuficientes, mais demora sem nenhuma utilidade (arts. 4º e 1.013, § 3º, do CPC).</w:t>
      </w:r>
      <w:r w:rsidDel="00000000" w:rsidR="00000000" w:rsidRPr="00000000">
        <w:rPr>
          <w:rtl w:val="0"/>
        </w:rPr>
      </w:r>
    </w:p>
    <w:p w:rsidR="00000000" w:rsidDel="00000000" w:rsidP="00000000" w:rsidRDefault="00000000" w:rsidRPr="00000000" w14:paraId="00000036">
      <w:pPr>
        <w:keepNext w:val="1"/>
        <w:shd w:fill="123bb8" w:val="clear"/>
        <w:tabs>
          <w:tab w:val="left" w:leader="none" w:pos="1000"/>
        </w:tabs>
        <w:spacing w:after="0" w:before="0" w:line="240" w:lineRule="auto"/>
        <w:ind w:left="0" w:firstLine="0"/>
        <w:rPr/>
      </w:pPr>
      <w:r w:rsidDel="00000000" w:rsidR="00000000" w:rsidRPr="00000000">
        <w:rPr>
          <w:rFonts w:ascii="Lora Medium" w:cs="Lora Medium" w:eastAsia="Lora Medium" w:hAnsi="Lora Medium"/>
          <w:b w:val="1"/>
          <w:bCs w:val="1"/>
          <w:i w:val="1"/>
          <w:iCs w:val="1"/>
          <w:color w:val="ffffff"/>
          <w:rtl w:val="0"/>
        </w:rPr>
        <w:tab/>
        <w:t xml:space="preserve">DA REVOGAÇÃO DA TUTELA RECURSAL</w:t>
      </w:r>
      <w:r w:rsidDel="00000000" w:rsidR="00000000" w:rsidRPr="00000000">
        <w:rPr>
          <w:rtl w:val="0"/>
        </w:rPr>
      </w:r>
    </w:p>
    <w:p w:rsidR="00000000" w:rsidDel="00000000" w:rsidP="00000000" w:rsidRDefault="00000000" w:rsidRPr="00000000" w14:paraId="00000037">
      <w:pPr>
        <w:spacing w:after="60" w:line="360" w:lineRule="auto"/>
        <w:ind w:firstLine="850"/>
        <w:jc w:val="both"/>
        <w:rPr>
          <w:rFonts w:ascii="Lora Medium" w:cs="Lora Medium" w:eastAsia="Lora Medium" w:hAnsi="Lora Medium"/>
        </w:rPr>
      </w:pPr>
      <w:r w:rsidDel="00000000" w:rsidR="00000000" w:rsidRPr="00000000">
        <w:rPr>
          <w:rtl w:val="0"/>
        </w:rPr>
      </w:r>
    </w:p>
    <w:p w:rsidR="00000000" w:rsidDel="00000000" w:rsidP="00000000" w:rsidRDefault="00000000" w:rsidRPr="00000000" w14:paraId="00000038">
      <w:pPr>
        <w:spacing w:after="60" w:line="360" w:lineRule="auto"/>
        <w:ind w:firstLine="850"/>
        <w:jc w:val="both"/>
        <w:rPr/>
      </w:pPr>
      <w:r w:rsidDel="00000000" w:rsidR="00000000" w:rsidRPr="00000000">
        <w:rPr>
          <w:rFonts w:ascii="Lora Medium" w:cs="Lora Medium" w:eastAsia="Lora Medium" w:hAnsi="Lora Medium"/>
          <w:rtl w:val="0"/>
        </w:rPr>
        <w:t xml:space="preserve">A tutela recursal foi deferida porque faltava o exame das datas dos estornos. Esse exame está feito e demonstra a anterioridade de todos eles. Desapareceu, assim, a probabilidade do direito que a sustentava (art. 995, parágrafo único, do CPC).</w:t>
      </w:r>
      <w:r w:rsidDel="00000000" w:rsidR="00000000" w:rsidRPr="00000000">
        <w:rPr>
          <w:rtl w:val="0"/>
        </w:rPr>
      </w:r>
    </w:p>
    <w:p w:rsidR="00000000" w:rsidDel="00000000" w:rsidP="00000000" w:rsidRDefault="00000000" w:rsidRPr="00000000" w14:paraId="00000039">
      <w:pPr>
        <w:spacing w:after="60" w:line="360" w:lineRule="auto"/>
        <w:ind w:firstLine="850"/>
        <w:jc w:val="both"/>
        <w:rPr/>
      </w:pPr>
      <w:r w:rsidDel="00000000" w:rsidR="00000000" w:rsidRPr="00000000">
        <w:rPr>
          <w:rFonts w:ascii="Lora Medium" w:cs="Lora Medium" w:eastAsia="Lora Medium" w:hAnsi="Lora Medium"/>
          <w:rtl w:val="0"/>
        </w:rPr>
        <w:t xml:space="preserve">Também não há risco para o agravante, todo o valor discutido está depositado em juízo. O risco real é dos sucessores. A Sra. Francisca faleceu em 16/07/2026 </w:t>
      </w:r>
      <w:r w:rsidDel="00000000" w:rsidR="00000000" w:rsidRPr="00000000">
        <w:rPr>
          <w:rFonts w:ascii="Lora Medium" w:cs="Lora Medium" w:eastAsia="Lora Medium" w:hAnsi="Lora Medium"/>
          <w:b w:val="1"/>
          <w:bCs w:val="1"/>
          <w:u w:val="single"/>
          <w:shd w:fill="cfe2f3" w:val="clear"/>
          <w:rtl w:val="0"/>
        </w:rPr>
        <w:t xml:space="preserve">sem receber um único centavo</w:t>
      </w:r>
      <w:r w:rsidDel="00000000" w:rsidR="00000000" w:rsidRPr="00000000">
        <w:rPr>
          <w:rFonts w:ascii="Lora Medium" w:cs="Lora Medium" w:eastAsia="Lora Medium" w:hAnsi="Lora Medium"/>
          <w:rtl w:val="0"/>
        </w:rPr>
        <w:t xml:space="preserve"> da condenação, e a demora prolonga o prejuízo de uma família hipossuficiente, credora de verba de natureza alimentar. Requer-se, por isso, a revogação da tutela recursal.</w:t>
      </w:r>
      <w:r w:rsidDel="00000000" w:rsidR="00000000" w:rsidRPr="00000000">
        <w:rPr>
          <w:rtl w:val="0"/>
        </w:rPr>
      </w:r>
    </w:p>
    <w:p w:rsidR="00000000" w:rsidDel="00000000" w:rsidP="00000000" w:rsidRDefault="00000000" w:rsidRPr="00000000" w14:paraId="0000003A">
      <w:pPr>
        <w:keepNext w:val="1"/>
        <w:shd w:fill="123bb8" w:val="clear"/>
        <w:tabs>
          <w:tab w:val="left" w:leader="none" w:pos="1000"/>
        </w:tabs>
        <w:spacing w:after="0" w:before="0" w:line="240" w:lineRule="auto"/>
        <w:ind w:left="0" w:firstLine="0"/>
        <w:rPr/>
      </w:pPr>
      <w:r w:rsidDel="00000000" w:rsidR="00000000" w:rsidRPr="00000000">
        <w:rPr>
          <w:rFonts w:ascii="Lora Medium" w:cs="Lora Medium" w:eastAsia="Lora Medium" w:hAnsi="Lora Medium"/>
          <w:b w:val="1"/>
          <w:bCs w:val="1"/>
          <w:i w:val="1"/>
          <w:iCs w:val="1"/>
          <w:color w:val="ffffff"/>
          <w:rtl w:val="0"/>
        </w:rPr>
        <w:tab/>
        <w:t xml:space="preserve">DA LITIGÂNCIA DE MÁ-FÉ</w:t>
      </w:r>
      <w:r w:rsidDel="00000000" w:rsidR="00000000" w:rsidRPr="00000000">
        <w:rPr>
          <w:rtl w:val="0"/>
        </w:rPr>
      </w:r>
    </w:p>
    <w:p w:rsidR="00000000" w:rsidDel="00000000" w:rsidP="00000000" w:rsidRDefault="00000000" w:rsidRPr="00000000" w14:paraId="0000003B">
      <w:pPr>
        <w:spacing w:after="60" w:line="360" w:lineRule="auto"/>
        <w:ind w:firstLine="850"/>
        <w:jc w:val="both"/>
        <w:rPr>
          <w:rFonts w:ascii="Lora Medium" w:cs="Lora Medium" w:eastAsia="Lora Medium" w:hAnsi="Lora Medium"/>
        </w:rPr>
      </w:pPr>
      <w:r w:rsidDel="00000000" w:rsidR="00000000" w:rsidRPr="00000000">
        <w:rPr>
          <w:rtl w:val="0"/>
        </w:rPr>
      </w:r>
    </w:p>
    <w:p w:rsidR="00000000" w:rsidDel="00000000" w:rsidP="00000000" w:rsidRDefault="00000000" w:rsidRPr="00000000" w14:paraId="0000003C">
      <w:pPr>
        <w:spacing w:after="60" w:line="360" w:lineRule="auto"/>
        <w:ind w:firstLine="850"/>
        <w:jc w:val="both"/>
        <w:rPr/>
      </w:pPr>
      <w:r w:rsidDel="00000000" w:rsidR="00000000" w:rsidRPr="00000000">
        <w:rPr>
          <w:rFonts w:ascii="Lora Medium" w:cs="Lora Medium" w:eastAsia="Lora Medium" w:hAnsi="Lora Medium"/>
          <w:rtl w:val="0"/>
        </w:rPr>
        <w:t xml:space="preserve">O agravante alterou a verdade dos fatos ao afirmar que os estornos seriam posteriores à formação do título, quando seus próprios documentos mostram o contrário (art. 80, II, do CPC). Insiste em quitação feita, quando muito, a uma conta que sabe não pertencer à autora desde maio de 2025, e interpôs recurso com intuito manifestamente protelatório (art. 80, IV, VI e VII, do CPC).</w:t>
      </w:r>
      <w:r w:rsidDel="00000000" w:rsidR="00000000" w:rsidRPr="00000000">
        <w:rPr>
          <w:rtl w:val="0"/>
        </w:rPr>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O Superior Tribunal de Justiça reconhece a litigância de má-fé de quem tenta alterar a verdade dos fatos ao interpor recurso:</w:t>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 1. Caracterizada a litigância de má-fé dos recorridos, pela tentativa de alterar a verdade dos fatos quando da interposição do agravo em recurso especial, correta sua condenação ao pagamento da multa de 1% sobre o valor da causa, prevista nos arts. 80, II, e 81, caput, do CPC. (...) (STJ, AgInt no AREsp 2.233.898/SC, Rel. Min. Maria Isabel Gallotti, Quarta Turma, julgado em 09/10/2023, DJe 16/10/2023)</w:t>
      </w:r>
    </w:p>
    <w:p w:rsidR="00000000" w:rsidDel="00000000" w:rsidP="00000000" w:rsidRDefault="00000000" w:rsidRPr="00000000" w14:paraId="0000003D">
      <w:pPr>
        <w:spacing w:after="60" w:line="360" w:lineRule="auto"/>
        <w:ind w:firstLine="850"/>
        <w:jc w:val="both"/>
        <w:rPr/>
      </w:pPr>
      <w:r w:rsidDel="00000000" w:rsidR="00000000" w:rsidRPr="00000000">
        <w:rPr>
          <w:rFonts w:ascii="Lora Medium" w:cs="Lora Medium" w:eastAsia="Lora Medium" w:hAnsi="Lora Medium"/>
          <w:rtl w:val="0"/>
        </w:rPr>
        <w:t xml:space="preserve">A conduta já havia sido qualificada pelo Juízo de origem como “manifestamente protelatória” e manteve a credora, idosa e doente, sem acesso ao que lhe era devido até a sua morte. Requer-se a condenação do agravante à multa do art. 81 do CPC, no patamar máximo de 10% do valor corrigido da causa, em favor dos sucessores.</w:t>
      </w:r>
      <w:r w:rsidDel="00000000" w:rsidR="00000000" w:rsidRPr="00000000">
        <w:rPr>
          <w:rtl w:val="0"/>
        </w:rPr>
      </w:r>
    </w:p>
    <w:p w:rsidR="00000000" w:rsidDel="00000000" w:rsidP="00000000" w:rsidRDefault="00000000" w:rsidRPr="00000000" w14:paraId="0000003E">
      <w:pPr>
        <w:keepNext w:val="1"/>
        <w:shd w:fill="123bb8" w:val="clear"/>
        <w:tabs>
          <w:tab w:val="left" w:leader="none" w:pos="1000"/>
        </w:tabs>
        <w:spacing w:after="0" w:before="0" w:line="240" w:lineRule="auto"/>
        <w:ind w:left="0" w:firstLine="0"/>
        <w:rPr/>
      </w:pPr>
      <w:r w:rsidDel="00000000" w:rsidR="00000000" w:rsidRPr="00000000">
        <w:rPr>
          <w:rFonts w:ascii="Lora Medium" w:cs="Lora Medium" w:eastAsia="Lora Medium" w:hAnsi="Lora Medium"/>
          <w:b w:val="1"/>
          <w:bCs w:val="1"/>
          <w:i w:val="1"/>
          <w:iCs w:val="1"/>
          <w:color w:val="ffffff"/>
          <w:rtl w:val="0"/>
        </w:rPr>
        <w:tab/>
        <w:t xml:space="preserve">DOS PEDIDOS</w:t>
      </w:r>
      <w:r w:rsidDel="00000000" w:rsidR="00000000" w:rsidRPr="00000000">
        <w:rPr>
          <w:rtl w:val="0"/>
        </w:rPr>
      </w:r>
    </w:p>
    <w:p w:rsidR="00000000" w:rsidDel="00000000" w:rsidP="00000000" w:rsidRDefault="00000000" w:rsidRPr="00000000" w14:paraId="0000003F">
      <w:pPr>
        <w:spacing w:after="60" w:line="360" w:lineRule="auto"/>
        <w:ind w:firstLine="850"/>
        <w:jc w:val="both"/>
        <w:rPr>
          <w:rFonts w:ascii="Lora Medium" w:cs="Lora Medium" w:eastAsia="Lora Medium" w:hAnsi="Lora Medium"/>
        </w:rPr>
      </w:pPr>
      <w:r w:rsidDel="00000000" w:rsidR="00000000" w:rsidRPr="00000000">
        <w:rPr>
          <w:rtl w:val="0"/>
        </w:rPr>
      </w:r>
    </w:p>
    <w:p w:rsidR="00000000" w:rsidDel="00000000" w:rsidP="00000000" w:rsidRDefault="00000000" w:rsidRPr="00000000" w14:paraId="00000040">
      <w:pPr>
        <w:spacing w:after="60" w:line="360" w:lineRule="auto"/>
        <w:ind w:firstLine="850"/>
        <w:jc w:val="both"/>
        <w:rPr/>
      </w:pPr>
      <w:r w:rsidDel="00000000" w:rsidR="00000000" w:rsidRPr="00000000">
        <w:rPr>
          <w:rFonts w:ascii="Lora Medium" w:cs="Lora Medium" w:eastAsia="Lora Medium" w:hAnsi="Lora Medium"/>
          <w:rtl w:val="0"/>
        </w:rPr>
        <w:t xml:space="preserve">Diante do exposto, requerem:</w:t>
      </w:r>
      <w:r w:rsidDel="00000000" w:rsidR="00000000" w:rsidRPr="00000000">
        <w:rPr>
          <w:rtl w:val="0"/>
        </w:rPr>
      </w:r>
    </w:p>
    <w:p w:rsidR="00000000" w:rsidDel="00000000" w:rsidP="00000000" w:rsidRDefault="00000000" w:rsidRPr="00000000" w14:paraId="00000041">
      <w:pPr>
        <w:spacing w:after="120" w:line="360" w:lineRule="auto"/>
        <w:ind w:left="1134" w:hanging="567"/>
        <w:jc w:val="both"/>
        <w:rPr/>
      </w:pPr>
      <w:r w:rsidDel="00000000" w:rsidR="00000000" w:rsidRPr="00000000">
        <w:rPr>
          <w:rFonts w:ascii="Lora Medium" w:cs="Lora Medium" w:eastAsia="Lora Medium" w:hAnsi="Lora Medium"/>
          <w:rtl w:val="0"/>
        </w:rPr>
        <w:t xml:space="preserve">a)</w:t>
        <w:tab/>
        <w:t xml:space="preserve">o recebimento destas contrarrazões, sem prejuízo da restituição integral do prazo aos sucessores após a habilitação (art. 221 do CPC);</w:t>
      </w:r>
      <w:r w:rsidDel="00000000" w:rsidR="00000000" w:rsidRPr="00000000">
        <w:rPr>
          <w:rtl w:val="0"/>
        </w:rPr>
      </w:r>
    </w:p>
    <w:p w:rsidR="00000000" w:rsidDel="00000000" w:rsidP="00000000" w:rsidRDefault="00000000" w:rsidRPr="00000000" w14:paraId="00000042">
      <w:pPr>
        <w:spacing w:after="120" w:line="360" w:lineRule="auto"/>
        <w:ind w:left="1134" w:hanging="567"/>
        <w:jc w:val="both"/>
        <w:rPr/>
      </w:pPr>
      <w:r w:rsidDel="00000000" w:rsidR="00000000" w:rsidRPr="00000000">
        <w:rPr>
          <w:rFonts w:ascii="Lora Medium" w:cs="Lora Medium" w:eastAsia="Lora Medium" w:hAnsi="Lora Medium"/>
          <w:rtl w:val="0"/>
        </w:rPr>
        <w:t xml:space="preserve">b)</w:t>
        <w:tab/>
        <w:t xml:space="preserve">a </w:t>
      </w:r>
      <w:r w:rsidDel="00000000" w:rsidR="00000000" w:rsidRPr="00000000">
        <w:rPr>
          <w:rFonts w:ascii="Lora Medium" w:cs="Lora Medium" w:eastAsia="Lora Medium" w:hAnsi="Lora Medium"/>
          <w:b w:val="1"/>
          <w:bCs w:val="1"/>
          <w:u w:val="single"/>
          <w:shd w:fill="cfe2f3" w:val="clear"/>
          <w:rtl w:val="0"/>
        </w:rPr>
        <w:t xml:space="preserve">revogação da tutela recursal</w:t>
      </w:r>
      <w:r w:rsidDel="00000000" w:rsidR="00000000" w:rsidRPr="00000000">
        <w:rPr>
          <w:rFonts w:ascii="Lora Medium" w:cs="Lora Medium" w:eastAsia="Lora Medium" w:hAnsi="Lora Medium"/>
          <w:rtl w:val="0"/>
        </w:rPr>
        <w:t xml:space="preserve"> deferida no ID 36111376;</w:t>
      </w:r>
      <w:r w:rsidDel="00000000" w:rsidR="00000000" w:rsidRPr="00000000">
        <w:rPr>
          <w:rtl w:val="0"/>
        </w:rPr>
      </w:r>
    </w:p>
    <w:p w:rsidR="00000000" w:rsidDel="00000000" w:rsidP="00000000" w:rsidRDefault="00000000" w:rsidRPr="00000000" w14:paraId="00000043">
      <w:pPr>
        <w:spacing w:after="120" w:line="360" w:lineRule="auto"/>
        <w:ind w:left="1134" w:hanging="567"/>
        <w:jc w:val="both"/>
        <w:rPr/>
      </w:pPr>
      <w:r w:rsidDel="00000000" w:rsidR="00000000" w:rsidRPr="00000000">
        <w:rPr>
          <w:rFonts w:ascii="Lora Medium" w:cs="Lora Medium" w:eastAsia="Lora Medium" w:hAnsi="Lora Medium"/>
          <w:rtl w:val="0"/>
        </w:rPr>
        <w:t xml:space="preserve">c)</w:t>
        <w:tab/>
        <w:t xml:space="preserve">a rejeição da preliminar de nulidade e, se Vossa Excelência entender necessário, a realização do cotejo das datas desde logo, por este Tribunal, com o reconhecimento de que todos os estornos são anteriores à sentença;</w:t>
      </w:r>
      <w:r w:rsidDel="00000000" w:rsidR="00000000" w:rsidRPr="00000000">
        <w:rPr>
          <w:rtl w:val="0"/>
        </w:rPr>
      </w:r>
    </w:p>
    <w:p w:rsidR="00000000" w:rsidDel="00000000" w:rsidP="00000000" w:rsidRDefault="00000000" w:rsidRPr="00000000" w14:paraId="00000044">
      <w:pPr>
        <w:spacing w:after="120" w:line="360" w:lineRule="auto"/>
        <w:ind w:left="1134" w:hanging="567"/>
        <w:jc w:val="both"/>
        <w:rPr/>
      </w:pPr>
      <w:r w:rsidDel="00000000" w:rsidR="00000000" w:rsidRPr="00000000">
        <w:rPr>
          <w:rFonts w:ascii="Lora Medium" w:cs="Lora Medium" w:eastAsia="Lora Medium" w:hAnsi="Lora Medium"/>
          <w:rtl w:val="0"/>
        </w:rPr>
        <w:t xml:space="preserve">d)</w:t>
        <w:tab/>
        <w:t xml:space="preserve">o </w:t>
      </w:r>
      <w:r w:rsidDel="00000000" w:rsidR="00000000" w:rsidRPr="00000000">
        <w:rPr>
          <w:rFonts w:ascii="Lora Medium" w:cs="Lora Medium" w:eastAsia="Lora Medium" w:hAnsi="Lora Medium"/>
          <w:b w:val="1"/>
          <w:bCs w:val="1"/>
          <w:u w:val="single"/>
          <w:shd w:fill="cfe2f3" w:val="clear"/>
          <w:rtl w:val="0"/>
        </w:rPr>
        <w:t xml:space="preserve">desprovimento do agravo de instrumento</w:t>
      </w:r>
      <w:r w:rsidDel="00000000" w:rsidR="00000000" w:rsidRPr="00000000">
        <w:rPr>
          <w:rFonts w:ascii="Lora Medium" w:cs="Lora Medium" w:eastAsia="Lora Medium" w:hAnsi="Lora Medium"/>
          <w:rtl w:val="0"/>
        </w:rPr>
        <w:t xml:space="preserve">, com a manutenção integral da decisão que rejeitou a impugnação, homologou o cálculo de R$ 35.057,00 e fixou a multa e os honorários do art. 523, § 1º, do CPC;</w:t>
      </w:r>
      <w:r w:rsidDel="00000000" w:rsidR="00000000" w:rsidRPr="00000000">
        <w:rPr>
          <w:rtl w:val="0"/>
        </w:rPr>
      </w:r>
    </w:p>
    <w:p w:rsidR="00000000" w:rsidDel="00000000" w:rsidP="00000000" w:rsidRDefault="00000000" w:rsidRPr="00000000" w14:paraId="00000045">
      <w:pPr>
        <w:spacing w:after="120" w:line="360" w:lineRule="auto"/>
        <w:ind w:left="1134" w:hanging="567"/>
        <w:jc w:val="both"/>
        <w:rPr/>
      </w:pPr>
      <w:r w:rsidDel="00000000" w:rsidR="00000000" w:rsidRPr="00000000">
        <w:rPr>
          <w:rFonts w:ascii="Lora Medium" w:cs="Lora Medium" w:eastAsia="Lora Medium" w:hAnsi="Lora Medium"/>
          <w:rtl w:val="0"/>
        </w:rPr>
        <w:t xml:space="preserve">e)</w:t>
        <w:tab/>
        <w:t xml:space="preserve">a majoração dos honorários advocatícios fixados na origem, nos termos do art. 85, § 11, do CPC;</w:t>
      </w:r>
      <w:r w:rsidDel="00000000" w:rsidR="00000000" w:rsidRPr="00000000">
        <w:rPr>
          <w:rtl w:val="0"/>
        </w:rPr>
      </w:r>
    </w:p>
    <w:p w:rsidR="00000000" w:rsidDel="00000000" w:rsidP="00000000" w:rsidRDefault="00000000" w:rsidRPr="00000000" w14:paraId="00000046">
      <w:pPr>
        <w:spacing w:after="120" w:line="360" w:lineRule="auto"/>
        <w:ind w:left="1134" w:hanging="567"/>
        <w:jc w:val="both"/>
        <w:rPr/>
      </w:pPr>
      <w:r w:rsidDel="00000000" w:rsidR="00000000" w:rsidRPr="00000000">
        <w:rPr>
          <w:rFonts w:ascii="Lora Medium" w:cs="Lora Medium" w:eastAsia="Lora Medium" w:hAnsi="Lora Medium"/>
          <w:rtl w:val="0"/>
        </w:rPr>
        <w:t xml:space="preserve">f)</w:t>
        <w:tab/>
        <w:t xml:space="preserve">a condenação do agravante por </w:t>
      </w:r>
      <w:r w:rsidDel="00000000" w:rsidR="00000000" w:rsidRPr="00000000">
        <w:rPr>
          <w:rFonts w:ascii="Lora Medium" w:cs="Lora Medium" w:eastAsia="Lora Medium" w:hAnsi="Lora Medium"/>
          <w:b w:val="1"/>
          <w:bCs w:val="1"/>
          <w:u w:val="single"/>
          <w:shd w:fill="cfe2f3" w:val="clear"/>
          <w:rtl w:val="0"/>
        </w:rPr>
        <w:t xml:space="preserve">litigância de má-fé</w:t>
      </w:r>
      <w:r w:rsidDel="00000000" w:rsidR="00000000" w:rsidRPr="00000000">
        <w:rPr>
          <w:rFonts w:ascii="Lora Medium" w:cs="Lora Medium" w:eastAsia="Lora Medium" w:hAnsi="Lora Medium"/>
          <w:rtl w:val="0"/>
        </w:rPr>
        <w:t xml:space="preserve">, com multa de 10% do valor corrigido da causa (arts. 80, II, IV, VI e VII, e 81 do CPC);</w:t>
      </w:r>
      <w:r w:rsidDel="00000000" w:rsidR="00000000" w:rsidRPr="00000000">
        <w:rPr>
          <w:rtl w:val="0"/>
        </w:rPr>
      </w:r>
    </w:p>
    <w:p w:rsidR="00000000" w:rsidDel="00000000" w:rsidP="00000000" w:rsidRDefault="00000000" w:rsidRPr="00000000" w14:paraId="00000047">
      <w:pPr>
        <w:spacing w:after="120" w:line="360" w:lineRule="auto"/>
        <w:ind w:left="1134" w:hanging="567"/>
        <w:jc w:val="both"/>
        <w:rPr/>
      </w:pPr>
      <w:r w:rsidDel="00000000" w:rsidR="00000000" w:rsidRPr="00000000">
        <w:rPr>
          <w:rFonts w:ascii="Lora Medium" w:cs="Lora Medium" w:eastAsia="Lora Medium" w:hAnsi="Lora Medium"/>
          <w:rtl w:val="0"/>
        </w:rPr>
        <w:t xml:space="preserve">g)</w:t>
        <w:tab/>
        <w:t xml:space="preserve">a concessão dos benefícios da justiça gratuita e da prioridade de tramitação aos sucessores (arts. 98, 99 e 1.048, I e § 3º, do CPC);</w:t>
      </w:r>
      <w:r w:rsidDel="00000000" w:rsidR="00000000" w:rsidRPr="00000000">
        <w:rPr>
          <w:rtl w:val="0"/>
        </w:rPr>
      </w:r>
    </w:p>
    <w:p w:rsidR="00000000" w:rsidDel="00000000" w:rsidP="00000000" w:rsidRDefault="00000000" w:rsidRPr="00000000" w14:paraId="00000048">
      <w:pPr>
        <w:spacing w:after="120" w:line="360" w:lineRule="auto"/>
        <w:ind w:left="1134" w:hanging="567"/>
        <w:jc w:val="both"/>
        <w:rPr/>
      </w:pPr>
      <w:r w:rsidDel="00000000" w:rsidR="00000000" w:rsidRPr="00000000">
        <w:rPr>
          <w:rFonts w:ascii="Lora Medium" w:cs="Lora Medium" w:eastAsia="Lora Medium" w:hAnsi="Lora Medium"/>
          <w:rtl w:val="0"/>
        </w:rPr>
        <w:t xml:space="preserve">h)</w:t>
        <w:tab/>
        <w:t xml:space="preserve">que todas as intimações sejam feitas em nome do advogado ANTÔNIO DE PÁDUA SANTOS NETO, OAB/PI 21.320, sob pena de nulidade.</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spacing w:after="0" w:line="360" w:lineRule="auto"/>
        <w:jc w:val="center"/>
        <w:rPr/>
      </w:pPr>
      <w:r w:rsidDel="00000000" w:rsidR="00000000" w:rsidRPr="00000000">
        <w:rPr>
          <w:rFonts w:ascii="Lora Medium" w:cs="Lora Medium" w:eastAsia="Lora Medium" w:hAnsi="Lora Medium"/>
          <w:rtl w:val="0"/>
        </w:rPr>
        <w:t xml:space="preserve">Nestes termos,</w:t>
      </w:r>
      <w:r w:rsidDel="00000000" w:rsidR="00000000" w:rsidRPr="00000000">
        <w:rPr>
          <w:rtl w:val="0"/>
        </w:rPr>
      </w:r>
    </w:p>
    <w:p w:rsidR="00000000" w:rsidDel="00000000" w:rsidP="00000000" w:rsidRDefault="00000000" w:rsidRPr="00000000" w14:paraId="0000004B">
      <w:pPr>
        <w:spacing w:after="0" w:line="360" w:lineRule="auto"/>
        <w:jc w:val="center"/>
        <w:rPr/>
      </w:pPr>
      <w:r w:rsidDel="00000000" w:rsidR="00000000" w:rsidRPr="00000000">
        <w:rPr>
          <w:rFonts w:ascii="Lora Medium" w:cs="Lora Medium" w:eastAsia="Lora Medium" w:hAnsi="Lora Medium"/>
          <w:rtl w:val="0"/>
        </w:rPr>
        <w:t xml:space="preserve">Pede deferimento.</w:t>
      </w: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spacing w:after="0" w:line="360" w:lineRule="auto"/>
        <w:jc w:val="center"/>
        <w:rPr/>
      </w:pPr>
      <w:r w:rsidDel="00000000" w:rsidR="00000000" w:rsidRPr="00000000">
        <w:rPr>
          <w:rFonts w:ascii="Lora Medium" w:cs="Lora Medium" w:eastAsia="Lora Medium" w:hAnsi="Lora Medium"/>
          <w:rtl w:val="0"/>
        </w:rPr>
        <w:t xml:space="preserve">Miguel Alves-PI, datado eletronicamente.</w:t>
      </w: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spacing w:after="0" w:line="360" w:lineRule="auto"/>
        <w:jc w:val="center"/>
        <w:rPr/>
      </w:pPr>
      <w:r w:rsidDel="00000000" w:rsidR="00000000" w:rsidRPr="00000000">
        <w:rPr>
          <w:rFonts w:ascii="Lora Medium" w:cs="Lora Medium" w:eastAsia="Lora Medium" w:hAnsi="Lora Medium"/>
          <w:b w:val="1"/>
          <w:bCs w:val="1"/>
          <w:rtl w:val="0"/>
        </w:rPr>
        <w:t xml:space="preserve">ANTÔNIO DE PÁDUA SANTOS NETO</w:t>
      </w:r>
      <w:r w:rsidDel="00000000" w:rsidR="00000000" w:rsidRPr="00000000">
        <w:rPr>
          <w:rtl w:val="0"/>
        </w:rPr>
      </w:r>
    </w:p>
    <w:p w:rsidR="00000000" w:rsidDel="00000000" w:rsidP="00000000" w:rsidRDefault="00000000" w:rsidRPr="00000000" w14:paraId="00000051">
      <w:pPr>
        <w:spacing w:after="0" w:line="360" w:lineRule="auto"/>
        <w:jc w:val="center"/>
        <w:rPr/>
      </w:pPr>
      <w:r w:rsidDel="00000000" w:rsidR="00000000" w:rsidRPr="00000000">
        <w:rPr>
          <w:rFonts w:ascii="Lora Medium" w:cs="Lora Medium" w:eastAsia="Lora Medium" w:hAnsi="Lora Medium"/>
          <w:rtl w:val="0"/>
        </w:rPr>
        <w:t xml:space="preserve">ADVOGADO - OAB/PI 21.320</w:t>
      </w:r>
      <w:r w:rsidDel="00000000" w:rsidR="00000000" w:rsidRPr="00000000">
        <w:rPr>
          <w:rtl w:val="0"/>
        </w:rPr>
      </w:r>
    </w:p>
    <w:sectPr>
      <w:headerReference r:id="rId7" w:type="default"/>
      <w:footerReference r:id="rId8" w:type="default"/>
      <w:pgSz w:h="16838" w:w="11906" w:orient="portrait"/>
      <w:pgMar w:bottom="1500" w:top="2330" w:left="1134" w:right="1134" w:header="500" w:footer="50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Lora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ora">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4">
    <w:pPr>
      <w:pBdr>
        <w:top w:color="9aa0a6" w:space="4" w:sz="6" w:val="single"/>
      </w:pBdr>
      <w:spacing w:line="240" w:lineRule="auto"/>
      <w:jc w:val="center"/>
      <w:rPr/>
    </w:pPr>
    <w:r w:rsidDel="00000000" w:rsidR="00000000" w:rsidRPr="00000000">
      <w:rPr>
        <w:b w:val="1"/>
        <w:bCs w:val="1"/>
        <w:i w:val="1"/>
        <w:iCs w:val="1"/>
        <w:color w:val="123bb8"/>
        <w:sz w:val="16"/>
        <w:szCs w:val="16"/>
        <w:rtl w:val="0"/>
      </w:rPr>
      <w:t xml:space="preserve">Rua Rio Grande do Sul, 1641, bairro São Miguel, CEP: 64.130-000, Miguel Alves-PI - (86) 9 7400-9869 - paduanetojus@gmail.com</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spacing w:after="0" w:lineRule="auto"/>
      <w:jc w:val="center"/>
      <w:rPr/>
    </w:pPr>
    <w:r w:rsidDel="00000000" w:rsidR="00000000" w:rsidRPr="00000000">
      <w:rPr/>
      <w:drawing>
        <wp:inline distB="0" distT="0" distL="0" distR="0">
          <wp:extent cx="1809750" cy="952500"/>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80975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pBdr>
        <w:bottom w:color="9aa0a6" w:space="1" w:sz="6" w:val="single"/>
      </w:pBdr>
      <w:spacing w:after="0"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ora" w:cs="Lora" w:eastAsia="Lora" w:hAnsi="Lora"/>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w:cs="Lora" w:eastAsia="Lora" w:hAnsi="Lor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w:cs="Lora" w:eastAsia="Lora" w:hAnsi="Lor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w:cs="Lora" w:eastAsia="Lora" w:hAnsi="Lor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w:cs="Lora" w:eastAsia="Lora" w:hAnsi="Lora"/>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w:cs="Lora" w:eastAsia="Lora" w:hAnsi="Lora"/>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w:cs="Lora" w:eastAsia="Lora" w:hAnsi="Lora"/>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w:cs="Lora" w:eastAsia="Lora" w:hAnsi="Lora"/>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LoraMedium-regular.ttf"/><Relationship Id="rId2" Type="http://schemas.openxmlformats.org/officeDocument/2006/relationships/font" Target="fonts/LoraMedium-bold.ttf"/><Relationship Id="rId3" Type="http://schemas.openxmlformats.org/officeDocument/2006/relationships/font" Target="fonts/LoraMedium-italic.ttf"/><Relationship Id="rId4" Type="http://schemas.openxmlformats.org/officeDocument/2006/relationships/font" Target="fonts/LoraMedium-boldItalic.ttf"/><Relationship Id="rId5" Type="http://schemas.openxmlformats.org/officeDocument/2006/relationships/font" Target="fonts/Lora-regular.ttf"/><Relationship Id="rId6" Type="http://schemas.openxmlformats.org/officeDocument/2006/relationships/font" Target="fonts/Lora-bold.ttf"/><Relationship Id="rId7" Type="http://schemas.openxmlformats.org/officeDocument/2006/relationships/font" Target="fonts/Lora-italic.ttf"/><Relationship Id="rId8" Type="http://schemas.openxmlformats.org/officeDocument/2006/relationships/font" Target="fonts/Lor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3nrOHMc3cdngKUBZe9NOkvo8ErQ==">CgMxLjA4AHIhMU1OZ205NmlQS0wta1FwNjhsWkRoTnlIOExEQVNEUlNt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2026-10-03T02:33:01.698Z</dcterms:created>
  <dc:creator>Antônio de Pádua Santos Neto</dc:creator>
</cp:coreProperties>
</file>

<file path=docProps/custom.xml><?xml version="1.0" encoding="utf-8"?>
<Properties xmlns="http://schemas.openxmlformats.org/officeDocument/2006/custom-properties" xmlns:vt="http://schemas.openxmlformats.org/officeDocument/2006/docPropsVTypes"/>
</file>