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Lora" w:cs="Lora" w:eastAsia="Lora" w:hAnsi="Lora"/>
          <w:b w:val="1"/>
          <w:bCs w:val="1"/>
        </w:rPr>
      </w:pPr>
      <w:r>
        <w:rPr>
          <w:rFonts w:ascii="Lora" w:cs="Lora" w:eastAsia="Lora" w:hAnsi="Lora"/>
          <w:b w:val="1"/>
          <w:bCs w:val="1"/>
          <w:rtl w:val="0"/>
        </w:rPr>
        <w:t xml:space="preserve">EXCELENTÍSSIMO SENHOR DOUTOR JUIZ DE DIREITO DA VARA ÚNICA DA COMARCA DE MIGUEL ALVES-PI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Lora" w:cs="Lora" w:eastAsia="Lora" w:hAnsi="Lor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ora" w:cs="Lora" w:eastAsia="Lora" w:hAnsi="Lor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360" w:lineRule="auto"/>
        <w:ind w:firstLine="0"/>
        <w:jc w:val="both"/>
        <w:rPr>
          <w:rFonts w:ascii="Lora Medium" w:cs="Lora Medium" w:eastAsia="Lora Medium" w:hAnsi="Lora Medium"/>
        </w:rPr>
      </w:pPr>
      <w:r>
        <w:rPr>
          <w:rFonts w:ascii="Lora" w:cs="Lora" w:eastAsia="Lora" w:hAnsi="Lora"/>
          <w:b w:val="1"/>
          <w:bCs w:val="1"/>
          <w:rtl w:val="0"/>
        </w:rPr>
        <w:t xml:space="preserve">DANIELA BRAGA PEREIRA</w:t>
      </w:r>
      <w:r>
        <w:rPr>
          <w:rFonts w:ascii="Lora Medium" w:cs="Lora Medium" w:eastAsia="Lora Medium" w:hAnsi="Lora Medium"/>
          <w:rtl w:val="0"/>
        </w:rPr>
        <w:t xml:space="preserve">, inscrita no CPF nº </w:t>
      </w:r>
      <w:r>
        <w:rPr>
          <w:rFonts w:ascii="Lora" w:cs="Lora" w:eastAsia="Lora" w:hAnsi="Lora"/>
          <w:b w:val="1"/>
          <w:bCs w:val="1"/>
          <w:rtl w:val="0"/>
        </w:rPr>
        <w:t xml:space="preserve">077.327.393-02</w:t>
      </w:r>
      <w:r>
        <w:rPr>
          <w:rFonts w:ascii="Lora Medium" w:cs="Lora Medium" w:eastAsia="Lora Medium" w:hAnsi="Lora Medium"/>
          <w:rtl w:val="0"/>
        </w:rPr>
        <w:t xml:space="preserve">, residente e domiciliada na </w:t>
      </w:r>
      <w:r>
        <w:rPr>
          <w:rtl w:val="0"/>
        </w:rPr>
        <w:t xml:space="preserve">Rua Estreito, nº 207, Bairro Matadouro, CEP 64130-000, Miguel Alves/PI</w:t>
      </w:r>
      <w:r>
        <w:rPr>
          <w:rFonts w:ascii="Lora Medium" w:cs="Lora Medium" w:eastAsia="Lora Medium" w:hAnsi="Lora Medium"/>
          <w:rtl w:val="0"/>
        </w:rPr>
        <w:t xml:space="preserve">, telefone</w:t>
      </w:r>
      <w:r>
        <w:rPr>
          <w:rtl w:val="0"/>
        </w:rPr>
        <w:t xml:space="preserve"> (86) 99423-0280</w:t>
      </w:r>
      <w:r>
        <w:rPr>
          <w:rFonts w:ascii="Lora Medium" w:cs="Lora Medium" w:eastAsia="Lora Medium" w:hAnsi="Lora Medium"/>
          <w:rtl w:val="0"/>
        </w:rPr>
        <w:t xml:space="preserve">, por intermédio de seu advogado, constituído mediante procuração em anexo, cujo endereço físico está situado na Rua Rio Grande do Sul, nº 1641, Bairro São Miguel, Miguel Alves-PI, CEP nº: 64.130-000 e eletrônico: </w:t>
      </w:r>
      <w:r>
        <w:rPr>
          <w:rFonts w:ascii="Lora Medium" w:cs="Lora Medium" w:eastAsia="Lora Medium" w:hAnsi="Lora Medium"/>
          <w:i w:val="1"/>
          <w:iCs w:val="1"/>
          <w:rtl w:val="0"/>
        </w:rPr>
        <w:t xml:space="preserve">paduanetojus@gmail.com</w:t>
      </w:r>
      <w:r>
        <w:rPr>
          <w:rFonts w:ascii="Lora Medium" w:cs="Lora Medium" w:eastAsia="Lora Medium" w:hAnsi="Lora Medium"/>
          <w:rtl w:val="0"/>
        </w:rPr>
        <w:t xml:space="preserve">, vem, respeitosamente, à presença de Vossa Excelência, com fundamento nos arts. 5º, V e X, da Constituição Federal, arts. 186 e 927 do Código Civil, e, especialmente, nos arts. 4º, I, 6º, III, IV, VI e VIII, 7º, parágrafo único, 18 e demais dispositivos aplicáveis do Código de Defesa do Consumidor, propor a presente</w:t>
      </w:r>
      <w:r>
        <w:rPr>
          <w:rtl w:val="0"/>
        </w:rPr>
        <w:t xml:space="preserve"> </w:t>
      </w:r>
      <w:r>
        <w:rPr>
          <w:rFonts w:ascii="Lora" w:cs="Lora" w:eastAsia="Lora" w:hAnsi="Lora"/>
          <w:b w:val="1"/>
          <w:bCs w:val="1"/>
          <w:rtl w:val="0"/>
        </w:rPr>
        <w:t xml:space="preserve">AÇÃO DE RESOLUÇÃO CONTRATUAL C/C RESTITUIÇÃO DE QUANTIA PAGA, INDENIZAÇÃO POR DANOS MORAIS</w:t>
      </w:r>
      <w:r>
        <w:rPr>
          <w:rtl w:val="0"/>
        </w:rPr>
        <w:t xml:space="preserve"> em face de</w:t>
      </w:r>
      <w:r>
        <w:rPr>
          <w:rFonts w:ascii="Lora" w:cs="Lora" w:eastAsia="Lora" w:hAnsi="Lora"/>
          <w:b w:val="1"/>
          <w:bCs w:val="1"/>
          <w:rtl w:val="0"/>
        </w:rPr>
        <w:t xml:space="preserve"> BUD COMÉRCIO DE ELETRODOMÉSTICOS LTDA</w:t>
      </w:r>
      <w:r>
        <w:rPr>
          <w:rFonts w:ascii="Lora Medium" w:cs="Lora Medium" w:eastAsia="Lora Medium" w:hAnsi="Lora Medium"/>
          <w:rtl w:val="0"/>
        </w:rPr>
        <w:t xml:space="preserve">, pessoa jurídica de direito privado, inscrita no CNPJ sob nº </w:t>
      </w:r>
      <w:r>
        <w:rPr>
          <w:rtl w:val="0"/>
        </w:rPr>
        <w:t xml:space="preserve">62.058.318/0012-33</w:t>
      </w:r>
      <w:r>
        <w:rPr>
          <w:rFonts w:ascii="Lora Medium" w:cs="Lora Medium" w:eastAsia="Lora Medium" w:hAnsi="Lora Medium"/>
          <w:rtl w:val="0"/>
        </w:rPr>
        <w:t xml:space="preserve">, com endereço na Rua Manoel Cesar de Melo, s/n, Condomínio CBI-LOG, Galpão Sul, Módulos 4, 5 e 6, Distrito Industrial, Alhandra/PB, CEP 58320-000, endereço que consta da documentação fiscal; e</w:t>
      </w:r>
      <w:r>
        <w:rPr>
          <w:rtl w:val="0"/>
        </w:rPr>
        <w:t xml:space="preserve"> </w:t>
      </w:r>
      <w:r>
        <w:rPr>
          <w:rFonts w:ascii="Lora" w:cs="Lora" w:eastAsia="Lora" w:hAnsi="Lora"/>
          <w:b w:val="1"/>
          <w:bCs w:val="1"/>
          <w:rtl w:val="0"/>
        </w:rPr>
        <w:t xml:space="preserve">WHIRLPOOL S.A., Unidade de eletrodomésticos, </w:t>
      </w:r>
      <w:r>
        <w:rPr>
          <w:rFonts w:ascii="Lora Medium" w:cs="Lora Medium" w:eastAsia="Lora Medium" w:hAnsi="Lora Medium"/>
          <w:rtl w:val="0"/>
        </w:rPr>
        <w:t xml:space="preserve">pessoa jurídica de direito privado, inscrita no CNPJ sob nº </w:t>
      </w:r>
      <w:r>
        <w:rPr>
          <w:rtl w:val="0"/>
        </w:rPr>
        <w:t xml:space="preserve">59.105.999/0028-04,</w:t>
      </w:r>
      <w:r>
        <w:rPr>
          <w:rFonts w:ascii="Lora Medium" w:cs="Lora Medium" w:eastAsia="Lora Medium" w:hAnsi="Lora Medium"/>
          <w:rtl w:val="0"/>
        </w:rPr>
        <w:t xml:space="preserve"> com endereço na Rua Olympia Semeraro, Nº 675, Jardim Santa Emília, São Paulo/SP, CEP 04183-090, fabricante dos produtos da marca </w:t>
      </w:r>
      <w:r>
        <w:rPr>
          <w:rtl w:val="0"/>
        </w:rPr>
        <w:t xml:space="preserve">Consul</w:t>
      </w:r>
      <w:r>
        <w:rPr>
          <w:rFonts w:ascii="Lora Medium" w:cs="Lora Medium" w:eastAsia="Lora Medium" w:hAnsi="Lora Medium"/>
          <w:rtl w:val="0"/>
        </w:rPr>
        <w:t xml:space="preserve">, pelos fatos e fundamentos jurídicos a seguir expostos.</w:t>
      </w:r>
    </w:p>
    <w:p w:rsidR="00000000" w:rsidDel="00000000" w:rsidP="00000000" w:rsidRDefault="00000000" w:rsidRPr="00000000" w14:paraId="00000006">
      <w:pPr>
        <w:spacing w:after="60" w:line="360" w:lineRule="auto"/>
        <w:ind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360" w:lineRule="auto"/>
        <w:ind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ind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ind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hd w:fill="123bb8" w:val="clear"/>
        <w:tabs>
          <w:tab w:val="left" w:leader="none" w:pos="1000"/>
        </w:tabs>
        <w:spacing w:after="0" w:before="0" w:line="240" w:lineRule="auto"/>
        <w:ind w:left="0" w:firstLine="0"/>
        <w:rPr/>
      </w:pPr>
      <w:r>
        <w:rPr>
          <w:rFonts w:ascii="Lora" w:cs="Lora" w:eastAsia="Lora" w:hAnsi="Lora"/>
          <w:b w:val="1"/>
          <w:bCs w:val="1"/>
          <w:i w:val="1"/>
          <w:iCs w:val="1"/>
          <w:color w:val="ffffff"/>
          <w:rtl w:val="0"/>
        </w:rPr>
        <w:tab/>
        <w:t xml:space="preserve">Preliminares.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a.</w:t>
        <w:tab/>
        <w:t xml:space="preserve">Da justiça gratuita: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Autora não possui condições de arcar com as custas e despesas processuais sem prejuízo do próprio sustento e de sua família, razão pela qual requer, desde já, os benefícios da gratuidade da justiça, nos termos do art. 5º, LXXIV, da Constituição Federal e dos arts. 98 e 99 do Código de Processo Civil, </w:t>
      </w:r>
      <w:r>
        <w:rPr>
          <w:rtl w:val="0"/>
        </w:rPr>
        <w:t xml:space="preserve">conforme declaração de hipossuficiência em anexo.</w:t>
      </w:r>
    </w:p>
    <w:p w:rsidR="00000000" w:rsidDel="00000000" w:rsidP="00000000" w:rsidRDefault="00000000" w:rsidRPr="00000000" w14:paraId="0000000D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b.</w:t>
        <w:tab/>
        <w:t xml:space="preserve">Da audiência de conciliação: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parte autora manifesta interesse na realização de audiência de conciliação, nos termos do art. 319, VII, do Código de Processo Civil e do art. 21 da Lei nº 9.099/1995.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c.</w:t>
        <w:tab/>
        <w:t xml:space="preserve">Da competência: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presente demanda decorre de relação de consumo e tem por objeto a reparação dos danos decorrentes de vício de produto adquirido pela Autora na condição de destinatária final. Nos termos do art. 101, I, do Código de Defesa do Consumidor, a ação de responsabilidade civil do fornecedor pode ser proposta no </w:t>
      </w:r>
      <w:r>
        <w:rPr>
          <w:rtl w:val="0"/>
        </w:rPr>
        <w:t xml:space="preserve">domicílio do consumidor. </w:t>
      </w:r>
    </w:p>
    <w:p w:rsidR="00000000" w:rsidDel="00000000" w:rsidP="00000000" w:rsidRDefault="00000000" w:rsidRPr="00000000" w14:paraId="00000011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Assim, considerando que a Autora reside em </w:t>
      </w:r>
      <w:r>
        <w:rPr>
          <w:rFonts w:ascii="Lora" w:cs="Lora" w:eastAsia="Lora" w:hAnsi="Lora"/>
          <w:b w:val="1"/>
          <w:bCs w:val="1"/>
          <w:rtl w:val="0"/>
        </w:rPr>
        <w:t xml:space="preserve">Miguel Alves/PI</w:t>
      </w:r>
      <w:r>
        <w:rPr>
          <w:rFonts w:ascii="Lora Medium" w:cs="Lora Medium" w:eastAsia="Lora Medium" w:hAnsi="Lora Medium"/>
          <w:rtl w:val="0"/>
        </w:rPr>
        <w:t xml:space="preserve">, é competente o Juízo da Comarca de Miguel Alves para processamento e julgamento da presente demanda.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40" w:lineRule="auto"/>
        <w:ind w:firstLine="85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shd w:fill="123bb8" w:val="clear"/>
        <w:tabs>
          <w:tab w:val="left" w:leader="none" w:pos="1000"/>
        </w:tabs>
        <w:spacing w:after="0" w:before="0" w:line="240" w:lineRule="auto"/>
        <w:ind w:left="0" w:firstLine="0"/>
        <w:rPr/>
      </w:pPr>
      <w:r>
        <w:rPr>
          <w:rFonts w:ascii="Lora" w:cs="Lora" w:eastAsia="Lora" w:hAnsi="Lora"/>
          <w:b w:val="1"/>
          <w:bCs w:val="1"/>
          <w:i w:val="1"/>
          <w:iCs w:val="1"/>
          <w:color w:val="ffffff"/>
          <w:rtl w:val="0"/>
        </w:rPr>
        <w:tab/>
        <w:t xml:space="preserve">Dos fatos.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360" w:lineRule="auto"/>
        <w:ind w:firstLine="85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Em 03 de junho de 2025, a Autora adquiriu, por meio do site magazineluiza.com.br (pedido nº 1441970456788957), um refrigerador doméstico 2 portas, 386 L, 220V, marca Consul, modelo CRM44AKBNA, </w:t>
      </w:r>
      <w:r>
        <w:rPr>
          <w:rtl w:val="0"/>
        </w:rPr>
        <w:t xml:space="preserve">vendido e entregue pela loja Consul.</w:t>
      </w:r>
    </w:p>
    <w:p w:rsidR="00000000" w:rsidDel="00000000" w:rsidP="00000000" w:rsidRDefault="00000000" w:rsidRPr="00000000" w14:paraId="0000001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Nota Fiscal Eletrônica nº 000.496.852 foi emitida pela 1ª Ré, BUD Comércio de Eletrodomésticos Ltda., em 06 de junho de 2025, no valor total de</w:t>
      </w:r>
      <w:r>
        <w:rPr>
          <w:rtl w:val="0"/>
        </w:rPr>
        <w:t xml:space="preserve"> R$ 3.438,90</w:t>
      </w:r>
      <w:r>
        <w:rPr>
          <w:rFonts w:ascii="Lora Medium" w:cs="Lora Medium" w:eastAsia="Lora Medium" w:hAnsi="Lora Medium"/>
          <w:rtl w:val="0"/>
        </w:rPr>
        <w:t xml:space="preserve"> (R$ 3.329,00 do produto e R$ 109,90 de frete), chave de acesso 2525 0662 0583 1800 1233 5500 1000 4968 5219 8186 8756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60" w:line="360" w:lineRule="auto"/>
        <w:ind w:firstLine="850"/>
        <w:jc w:val="both"/>
        <w:rPr/>
      </w:pPr>
      <w:r>
        <w:rPr>
          <w:rtl w:val="0"/>
        </w:rPr>
        <w:t xml:space="preserve">O produto, contudo, já veio com defeito, pois, desde os primeiros dias de uso, o refrigerador não refrigerava adequadamente. A Autora acionou a fabricante e, em 23 de outubro de 2025, o aparelho foi atendido pela assistência técnica por ela indicada, a autorizada Jainara da Rocha Saraiva Ltda. A visita técnica foi realizada, mas o defeito persistiu, e o produto não foi consertado no prazo de 30 dias previsto no art. 18, §1º, do CDC.</w:t>
      </w:r>
    </w:p>
    <w:p w:rsidR="00000000" w:rsidDel="00000000" w:rsidP="00000000" w:rsidRDefault="00000000" w:rsidRPr="00000000" w14:paraId="00000018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Em 26 de novembro de 2025, a Autora registrou reclamação no PROCON/ALEPI (atendimento nº 25.11.0023.001.00431-3) contra a autorizada, a Magazine Luiza S.A. e a Whirlpool S.A., pedindo a substituição do produto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Em resposta datada de 03 de dezembro de 2025, a Whirlpool S.A. </w:t>
      </w:r>
      <w:r>
        <w:rPr>
          <w:rFonts w:ascii="Lora" w:cs="Lora" w:eastAsia="Lora" w:hAnsi="Lora"/>
          <w:b w:val="1"/>
          <w:bCs w:val="1"/>
          <w:rtl w:val="0"/>
        </w:rPr>
        <w:t xml:space="preserve">reconheceu que a visita técnica foi realizada e que o defeito persistia</w:t>
      </w:r>
      <w:r>
        <w:rPr>
          <w:rFonts w:ascii="Lora Medium" w:cs="Lora Medium" w:eastAsia="Lora Medium" w:hAnsi="Lora Medium"/>
          <w:rtl w:val="0"/>
        </w:rPr>
        <w:t xml:space="preserve">, informando que a troca estava em análise</w:t>
      </w:r>
      <w:r>
        <w:rPr>
          <w:rtl w:val="0"/>
        </w:rPr>
        <w:t xml:space="preserve">.</w:t>
      </w:r>
    </w:p>
    <w:p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highlight w:val="green"/>
          <w:rtl w:val="0"/>
        </w:rPr>
        <w:t xml:space="preserve">Perante o PROCON, a Whirlpool S.A. chegou a alegar que a consumidora teria recusado o reparo. A alegação, além de contrariada pelos próprios registros da fabricante, é irrelevante. O sistema anexado pela própria Whirlpool à sua defesa aponta que a “</w:t>
      </w:r>
      <w:r>
        <w:rPr>
          <w:rFonts w:ascii="Lora" w:cs="Lora" w:eastAsia="Lora" w:hAnsi="Lora"/>
          <w:b w:val="1"/>
          <w:bCs w:val="1"/>
          <w:highlight w:val="green"/>
          <w:rtl w:val="0"/>
        </w:rPr>
        <w:t xml:space="preserve">autorizada não solucionou na primeira visita</w:t>
      </w:r>
      <w:r>
        <w:rPr>
          <w:rFonts w:ascii="Lora Medium" w:cs="Lora Medium" w:eastAsia="Lora Medium" w:hAnsi="Lora Medium"/>
          <w:highlight w:val="green"/>
          <w:rtl w:val="0"/>
        </w:rPr>
        <w:t xml:space="preserve">”, e a ordem de serviço da assistência técnica registra, em 06/11/2025, que as “</w:t>
      </w:r>
      <w:r>
        <w:rPr>
          <w:rFonts w:ascii="Lora" w:cs="Lora" w:eastAsia="Lora" w:hAnsi="Lora"/>
          <w:b w:val="1"/>
          <w:bCs w:val="1"/>
          <w:highlight w:val="green"/>
          <w:rtl w:val="0"/>
        </w:rPr>
        <w:t xml:space="preserve">peças estão pendentes na fábrica</w:t>
      </w:r>
      <w:r>
        <w:rPr>
          <w:rFonts w:ascii="Lora Medium" w:cs="Lora Medium" w:eastAsia="Lora Medium" w:hAnsi="Lora Medium"/>
          <w:highlight w:val="green"/>
          <w:rtl w:val="0"/>
        </w:rPr>
        <w:t xml:space="preserve">”. Ademais, esgotado o prazo de 30 dias sem que o vício fosse sanado, cabia à consumidora escolher entre as alternativas do art. 18, §1º, do CDC, não lhe podendo ser imposto novo reparo. Tanto assim que a própria fabricante, em seguida, promoveu a troca do produto “em garantia”.</w:t>
      </w:r>
    </w:p>
    <w:p w:rsidR="00000000" w:rsidDel="00000000" w:rsidP="00000000" w:rsidRDefault="00000000" w:rsidRPr="00000000" w14:paraId="0000001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Em 11 de dezembro de 2025, a 2ª Ré realizou a troca, na modalidade “coleta simultânea”: recolheu o aparelho da Autora e entregou outra unidade do mesmo modelo. A operação está documentada na NF-e nº 000.263.479, emitida pela Whirlpool S.A. (CNPJ 59.105.999/0039-59), que registra o recolhimento do refrigerador CRM44AKBNA com o motivo expresso </w:t>
      </w:r>
      <w:r>
        <w:rPr>
          <w:rFonts w:ascii="Lora" w:cs="Lora" w:eastAsia="Lora" w:hAnsi="Lora"/>
          <w:b w:val="1"/>
          <w:bCs w:val="1"/>
          <w:rtl w:val="0"/>
        </w:rPr>
        <w:t xml:space="preserve">“DEV-Troca em Garantia”</w:t>
      </w:r>
      <w:r>
        <w:rPr>
          <w:rFonts w:ascii="Lora Medium" w:cs="Lora Medium" w:eastAsia="Lora Medium" w:hAnsi="Lora Medium"/>
          <w:rtl w:val="0"/>
        </w:rPr>
        <w:t xml:space="preserve"> e faz referência à nota de entrega do novo produto, NF nº 005064874-1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aparelho entregue nessa troca, contudo, não era novo</w:t>
      </w:r>
      <w:r>
        <w:rPr>
          <w:rtl w:val="0"/>
        </w:rPr>
        <w:t xml:space="preserve">,</w:t>
      </w:r>
      <w:r>
        <w:rPr>
          <w:rFonts w:ascii="Lora Medium" w:cs="Lora Medium" w:eastAsia="Lora Medium" w:hAnsi="Lora Medium"/>
          <w:rtl w:val="0"/>
        </w:rPr>
        <w:t xml:space="preserve"> apresentava amassados e deformações na chapa da porta, ruptura da borda junto à dobradiça e resíduos de cola e vedante aplicados nas junções, características de equipamento recuperado, conforme as fotografias abaixo</w:t>
      </w:r>
      <w:r>
        <w:rPr>
          <w:rtl w:val="0"/>
        </w:rPr>
        <w:t xml:space="preserve">:</w:t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60" w:before="60" w:lineRule="auto"/>
              <w:jc w:val="center"/>
              <w:rPr/>
            </w:pPr>
            <w:r>
              <w:rPr/>
              <w:drawing>
                <wp:inline distB="0" distT="0" distL="0" distR="0">
                  <wp:extent cx="2520000" cy="2977397"/>
                  <wp:effectExtent b="0" l="0" r="0" t="0"/>
                  <wp:docPr id="10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977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before="60" w:lineRule="auto"/>
              <w:jc w:val="center"/>
              <w:rPr/>
            </w:pPr>
            <w:r>
              <w:rPr/>
              <w:drawing>
                <wp:inline distB="0" distT="0" distL="0" distR="0">
                  <wp:extent cx="2520000" cy="3066293"/>
                  <wp:effectExtent b="0" l="0" r="0" t="0"/>
                  <wp:docPr id="10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066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60" w:before="60" w:lineRule="auto"/>
              <w:jc w:val="center"/>
              <w:rPr/>
            </w:pPr>
            <w:r>
              <w:rPr/>
              <w:drawing>
                <wp:inline distB="0" distT="0" distL="0" distR="0">
                  <wp:extent cx="2520000" cy="3547731"/>
                  <wp:effectExtent b="0" l="0" r="0" t="0"/>
                  <wp:docPr id="10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547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Rule="auto"/>
              <w:jc w:val="center"/>
              <w:rPr/>
            </w:pPr>
            <w:r>
              <w:rPr/>
              <w:drawing>
                <wp:inline distB="0" distT="0" distL="0" distR="0">
                  <wp:extent cx="2520000" cy="3529691"/>
                  <wp:effectExtent b="0" l="0" r="0" t="0"/>
                  <wp:docPr id="108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529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Tais condições são incompatíveis com produto novo e com a exigência legal de substituição por outro da mesma espécie </w:t>
      </w:r>
      <w:r>
        <w:rPr>
          <w:rFonts w:ascii="Lora" w:cs="Lora" w:eastAsia="Lora" w:hAnsi="Lora"/>
          <w:b w:val="1"/>
          <w:bCs w:val="1"/>
          <w:rtl w:val="0"/>
        </w:rPr>
        <w:t xml:space="preserve">“em perfeitas condições de uso”</w:t>
      </w:r>
      <w:r>
        <w:rPr>
          <w:rFonts w:ascii="Lora Medium" w:cs="Lora Medium" w:eastAsia="Lora Medium" w:hAnsi="Lora Medium"/>
          <w:rtl w:val="0"/>
        </w:rPr>
        <w:t xml:space="preserve"> (art. 18, §1º, I, do CDC). A reclamação prosseguiu no PROCON, que designou audiência de conciliação para 03 de março de 2026.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Na audiência, a 2ª Ré propôs, e a Autora aceitou, a troca do produto pelo modelo superior </w:t>
      </w:r>
      <w:r>
        <w:rPr>
          <w:rFonts w:ascii="Lora" w:cs="Lora" w:eastAsia="Lora" w:hAnsi="Lora"/>
          <w:b w:val="1"/>
          <w:bCs w:val="1"/>
          <w:rtl w:val="0"/>
        </w:rPr>
        <w:t xml:space="preserve">Geladeira Frost Free 412 Litros Inox Consul, modelo CRM50MK</w:t>
      </w:r>
      <w:r>
        <w:rPr>
          <w:rFonts w:ascii="Lora Medium" w:cs="Lora Medium" w:eastAsia="Lora Medium" w:hAnsi="Lora Medium"/>
          <w:rtl w:val="0"/>
        </w:rPr>
        <w:t xml:space="preserve">, a ser entregue em até 30 dias úteis, com recolhimento do aparelho anterior</w:t>
      </w:r>
      <w:r>
        <w:rPr>
          <w:rtl w:val="0"/>
        </w:rPr>
        <w:t xml:space="preserve">.</w:t>
      </w:r>
      <w:r>
        <w:rPr>
          <w:rFonts w:ascii="Lora Medium" w:cs="Lora Medium" w:eastAsia="Lora Medium" w:hAnsi="Lora Medium"/>
          <w:rtl w:val="0"/>
        </w:rPr>
        <w:t xml:space="preserve"> O termo limitou-se a essa obrigação de troca e não conferiu quitação a qualquer das partes. O acordo foi homologado pelo CEJUSC da Comarca de Teresina em 08 de março de 2026 (processo nº 0812504-87.2026.8.18.0140)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refrigerador CRM50MK foi entregue em 15 de abril de 2026</w:t>
      </w:r>
      <w:r>
        <w:rPr>
          <w:rtl w:val="0"/>
        </w:rPr>
        <w:t xml:space="preserve">, porém,</w:t>
      </w:r>
      <w:r>
        <w:rPr>
          <w:rFonts w:ascii="Lora Medium" w:cs="Lora Medium" w:eastAsia="Lora Medium" w:hAnsi="Lora Medium"/>
          <w:rtl w:val="0"/>
        </w:rPr>
        <w:t xml:space="preserve"> </w:t>
      </w:r>
      <w:r>
        <w:rPr>
          <w:rtl w:val="0"/>
        </w:rPr>
        <w:t xml:space="preserve">em agosto de 2026</w:t>
      </w:r>
      <w:r>
        <w:rPr>
          <w:rFonts w:ascii="Lora Medium" w:cs="Lora Medium" w:eastAsia="Lora Medium" w:hAnsi="Lora Medium"/>
          <w:rtl w:val="0"/>
        </w:rPr>
        <w:t xml:space="preserve">, também ele passou a apresentar </w:t>
      </w:r>
      <w:r>
        <w:rPr>
          <w:rtl w:val="0"/>
        </w:rPr>
        <w:t xml:space="preserve">defeito na refrigeração geral</w:t>
      </w:r>
      <w:r>
        <w:rPr>
          <w:rFonts w:ascii="Lora Medium" w:cs="Lora Medium" w:eastAsia="Lora Medium" w:hAnsi="Lora Medium"/>
          <w:rtl w:val="0"/>
        </w:rPr>
        <w:t xml:space="preserve">. A Autora acionou o atendimento oficial da Consul, que encaminhou o caso à mesma assistência técnica autorizada, Jainara da Rocha Saraiva, informando que bastaria à consumidora entrar em contato para agendar a visita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60" w:line="360" w:lineRule="auto"/>
        <w:ind w:firstLine="850"/>
        <w:jc w:val="both"/>
        <w:rPr/>
      </w:pPr>
      <w:r>
        <w:rPr>
          <w:rtl w:val="0"/>
        </w:rPr>
        <w:t xml:space="preserve">A Autora tentou agendar a visita técnica, inclusive por mensagem, mas não obteve resposta da assistência autorizada. A visita jamais foi agendada e nenhuma ordem de serviço foi emitida, de modo que o reparo do novo aparelho sequer foi iniciado por inércia exclusiva da cadeia de fornecimento.</w:t>
      </w:r>
    </w:p>
    <w:p w:rsidR="00000000" w:rsidDel="00000000" w:rsidP="00000000" w:rsidRDefault="00000000" w:rsidRPr="00000000" w14:paraId="00000024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Atualmente, a Autora está privada de refrigerador em funcionamento e utiliza a geladeira de sua mãe para as necessidades domésticas básicas, enquanto o CRM50MK permanece sem uso em sua residência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Esgotadas as tentativas de solução administrativa, inclusive perante o PROCON, não restou à consumidora alternativa senão buscar a tutela jurisdicional.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hd w:fill="123bb8" w:val="clear"/>
        <w:tabs>
          <w:tab w:val="left" w:leader="none" w:pos="1000"/>
        </w:tabs>
        <w:spacing w:after="0" w:before="0" w:line="240" w:lineRule="auto"/>
        <w:ind w:left="0" w:firstLine="0"/>
        <w:rPr/>
      </w:pPr>
      <w:r>
        <w:rPr>
          <w:rFonts w:ascii="Lora" w:cs="Lora" w:eastAsia="Lora" w:hAnsi="Lora"/>
          <w:b w:val="1"/>
          <w:bCs w:val="1"/>
          <w:i w:val="1"/>
          <w:iCs w:val="1"/>
          <w:color w:val="ffffff"/>
          <w:rtl w:val="0"/>
        </w:rPr>
        <w:tab/>
        <w:t xml:space="preserve">Do mérito.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a.</w:t>
        <w:tab/>
        <w:t xml:space="preserve">Da relação de consumo e da responsabilidade solidária das rés: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relação jurídica estabelecida entre as partes é inequivocamente de consumo. A Autora adquiriu, como destinatária final, um refrigerador doméstico, enquanto as Rés integram a cadeia de fornecimento do produto, sendo a primeira responsável pela comercialização e a segunda fabricante do eletrodoméstico da marca Consul.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art. 18 do Código de Defesa do Consumidor estabelece expressamente a </w:t>
      </w:r>
      <w:r>
        <w:rPr>
          <w:rtl w:val="0"/>
        </w:rPr>
        <w:t xml:space="preserve">responsabilidade solidária dos fornecedores</w:t>
      </w:r>
      <w:r>
        <w:rPr>
          <w:rFonts w:ascii="Lora Medium" w:cs="Lora Medium" w:eastAsia="Lora Medium" w:hAnsi="Lora Medium"/>
          <w:rtl w:val="0"/>
        </w:rPr>
        <w:t xml:space="preserve"> pelos vícios de qualidade que tornem o produto impróprio ou inadequado ao consumo ou diminuam seu valor. 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solidariedade decorre da própria estrutura da relação de consumo, não sendo admissível que comerciante e fabricante transfiram entre si a responsabilidade pela solução de um vício apresentado pelo produto colocado no mercado.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No caso concreto, a responsabilidade da fabricante é ainda mais evidente</w:t>
      </w:r>
      <w:r>
        <w:rPr>
          <w:rtl w:val="0"/>
        </w:rPr>
        <w:t xml:space="preserve">,</w:t>
      </w:r>
      <w:r>
        <w:rPr>
          <w:rFonts w:ascii="Lora Medium" w:cs="Lora Medium" w:eastAsia="Lora Medium" w:hAnsi="Lora Medium"/>
          <w:rtl w:val="0"/>
        </w:rPr>
        <w:t xml:space="preserve"> a venda foi realizada pela loja Consul, e a própria Whirlpool S.A. conduziu a troca em garantia (NF-e nº 000.263.479) e firmou o acordo perante o PROCON.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Também não socorre a comerciante eventual invocação do art. 13 do CDC, que disciplina a responsabilidade pelo fato do produto (acidente de consumo), e não o vício do produto, regido pelo art. 18. Nesse sentido, o Tribunal de Justiça do Piauí: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“Nos termos do art. 18 do Código de Defesa do Consumidor,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fabricante e comerciante respondem solidariamente pelos vícios do produto colocado no mercado, sendo facultado ao consumidor demandar qualquer integrante da cadeia de fornecimento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.” (TJPI – APELAÇÃO CÍVEL 0818494-30.2024.8.18.0140 – Relator: Des. OLÍMPIO JOSÉ PASSOS GALVÃO – 4ª Câmara Especializada Cível – Data de publicação 19/07/2026 – tese de julgamento) (grifo nosso)</w:t>
      </w:r>
      <w:r>
        <w:rPr>
          <w:rtl w:val="0"/>
        </w:rPr>
        <w:t xml:space="preserve">  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“É solidária a responsabilidade civil dos comerciantes e dos fabricantes por vícios dos produtos. [...]” (TJPI – RECURSO INOMINADO CÍVEL 0801197-20.2021.8.18.0009 – Relator: REGINALDO PEREIRA LIMA DE ALENCAR – 3ª Turma Recursal – Data de publicação 17/05/2024) (grifo nosso)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No mesmo sentido é a pacífica jurisprudência do Superior Tribunal de Justiça: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“8. Consoante a pacífica jurisprudência deste Tribunal,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há responsabilidade solidária de todos os integrantes da cadeia de fornecimento por vício no produto adquirido pelo consumidor, aí incluindo-se o fornecedor direto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 (in casu, a concessionária)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e o fornecedor indireto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 (a fabricante do veículo). Precedentes.” (STJ – REsp 1.684.132/CE – Rel. Ministra NANCY ANDRIGHI – Terceira Turma – julgado em 02/10/2018 – DJe 04/10/2018) (grifo nosso) (grifo nosso)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b.</w:t>
        <w:tab/>
        <w:t xml:space="preserve">Do acordo homologado e do vício superveniente: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acordo firmado no PROCON em 03 de março de 2026 e homologado em 08 de março de 2026 (processo nº 0812504-87.2026.8.18.0140) não impede a presente demanda. Seu objeto restringiu-se à troca do produto pelo modelo CRM50MK, sem renúncia de direitos e sem quitação geral quanto aos fatos anteriores.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A transação interpreta-se restritivamente (art. 843 do Código Civil), e a coisa julgada decorrente da homologação alcança apenas a questão efetivamente resolvida, ou seja, a obrigação de troca (art. 503 do CPC). </w:t>
      </w:r>
    </w:p>
    <w:p w:rsidR="00000000" w:rsidDel="00000000" w:rsidP="00000000" w:rsidRDefault="00000000" w:rsidRPr="00000000" w14:paraId="00000033">
      <w:pPr>
        <w:spacing w:after="60" w:line="360" w:lineRule="auto"/>
        <w:ind w:firstLine="850"/>
        <w:jc w:val="both"/>
        <w:rPr/>
      </w:pPr>
      <w:r>
        <w:rPr>
          <w:rtl w:val="0"/>
        </w:rPr>
        <w:t xml:space="preserve">Uma vez cumprida a obrigação, o</w:t>
      </w:r>
      <w:r>
        <w:rPr>
          <w:rFonts w:ascii="Lora Medium" w:cs="Lora Medium" w:eastAsia="Lora Medium" w:hAnsi="Lora Medium"/>
          <w:rtl w:val="0"/>
        </w:rPr>
        <w:t xml:space="preserve"> novo refrigerador passou então a estar coberto pela mesma garantia legal, e o defeito que nele surgiu constitui </w:t>
      </w:r>
      <w:r>
        <w:rPr>
          <w:rFonts w:ascii="Lora" w:cs="Lora" w:eastAsia="Lora" w:hAnsi="Lora"/>
          <w:b w:val="1"/>
          <w:bCs w:val="1"/>
          <w:rtl w:val="0"/>
        </w:rPr>
        <w:t xml:space="preserve">vício novo, posterior ao acordo</w:t>
      </w:r>
      <w:r>
        <w:rPr>
          <w:rFonts w:ascii="Lora Medium" w:cs="Lora Medium" w:eastAsia="Lora Medium" w:hAnsi="Lora Medium"/>
          <w:rtl w:val="0"/>
        </w:rPr>
        <w:t xml:space="preserve">, com causa de pedir própria, não abrangida pela transação nem pela sentença homologatória.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Não há, portanto, coisa julgada a ser reconhecida. Nos termos do art. 337, §§ 2º e 4º, do CPC, só há coisa julgada quando se repete ação idêntica, com as mesmas partes, a </w:t>
      </w:r>
      <w:r>
        <w:rPr>
          <w:rFonts w:ascii="Lora" w:cs="Lora" w:eastAsia="Lora" w:hAnsi="Lora"/>
          <w:b w:val="1"/>
          <w:bCs w:val="1"/>
          <w:rtl w:val="0"/>
        </w:rPr>
        <w:t xml:space="preserve">mesma causa de pedir</w:t>
      </w:r>
      <w:r>
        <w:rPr>
          <w:rFonts w:ascii="Lora Medium" w:cs="Lora Medium" w:eastAsia="Lora Medium" w:hAnsi="Lora Medium"/>
          <w:rtl w:val="0"/>
        </w:rPr>
        <w:t xml:space="preserve"> e o </w:t>
      </w:r>
      <w:r>
        <w:rPr>
          <w:rFonts w:ascii="Lora" w:cs="Lora" w:eastAsia="Lora" w:hAnsi="Lora"/>
          <w:b w:val="1"/>
          <w:bCs w:val="1"/>
          <w:rtl w:val="0"/>
        </w:rPr>
        <w:t xml:space="preserve">mesmo pedido</w:t>
      </w:r>
      <w:r>
        <w:rPr>
          <w:rFonts w:ascii="Lora Medium" w:cs="Lora Medium" w:eastAsia="Lora Medium" w:hAnsi="Lora Medium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homologação teve por causa de pedir o vício do refrigerador CRM44AKBNA e por pedido a sua substituição. A presente ação funda-se no vício superveniente do refrigerador CRM50MK e pede a resolução do contrato, a restituição do preço e a indenização dos danos. Faltam, assim, dois dos três elementos de identidade.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histórico anterior, por sua vez, não é rediscutido como obrigação autônoma. Ele demonstra a reiteração do vício e o tempo despendido pela consumidora, elementos relevantes para a escolha da restituição (art. 18, §§1º e 3º, do CDC) e para a configuração do dano moral.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c.</w:t>
        <w:tab/>
        <w:t xml:space="preserve">Do vício reiterado do produto e do descumprimento do art. 18 do CDC: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caso não se resume a um defeito pontual apresentado por um produto recém-adquirido.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que existe é uma </w:t>
      </w:r>
      <w:r>
        <w:rPr>
          <w:rFonts w:ascii="Lora" w:cs="Lora" w:eastAsia="Lora" w:hAnsi="Lora"/>
          <w:b w:val="1"/>
          <w:bCs w:val="1"/>
          <w:rtl w:val="0"/>
        </w:rPr>
        <w:t xml:space="preserve">sucessão de vícios e substituições</w:t>
      </w:r>
      <w:r>
        <w:rPr>
          <w:rFonts w:ascii="Lora Medium" w:cs="Lora Medium" w:eastAsia="Lora Medium" w:hAnsi="Lora Medium"/>
          <w:rtl w:val="0"/>
        </w:rPr>
        <w:t xml:space="preserve">, sem que a consumidora tenha conseguido obter um produto adequado e funcional.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art. 18 do CDC estabelece: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i w:val="1"/>
          <w:iCs w:val="1"/>
          <w:sz w:val="18"/>
          <w:szCs w:val="18"/>
          <w:rtl w:val="0"/>
        </w:rPr>
        <w:t xml:space="preserve">“Art. 18. Os fornecedores de produtos de consumo duráveis ou não duráveis respondem solidariamente pelos vícios de qualidade ou quantidade que os tornem impróprios ou inadequados ao consumo a que se destinam ou lhes diminuam o valor (...)”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 estabelece, em seu § 1º: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left"/>
        <w:rPr/>
      </w:pPr>
      <w:r>
        <w:rPr>
          <w:rFonts w:ascii="Lora Medium" w:cs="Lora Medium" w:eastAsia="Lora Medium" w:hAnsi="Lora Medium"/>
          <w:i w:val="1"/>
          <w:iCs w:val="1"/>
          <w:sz w:val="18"/>
          <w:szCs w:val="18"/>
          <w:rtl w:val="0"/>
        </w:rPr>
        <w:t xml:space="preserve">§ 1º Não sendo o vício sanado no prazo máximo de trinta dias, pode o consumidor exigir, alternativamente e à sua escolha:</w:t>
        <w:br w:type="textWrapping"/>
        <w:t xml:space="preserve">I - a substituição do produto por outro da mesma espécie, em perfeitas condições de uso;</w:t>
        <w:br w:type="textWrapping"/>
        <w:t xml:space="preserve">II - a restituição imediata da quantia paga, monetariamente atualizada, sem prejuízo de eventuais perdas e danos;</w:t>
        <w:br w:type="textWrapping"/>
        <w:t xml:space="preserve">III - o abatimento proporcional do preço.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A situação é ainda mais grave porque a primeira troca sequer atendeu à lei</w:t>
      </w:r>
      <w:r>
        <w:rPr>
          <w:rtl w:val="0"/>
        </w:rPr>
        <w:t xml:space="preserve">,</w:t>
      </w:r>
      <w:r>
        <w:rPr>
          <w:rFonts w:ascii="Lora Medium" w:cs="Lora Medium" w:eastAsia="Lora Medium" w:hAnsi="Lora Medium"/>
          <w:rtl w:val="0"/>
        </w:rPr>
        <w:t xml:space="preserve"> o aparelho entregue em 11/12/2025 era recuperado, com amassados, ruptura da borda da porta e remendos com cola, quando o art. 18, §1º, I, do CDC exige a substituição “por outro da mesma espécie, em perfeitas condições de uso”. </w:t>
      </w:r>
    </w:p>
    <w:p w:rsidR="00000000" w:rsidDel="00000000" w:rsidP="00000000" w:rsidRDefault="00000000" w:rsidRPr="00000000" w14:paraId="0000003F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Superior Tribunal de Justiça é claro ao exigir que a substituição se dê por produto novo: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“6- Na hipótese de responsabilidade pelo vício,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 substituição do produto “por outro da mesma espécie” – prevista no inciso I, do § 1º, do art. 18, do CDC – implica a substituição por outro produto novo na data da substituição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.” (STJ – REsp 1.982.739/MT – Rel. Ministra NANCY ANDRIGHI – Terceira Turma – julgado em 15/03/2022 – DJe 21/03/2022) (grifo nosso)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360" w:lineRule="auto"/>
        <w:ind w:firstLine="850"/>
        <w:jc w:val="both"/>
        <w:rPr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Antes disso, o defeito original não foi sanado pela assistência técnica no prazo de 30 dias, como reconheceu a própria fabricante em sua resposta ao PROCON</w:t>
      </w:r>
      <w:r>
        <w:rPr>
          <w:rFonts w:ascii="Lora Medium" w:cs="Lora Medium" w:eastAsia="Lora Medium" w:hAnsi="Lora Medium"/>
          <w:highlight w:val="green"/>
          <w:rtl w:val="0"/>
        </w:rPr>
        <w:t xml:space="preserve">, o que decorreu da falta de peças na fábrica, e não de qualquer conduta da consumidora</w:t>
      </w:r>
      <w:r>
        <w:rPr>
          <w:rFonts w:ascii="Lora Medium" w:cs="Lora Medium" w:eastAsia="Lora Medium" w:hAnsi="Lora Medium"/>
          <w:rtl w:val="0"/>
        </w:rPr>
        <w:t xml:space="preserve">. E a segunda troca, acordada no PROCON, também não solucionou o problema. O prazo legal, ademais, não se renova a cada nova tentativa de reparo:</w:t>
      </w:r>
    </w:p>
    <w:p w:rsidR="00000000" w:rsidDel="00000000" w:rsidP="00000000" w:rsidRDefault="00000000" w:rsidRPr="00000000" w14:paraId="00000043">
      <w:pPr>
        <w:spacing w:after="60" w:line="360" w:lineRule="auto"/>
        <w:ind w:firstLine="85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360" w:lineRule="auto"/>
        <w:ind w:firstLine="850"/>
        <w:jc w:val="both"/>
        <w:rPr>
          <w:sz w:val="6"/>
          <w:szCs w:val="6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“6.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Em havendo sucessiva manifestação do mesmo vício no produto, o trintídio legal é computado de forma corrida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, isto é, sem que haja o reinício do prazo toda vez que o bem for entregue ao fornecedor para a resolução de idêntico problema, nem a suspensão quando devolvido o produto ao consumidor sem o devido reparo. 7. Hipótese em que o aludido prazo foi excedido pelas fornecedoras, circunstância que legitima a pretensão de devolução da quantia paga pelo veículo.” (STJ – REsp 1.684.132/CE – Rel. Ministra NANCY ANDRIGHI – Terceira Turma – julgado em 02/10/2018 – DJe 04/10/2018) (grifo nosso)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Não se mostra razoável exigir que a consumidora continue indefinidamente submetida a novas trocas, reparos e procedimentos administrativos para obter aquilo que já deveria ter recebido desde a primeira entrega</w:t>
      </w:r>
      <w:r>
        <w:rPr>
          <w:rtl w:val="0"/>
        </w:rPr>
        <w:t xml:space="preserve">,</w:t>
      </w:r>
      <w:r>
        <w:rPr>
          <w:rFonts w:ascii="Lora Medium" w:cs="Lora Medium" w:eastAsia="Lora Medium" w:hAnsi="Lora Medium"/>
          <w:rtl w:val="0"/>
        </w:rPr>
        <w:t xml:space="preserve"> </w:t>
      </w:r>
      <w:r>
        <w:rPr>
          <w:rtl w:val="0"/>
        </w:rPr>
        <w:t xml:space="preserve">um refrigerador em perfeitas condições de funcionamento.</w:t>
      </w:r>
    </w:p>
    <w:p w:rsidR="00000000" w:rsidDel="00000000" w:rsidP="00000000" w:rsidRDefault="00000000" w:rsidRPr="00000000" w14:paraId="00000047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Tribunal de Justiça do Piauí, em caso envolvendo refrigerador comercializado pela própria 1ª Ré, BUD Comércio de Eletrodomésticos Ltda., assim decidiu: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“5. Não há nos autos qualquer comprovação de que tenha havido o efeito reparo/substituição do produto objeto da demanda no prazo de 30 dias previsto no art. 18 do CDC, restando evidenciada a falha na prestação do serviço. 6. Neste cenário,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não atendidas as reclamações da autora/apelante, em tempo e de forma satisfatória, é plenamente viável o reembolso dos valores despendidos para a aquisição do produto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 7. Com efeito, resta demonstrada a responsabilidade do apelante no caso em apreço, inclusive o dever de indenizar a autora pelos danos morais sofridos, haja vista que a inadimplência quanto ao reparo ou substituição do produto ensejou reclamação, sem sucesso, junto ao PROCON [...], fatos estes que ultrapassam o mero aborrecimento e dissabor.” (TJPI – APELAÇÃO CÍVEL 0000693-24.2017.8.18.0062 – Relator: Des. OTON MÁRIO JOSÉ LUSTOSA TORRES – 4ª Câmara Especializada Cível – Data de publicação 31/05/2021) (grifo nosso)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No mesmo sentido, a 1ª Turma Recursal do TJPI, em caso de refrigerador com vício não solucionado: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“RECURSO INOMINADO. RELAÇÃO DE CONSUMO. [...]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COMPRA DE REFRIGERADOR. VÍCIOS OCULTOS. PRODUTO DENTRO DA GARANTIA. APLICAÇÃO DO ART. 18, II DO CDC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 [...] DANO MORAL CONFIGURADO. [...]” (TJPI – RECURSO INOMINADO CÍVEL 0800144-67.2022.8.18.0009 – Relator: LEONARDO LÚCIO FREIRE TRIGUEIRO – 1ª Turma Recursal – julgado em 27/08/2024) (grifo nosso)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jc w:val="both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d.</w:t>
        <w:tab/>
        <w:t xml:space="preserve">Da essencialidade do bem e da inadequação de novas tentativas de reparo ou substituição: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Uma geladeira não constitui mero objeto de conveniência. Sua finalidade está diretamente relacionada à </w:t>
      </w:r>
      <w:r>
        <w:rPr>
          <w:rFonts w:ascii="Lora" w:cs="Lora" w:eastAsia="Lora" w:hAnsi="Lora"/>
          <w:b w:val="1"/>
          <w:bCs w:val="1"/>
          <w:rtl w:val="0"/>
        </w:rPr>
        <w:t xml:space="preserve">conservação de alimentos</w:t>
      </w:r>
      <w:r>
        <w:rPr>
          <w:rFonts w:ascii="Lora Medium" w:cs="Lora Medium" w:eastAsia="Lora Medium" w:hAnsi="Lora Medium"/>
          <w:rtl w:val="0"/>
        </w:rPr>
        <w:t xml:space="preserve">, sendo utilizada diariamente no ambiente doméstico.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próprio </w:t>
      </w:r>
      <w:r>
        <w:rPr>
          <w:rFonts w:ascii="Lora" w:cs="Lora" w:eastAsia="Lora" w:hAnsi="Lora"/>
          <w:b w:val="1"/>
          <w:bCs w:val="1"/>
          <w:rtl w:val="0"/>
        </w:rPr>
        <w:t xml:space="preserve">art. 18, §3º, do CDC</w:t>
      </w:r>
      <w:r>
        <w:rPr>
          <w:rFonts w:ascii="Lora Medium" w:cs="Lora Medium" w:eastAsia="Lora Medium" w:hAnsi="Lora Medium"/>
          <w:rtl w:val="0"/>
        </w:rPr>
        <w:t xml:space="preserve"> prevê que o consumidor pode fazer uso imediato das alternativas previstas no §1º quando, em razão da extensão do vício, a substituição das partes puder comprometer as características do produto, diminuir seu valor ou </w:t>
      </w:r>
      <w:r>
        <w:rPr>
          <w:rFonts w:ascii="Lora" w:cs="Lora" w:eastAsia="Lora" w:hAnsi="Lora"/>
          <w:b w:val="1"/>
          <w:bCs w:val="1"/>
          <w:rtl w:val="0"/>
        </w:rPr>
        <w:t xml:space="preserve">quando se tratar de produto essencial</w:t>
      </w:r>
      <w:r>
        <w:rPr>
          <w:rFonts w:ascii="Lora Medium" w:cs="Lora Medium" w:eastAsia="Lora Medium" w:hAnsi="Lora Medium"/>
          <w:rtl w:val="0"/>
        </w:rPr>
        <w:t xml:space="preserve">. 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Superior Tribunal de Justiça reconhece expressamente que, nessas hipóteses, o fornecedor não dispõe do prazo de 30 dias para o reparo: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“Cumpre lembrar, outrossim, que o próprio CDC estabelece hipóteses em que não será concedida essa faculdade ao fornecedor, as quais estão previstas no parágrafo terceiro do dispositivo em comento: (i) quando, em razão da extensão do vício, a substituição das partes viciadas puder comprometer a qualidade ou características do produto ou diminuir-lhe o valor;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(ii) quando se tratar de produto essencial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.” (STJ – REsp 1.684.132/CE – Rel. Ministra NANCY ANDRIGHI – Terceira Turma – julgado em 02/10/2018 – DJe 04/10/2018 – trecho do voto) (grifo nosso)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 o Tribunal de Justiça do Piauí já qualificou o refrigerador como bem essencial, em caso análogo: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“RECURSO INOMINADO. DIREITO DO CONSUMIDOR. VÍCIO DO PRODUTO.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BEM ESSENCIAL. AUSÊNCIA DE SUBSTITUIÇÃO DO PRODUTO NO TRINTÍDIO LEGAL. RESSARCIMENTO INTEGRAL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 [...]” (TJPI – RECURSO INOMINADO CÍVEL 0800464-66.2022.8.18.0123 – Relator: JOÃO HENRIQUE SOUSA GOMES – 2ª Turma Recursal – julgado em 15/08/2024) (grifo nosso)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Portanto, ainda que não se pretenda estabelecer uma regra abstrata de que toda e qualquer geladeira seja automaticamente considerada produto essencial, </w:t>
      </w:r>
      <w:r>
        <w:rPr>
          <w:rFonts w:ascii="Lora" w:cs="Lora" w:eastAsia="Lora" w:hAnsi="Lora"/>
          <w:b w:val="1"/>
          <w:bCs w:val="1"/>
          <w:rtl w:val="0"/>
        </w:rPr>
        <w:t xml:space="preserve">as circunstâncias específicas desta demanda demonstram que a privação de um refrigerador funcional produz impacto concreto na vida cotidiana da consumidora</w:t>
      </w:r>
      <w:r>
        <w:rPr>
          <w:rFonts w:ascii="Lora Medium" w:cs="Lora Medium" w:eastAsia="Lora Medium" w:hAnsi="Lora Medium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Mais importante ainda, aqui não se discute apenas a necessidade de aguardar uma primeira tentativa de reparo. A Autora </w:t>
      </w:r>
      <w:r>
        <w:rPr>
          <w:rFonts w:ascii="Lora" w:cs="Lora" w:eastAsia="Lora" w:hAnsi="Lora"/>
          <w:b w:val="1"/>
          <w:bCs w:val="1"/>
          <w:rtl w:val="0"/>
        </w:rPr>
        <w:t xml:space="preserve">já passou por sucessivas tentativas de solução e substituições</w:t>
      </w:r>
      <w:r>
        <w:rPr>
          <w:rFonts w:ascii="Lora Medium" w:cs="Lora Medium" w:eastAsia="Lora Medium" w:hAnsi="Lora Medium"/>
          <w:rtl w:val="0"/>
        </w:rPr>
        <w:t xml:space="preserve">, inclusive uma formalmente documentada como troca em garantia.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insistência em submetê-la a novos ciclos de reparo e substituição representaria, na prática, prolongar indefinidamente uma situação que já se mostrou inadequadamente solucionada.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Não se diga que a fornecedora não teve oportunidade de sanar o vício do último aparelho. A Autora acionou o atendimento oficial da fabricante e tentou agendar a visita técnica, mas a assistência autorizada não respondeu, não agendou o atendimento nem emitiu ordem de serviço. </w:t>
      </w:r>
    </w:p>
    <w:p w:rsidR="00000000" w:rsidDel="00000000" w:rsidP="00000000" w:rsidRDefault="00000000" w:rsidRPr="00000000" w14:paraId="0000005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ausência de reparo decorreu, portanto, exclusivamente da inércia da cadeia de fornecimento. De todo modo, ainda que assim não fosse, a Autora pode fazer uso imediato da restituição da quantia paga, nos termos do art. 18, §3º, do CDC. Não se pode exigir da consumidora que continue submetendo o produto à assistência técnica indefinidamente, como já decidiu o TJPI: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“Embora a parte apelante alegue que a apelada tenha se negado a encaminhar o produto novamente para a assistência técnica,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não se pode exigir do consumidor que permaneça na posse de um produto que não presta para o fim a que se destina, necessitando ser encaminhado diversas vezes para a assistência técnica, sem que os vícios sejam efetivamente reparados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, sendo evidente a necessidade de restituição do valor desembolsado [...]” (TJPI – APELAÇÃO CÍVEL 0800277-66.2020.8.18.0046 – Relator: Des. HAROLDO OLIVEIRA REHEM – 1ª Câmara Especializada Cível – julgado em 20/11/2023 – trecho do voto) (grifo nosso)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e.</w:t>
        <w:tab/>
        <w:t xml:space="preserve">Da inexistência de decadência: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prazo de 90 dias para reclamar de vícios em produtos duráveis (art. 26, II, do CDC) não se consumou. O vício do último aparelho surgiu em</w:t>
      </w:r>
      <w:r>
        <w:rPr>
          <w:rtl w:val="0"/>
        </w:rPr>
        <w:t xml:space="preserve"> agosto</w:t>
      </w:r>
      <w:r>
        <w:rPr>
          <w:rFonts w:ascii="Lora Medium" w:cs="Lora Medium" w:eastAsia="Lora Medium" w:hAnsi="Lora Medium"/>
          <w:rtl w:val="0"/>
        </w:rPr>
        <w:t xml:space="preserve">, e a Autora o reclamou perante a fornecedora por meio do atendimento oficial da Consul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reclamação comprovadamente formulada perante o fornecedor obsta a decadência até a resposta negativa correspondente, transmitida de forma inequívoca (art. 26, §2º, I, do CDC). É o entendimento pacífico do Superior Tribunal de Justiça: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“4. “Tratando-se de vício oculto do produto, o prazo decadencial tem início no momento em que evidenciado o defeito, e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 reclamação do consumidor formulada diretamente ao fornecedor obsta o prazo de decadência até a resposta negativa deste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” (REsp n. 1.303.510/SP, relator Ministro João Otávio de Noronha, Terceira Turma, DJe de 6/11/2015).” (STJ – AgInt no AREsp 2.174.028/SP – Rel. Ministro HUMBERTO MARTINS – Terceira Turma – julgado em 26/02/2024 – DJe 29/02/2024) (grifo nosso)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reclamação feita pelo canal oficial de atendimento da fabricante, por meio eletrônico, é plenamente válida para esse fim: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“3. A lei não preestabelece uma forma para a realização da reclamação, exigindo apenas comprovação de que o fornecedor tomou ciência inequívoca quanto ao propósito do consumidor de reclamar pelos vícios do produto ou serviço. 4.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A reclamação obstativa da decadência, prevista no art. 26, § 2º, I, do CDC, pode ser feita documentalmente – por meio físico ou eletrônico – ou mesmo verbalmente – pessoalmente ou por telefone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 – e, consequentemente, a sua comprovação pode dar-se por todos os meios admitidos em direito.” (STJ – REsp 1.442.597/DF – Rel. Ministra NANCY ANDRIGHI – Terceira Turma – julgado em 24/10/2017 – DJe 30/10/2017) (grifo nosso)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Ainda que assim não fosse, a eventual decadência do direito de exigir as alternativas do art. 18, § 1º, do CDC não alcançaria as pretensões indenizatórias, sujeitas a prazo prescricional, conforme orientação do STJ registrada no mesmo AgInt no AREsp 2.174.028/SP (AgInt no REsp 1.788.020/PB, Rel. Ministro Luis Felipe Salomão, Quarta Turma, DJe de 16/10/2020).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f.</w:t>
        <w:tab/>
        <w:t xml:space="preserve">Da restituição integral do valor pago: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Diante da persistência do vício e da sucessão de tentativas frustradas de solução, a Autora opta pela </w:t>
      </w:r>
      <w:r>
        <w:rPr>
          <w:rFonts w:ascii="Lora" w:cs="Lora" w:eastAsia="Lora" w:hAnsi="Lora"/>
          <w:b w:val="1"/>
          <w:bCs w:val="1"/>
          <w:rtl w:val="0"/>
        </w:rPr>
        <w:t xml:space="preserve">restituição integral do valor pago</w:t>
      </w:r>
      <w:r>
        <w:rPr>
          <w:rFonts w:ascii="Lora Medium" w:cs="Lora Medium" w:eastAsia="Lora Medium" w:hAnsi="Lora Medium"/>
          <w:rtl w:val="0"/>
        </w:rPr>
        <w:t xml:space="preserve">, nos termos do art. 18, §1º, II, do CDC.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valor pago pela consumidora foi de </w:t>
      </w:r>
      <w:r>
        <w:rPr>
          <w:rFonts w:ascii="Lora" w:cs="Lora" w:eastAsia="Lora" w:hAnsi="Lora"/>
          <w:b w:val="1"/>
          <w:bCs w:val="1"/>
          <w:rtl w:val="0"/>
        </w:rPr>
        <w:t xml:space="preserve">R$ 3.438,90</w:t>
      </w:r>
      <w:r>
        <w:rPr>
          <w:rFonts w:ascii="Lora Medium" w:cs="Lora Medium" w:eastAsia="Lora Medium" w:hAnsi="Lora Medium"/>
          <w:rtl w:val="0"/>
        </w:rPr>
        <w:t xml:space="preserve">, conforme NF-e nº 000.496.852 (chave de acesso 2525 0662 0583 1800 1233 5500 1000 4968 5219 8186 8756).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restituição deve compreender o valor efetivamente desembolsado pela consumidora, devidamente atualizado, sem que lhe seja imposta qualquer redução decorrente do tempo de utilização do produto.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Superior Tribunal de Justiça já decidiu, em ambas as Turmas de Direito Privado, que a restituição prevista no art. 18, §1º, II, do CDC corresponde ao valor pago, corrigido desde o desembolso, sem abatimento pelo uso, e que o uso do bem não afasta os juros de mora: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“3-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O valor a ser restituído deve corresponder à quantia paga, devidamente corrigido monetariamente desde o desembolso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, conforme determina o inciso II, do § 1º, do art. 18, do CDC,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não sendo devido qualquer abatimento decorrente da utilização do produto pelo consumidor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. Precedente. 4- Na hipótese de restituição da quantia paga em razão da responsabilidade por vício do produto (art. 18, § 1º, II, do CDC), a utilização do bem pelo consumidor não afasta a incidência de juros de mora.” (STJ – REsp 2.025.169/RS – Rel. Ministra NANCY ANDRIGHI – Terceira Turma – julgado em 07/03/2023 – DJe 10/03/2023) (grifo nosso)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“5. O valor a ser restituído ao consumidor deve corresponder à quantia paga, corrigida monetariamente desde o desembolso, conforme prevê o inciso II do § 1º do art. 18 do CDC, não sendo devido abatimento decorrente da utilização do produto. Súmula 83/STJ.” (STJ – AgInt no AREsp 2.419.630/SP – Rel. Ministra MARIA ISABEL GALLOTTI – Quarta Turma – julgado em 12/08/2024 – DJe 14/08/2024)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Assim, diante da opção da consumidora pela resolução da relação de consumo, deve ser determinada a restituição do valor pago, com o recolhimento do produto atualmente existente na residência da Autora, às expensas das Rés, em data previamente agendada com a consumidora, tal como determinado pelo TJPI em caso análogo, no qual a devolução se deu por logística reversa organizada e custeada pela fabricante (TJPI – APELAÇÃO CÍVEL 0818494-30.2024.8.18.0140, citada no tópico “a”).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h.</w:t>
        <w:tab/>
        <w:t xml:space="preserve">Do dano moral e do desvio produtivo do consumidor: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É importante destacar que a pretensão indenizatória não se fundamenta simplesmente no fato de o produto ter apresentado defeito.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Autora não pretende transformar todo e qualquer problema relacionado a um eletrodoméstico em dano moral automático.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que caracteriza a particularidade do presente caso é a </w:t>
      </w:r>
      <w:r>
        <w:rPr>
          <w:rFonts w:ascii="Lora" w:cs="Lora" w:eastAsia="Lora" w:hAnsi="Lora"/>
          <w:b w:val="1"/>
          <w:bCs w:val="1"/>
          <w:rtl w:val="0"/>
        </w:rPr>
        <w:t xml:space="preserve">reiteração do problema e o prolongamento da tentativa de solução</w:t>
      </w:r>
      <w:r>
        <w:rPr>
          <w:rFonts w:ascii="Lora Medium" w:cs="Lora Medium" w:eastAsia="Lora Medium" w:hAnsi="Lora Medium"/>
          <w:rtl w:val="0"/>
        </w:rPr>
        <w:t xml:space="preserve">, apesar das sucessivas providências adotadas pela consumidora.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firstLine="85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rtl w:val="0"/>
        </w:rPr>
        <w:t xml:space="preserve">A Autora: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1.</w:t>
        <w:tab/>
        <w:t xml:space="preserve">adquiriu um produto novo, que já veio com defeito e não refrigerava adequadamente;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2.</w:t>
        <w:tab/>
        <w:t xml:space="preserve">aguardou a assistência técnica, que não sanou o defeito em 30 dias;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3.</w:t>
        <w:tab/>
        <w:t xml:space="preserve">registrou reclamação no PROCON;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4.</w:t>
        <w:tab/>
        <w:t xml:space="preserve">recebeu, na primeira troca, um aparelho recuperado, com remendos e amassados;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5.</w:t>
        <w:tab/>
        <w:t xml:space="preserve">participou de audiência no PROCON, em Teresina, e aceitou nova troca;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6.</w:t>
        <w:tab/>
        <w:t xml:space="preserve">recebeu o modelo CRM50MK, que também apresentou defeito;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7.</w:t>
        <w:tab/>
        <w:t xml:space="preserve">tentou agendar nova visita técnica, sem obter sequer resposta da assistência autorizada;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rFonts w:ascii="Lora Medium" w:cs="Lora Medium" w:eastAsia="Lora Medium" w:hAnsi="Lora Medium"/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8.</w:t>
        <w:tab/>
        <w:t xml:space="preserve">e, mesmo após todas essas providências, permanece sem refrigerador em funcionamento.</w:t>
      </w:r>
    </w:p>
    <w:p w:rsidR="00000000" w:rsidDel="00000000" w:rsidP="00000000" w:rsidRDefault="00000000" w:rsidRPr="00000000" w14:paraId="00000075">
      <w:pPr>
        <w:tabs>
          <w:tab w:val="left" w:leader="none" w:pos="1000"/>
        </w:tabs>
        <w:spacing w:after="0" w:before="200" w:line="240" w:lineRule="auto"/>
        <w:ind w:left="2267.71653543307" w:firstLine="0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Não se trata, portanto, de um simples aborrecimento cotidiano.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consumidora foi obrigada a </w:t>
      </w:r>
      <w:r>
        <w:rPr>
          <w:rFonts w:ascii="Lora" w:cs="Lora" w:eastAsia="Lora" w:hAnsi="Lora"/>
          <w:b w:val="1"/>
          <w:bCs w:val="1"/>
          <w:rtl w:val="0"/>
        </w:rPr>
        <w:t xml:space="preserve">desviar tempo de sua vida pessoal para solucionar problema criado pelos próprios fornecedores</w:t>
      </w:r>
      <w:r>
        <w:rPr>
          <w:rFonts w:ascii="Lora Medium" w:cs="Lora Medium" w:eastAsia="Lora Medium" w:hAnsi="Lora Medium"/>
          <w:rtl w:val="0"/>
        </w:rPr>
        <w:t xml:space="preserve">, realizando contatos, reclamações, acompanhamentos e deslocamentos que não deveriam existir se o produto tivesse sido adequadamente fornecido ou se o vício tivesse sido definitivamente solucionado.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Essa situação caracteriza o chamado </w:t>
      </w:r>
      <w:r>
        <w:rPr>
          <w:rFonts w:ascii="Lora" w:cs="Lora" w:eastAsia="Lora" w:hAnsi="Lora"/>
          <w:b w:val="1"/>
          <w:bCs w:val="1"/>
          <w:rtl w:val="0"/>
        </w:rPr>
        <w:t xml:space="preserve">desvio produtivo do consumidor</w:t>
      </w:r>
      <w:r>
        <w:rPr>
          <w:rFonts w:ascii="Lora Medium" w:cs="Lora Medium" w:eastAsia="Lora Medium" w:hAnsi="Lora Medium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Tribunal de Justiça do Piauí reconhece expressamente essa construção em casos de vício de produto não solucionado:</w:t>
      </w:r>
      <w:r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“O dano moral resta caracterizado diante do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vício oculto, da frustração do uso do bem essencial e do desvio produtivo do consumidor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, sendo cabível a majoração da indenização.” (TJPI – APELAÇÃO CÍVEL 0835806-53.2023.8.18.0140 – Relator: Des. MÁRIO BASÍLIO DE MELO – 1ª Câmara Especializada Cível – julgado em 29/05/2026) (grifo nosso)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  <w:rPr/>
      </w:pP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“2. </w:t>
      </w:r>
      <w:r>
        <w:rPr>
          <w:rFonts w:ascii="Lora" w:cs="Lora" w:eastAsia="Lora" w:hAnsi="Lora"/>
          <w:b w:val="1"/>
          <w:bCs w:val="1"/>
          <w:sz w:val="18"/>
          <w:szCs w:val="18"/>
          <w:rtl w:val="0"/>
        </w:rPr>
        <w:t xml:space="preserve">O dano moral configura-se em razão da teoria do desvio produtivo do consumidor</w:t>
      </w:r>
      <w:r>
        <w:rPr>
          <w:rFonts w:ascii="Lora Medium" w:cs="Lora Medium" w:eastAsia="Lora Medium" w:hAnsi="Lora Medium"/>
          <w:sz w:val="18"/>
          <w:szCs w:val="18"/>
          <w:rtl w:val="0"/>
        </w:rPr>
        <w:t xml:space="preserve">, que tentou, mediante contato solucionar o problema, porém não houve a solução pela ré dentro do prazo legal.” (TJPI – RECURSO INOMINADO CÍVEL 0802863-19.2020.8.18.0162 – Relator: SEBASTIÃO FIRMINO LIMA FILHO – 2ª Turma Recursal – julgado em 29/07/2024) (grifo nosso)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Também há precedente da 3ª Turma Recursal reconhecendo dano moral em situação de produto entregue com defeito e demora injustificada na solução do problema (TJPI – RECURSO INOMINADO CÍVEL 0801888-83.2022.8.18.0143 – Relator: REGINALDO PEREIRA LIMA DE ALENCAR – 3ª Turma Recursal – Data de publicação 02/08/2024).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No presente caso, a reiteração das substituições, a persistência do vício e a necessidade de utilização do PROCON demonstram que o tempo e os esforços da Autora foram indevidamente consumidos na tentativa de obter uma solução que deveria ter sido fornecida espontaneamente pelas Rés.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60" w:line="360" w:lineRule="auto"/>
        <w:ind w:firstLine="850"/>
        <w:jc w:val="both"/>
        <w:rPr>
          <w:rFonts w:ascii="Lora Medium" w:cs="Lora Medium" w:eastAsia="Lora Medium" w:hAnsi="Lora Medium"/>
        </w:rPr>
      </w:pPr>
      <w:r>
        <w:rPr>
          <w:rFonts w:ascii="Lora Medium" w:cs="Lora Medium" w:eastAsia="Lora Medium" w:hAnsi="Lora Medium"/>
          <w:rtl w:val="0"/>
        </w:rPr>
        <w:t xml:space="preserve">Quanto ao valor, a gravidade do caso concreto</w:t>
      </w:r>
      <w:r>
        <w:rPr>
          <w:rtl w:val="0"/>
        </w:rPr>
        <w:t xml:space="preserve">,</w:t>
      </w:r>
      <w:r>
        <w:rPr>
          <w:rFonts w:ascii="Lora Medium" w:cs="Lora Medium" w:eastAsia="Lora Medium" w:hAnsi="Lora Medium"/>
          <w:rtl w:val="0"/>
        </w:rPr>
        <w:t xml:space="preserve"> produto que já veio com defeito, vício não sanado no prazo legal, troca por aparelho recuperado, reclamação no PROCON, audiência em outra cidade, novo defeito no produto recebido em acordo e ausência de resposta da assistência técnica</w:t>
      </w:r>
      <w:r>
        <w:rPr>
          <w:rtl w:val="0"/>
        </w:rPr>
        <w:t xml:space="preserve">, </w:t>
      </w:r>
      <w:r>
        <w:rPr>
          <w:rFonts w:ascii="Lora Medium" w:cs="Lora Medium" w:eastAsia="Lora Medium" w:hAnsi="Lora Medium"/>
          <w:rtl w:val="0"/>
        </w:rPr>
        <w:t xml:space="preserve">justifica indenização acima dos patamares usuais. </w:t>
      </w:r>
    </w:p>
    <w:p w:rsidR="00000000" w:rsidDel="00000000" w:rsidP="00000000" w:rsidRDefault="00000000" w:rsidRPr="00000000" w14:paraId="0000007F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TJPI já considerou irrisória a indenização de R$ 3.000,00 em caso de desvio produtivo, majorando-a (AC 0835806-53.2023.8.18.0140, acima citada), e há relator que adota R$ 5.000,00 como parâmetro para vício de produto não solucionado pela assistência técnica (AC 0800277-66.2020.8.18.0046, citada no tópico “d”).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Dessa forma, requer a condenação solidária das Rés ao pagamento de indenização por danos morais em valor a ser arbitrado pelo Juízo, sugerindo-se, considerando a extensão concreta dos transtornos, o montante de </w:t>
      </w:r>
      <w:r>
        <w:rPr>
          <w:rFonts w:ascii="Lora" w:cs="Lora" w:eastAsia="Lora" w:hAnsi="Lora"/>
          <w:b w:val="1"/>
          <w:bCs w:val="1"/>
          <w:rtl w:val="0"/>
        </w:rPr>
        <w:t xml:space="preserve">R$ 10.000,00 (dez mil reais)</w:t>
      </w:r>
      <w:r>
        <w:rPr>
          <w:rFonts w:ascii="Lora Medium" w:cs="Lora Medium" w:eastAsia="Lora Medium" w:hAnsi="Lora Medium"/>
          <w:rtl w:val="0"/>
        </w:rPr>
        <w:t xml:space="preserve">.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tabs>
          <w:tab w:val="left" w:leader="none" w:pos="700"/>
        </w:tabs>
        <w:spacing w:after="160" w:before="240" w:line="360" w:lineRule="auto"/>
        <w:ind w:left="700" w:hanging="400"/>
        <w:rPr/>
      </w:pPr>
      <w:r>
        <w:rPr>
          <w:rFonts w:ascii="Lora" w:cs="Lora" w:eastAsia="Lora" w:hAnsi="Lora"/>
          <w:b w:val="1"/>
          <w:bCs w:val="1"/>
          <w:i w:val="1"/>
          <w:iCs w:val="1"/>
          <w:rtl w:val="0"/>
        </w:rPr>
        <w:t xml:space="preserve">i.</w:t>
        <w:tab/>
        <w:t xml:space="preserve">Da inversão do ônus da prova: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art. 6º, VIII, do CDC assegura ao consumidor a facilitação da defesa de seus direitos, inclusive mediante inversão do ônus da prova, quando presentes a verossimilhança das alegações ou a hipossuficiência do consumidor.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No presente caso, ambos os requisitos estão presentes.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60" w:line="360" w:lineRule="auto"/>
        <w:ind w:firstLine="850"/>
        <w:jc w:val="both"/>
        <w:rPr>
          <w:sz w:val="18"/>
          <w:szCs w:val="18"/>
        </w:rPr>
      </w:pPr>
      <w:r>
        <w:rPr>
          <w:rFonts w:ascii="Lora Medium" w:cs="Lora Medium" w:eastAsia="Lora Medium" w:hAnsi="Lora Medium"/>
          <w:rtl w:val="0"/>
        </w:rPr>
        <w:t xml:space="preserve">A verossimilhança decorre da própria documentação já existente, especialmente: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1.</w:t>
        <w:tab/>
        <w:t xml:space="preserve">nota fiscal da aquisição;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2.</w:t>
        <w:tab/>
        <w:t xml:space="preserve">nota fiscal de troca em garantia emitida pela fabricante;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3.</w:t>
        <w:tab/>
        <w:t xml:space="preserve">reclamação, resposta da fabricante e Termo de Compromisso do PROCON, além da sentença homologatória;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4.</w:t>
        <w:tab/>
        <w:t xml:space="preserve">fotografias do aparelho recuperado e do defeito atual;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rFonts w:ascii="Lora Medium" w:cs="Lora Medium" w:eastAsia="Lora Medium" w:hAnsi="Lora Medium"/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5.</w:t>
        <w:tab/>
        <w:t xml:space="preserve">registros do atendimento Consul e da assistência técnica autorizada.</w:t>
      </w:r>
    </w:p>
    <w:p w:rsidR="00000000" w:rsidDel="00000000" w:rsidP="00000000" w:rsidRDefault="00000000" w:rsidRPr="00000000" w14:paraId="0000008B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rFonts w:ascii="Lora Medium" w:cs="Lora Medium" w:eastAsia="Lora Medium" w:hAnsi="Lora Medium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O TJPI reconhece que a nota fiscal e a reclamação no PROCON bastam para evidenciar a verossimilhança das alegações do consumidor em casos de vício de refrigerador (TJPI – RECURSO INOMINADO CÍVEL 0800464-66.2022.8.18.0123, citado no tópico “d”; e APELAÇÃO CÍVEL 0000693-24.2017.8.18.0062, item 1 da ementa, citada no tópico “c”).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 hipossuficiência também é evidente, sobretudo porque os registros internos relativos às trocas, atendimentos, diagnósticos técnicos, números de série, histórico de reclamações e procedimentos realizados permanecem sob domínio das fornecedoras.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60" w:line="360" w:lineRule="auto"/>
        <w:ind w:firstLine="850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rtl w:val="0"/>
        </w:rPr>
        <w:t xml:space="preserve">As Rés possuem condições muito superiores de demonstrar: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a)</w:t>
        <w:tab/>
        <w:t xml:space="preserve">os defeitos apresentados pelos equipamentos;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b)</w:t>
        <w:tab/>
        <w:t xml:space="preserve">as datas dos atendimentos;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c)</w:t>
        <w:tab/>
        <w:t xml:space="preserve">as ordens de serviço;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d)</w:t>
        <w:tab/>
        <w:t xml:space="preserve">os produtos efetivamente fornecidos em substituição;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e)</w:t>
        <w:tab/>
        <w:t xml:space="preserve">a origem e condição dos equipamentos entregues;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f)</w:t>
        <w:tab/>
        <w:t xml:space="preserve">os números de série dos aparelhos;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g)</w:t>
        <w:tab/>
        <w:t xml:space="preserve">os diagnósticos realizados;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rFonts w:ascii="Lora Medium" w:cs="Lora Medium" w:eastAsia="Lora Medium" w:hAnsi="Lora Medium"/>
          <w:sz w:val="20"/>
          <w:szCs w:val="20"/>
        </w:rPr>
      </w:pPr>
      <w:r>
        <w:rPr>
          <w:rFonts w:ascii="Lora Medium" w:cs="Lora Medium" w:eastAsia="Lora Medium" w:hAnsi="Lora Medium"/>
          <w:sz w:val="20"/>
          <w:szCs w:val="20"/>
          <w:rtl w:val="0"/>
        </w:rPr>
        <w:t xml:space="preserve">h)</w:t>
        <w:tab/>
        <w:t xml:space="preserve">as razões pelas quais as sucessivas substituições não solucionaram definitivamente o problema.</w:t>
      </w:r>
    </w:p>
    <w:p w:rsidR="00000000" w:rsidDel="00000000" w:rsidP="00000000" w:rsidRDefault="00000000" w:rsidRPr="00000000" w14:paraId="00000099">
      <w:pPr>
        <w:tabs>
          <w:tab w:val="left" w:leader="none" w:pos="1000"/>
        </w:tabs>
        <w:spacing w:after="60" w:line="240" w:lineRule="auto"/>
        <w:ind w:left="2834.645669291339" w:hanging="405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Requer-se, portanto, a </w:t>
      </w:r>
      <w:r>
        <w:rPr>
          <w:rFonts w:ascii="Lora" w:cs="Lora" w:eastAsia="Lora" w:hAnsi="Lora"/>
          <w:b w:val="1"/>
          <w:bCs w:val="1"/>
          <w:rtl w:val="0"/>
        </w:rPr>
        <w:t xml:space="preserve">inversão do ônus da prova</w:t>
      </w:r>
      <w:r>
        <w:rPr>
          <w:rFonts w:ascii="Lora Medium" w:cs="Lora Medium" w:eastAsia="Lora Medium" w:hAnsi="Lora Medium"/>
          <w:rtl w:val="0"/>
        </w:rPr>
        <w:t xml:space="preserve">, nos termos do art. 6º, VIII, do CDC.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shd w:fill="123bb8" w:val="clear"/>
        <w:tabs>
          <w:tab w:val="left" w:leader="none" w:pos="1000"/>
        </w:tabs>
        <w:spacing w:after="0" w:before="0" w:line="240" w:lineRule="auto"/>
        <w:ind w:left="0" w:firstLine="0"/>
        <w:rPr/>
      </w:pPr>
      <w:r>
        <w:rPr>
          <w:rFonts w:ascii="Lora" w:cs="Lora" w:eastAsia="Lora" w:hAnsi="Lora"/>
          <w:b w:val="1"/>
          <w:bCs w:val="1"/>
          <w:i w:val="1"/>
          <w:iCs w:val="1"/>
          <w:color w:val="ffffff"/>
          <w:rtl w:val="0"/>
        </w:rPr>
        <w:tab/>
        <w:t xml:space="preserve">Dos pedidos.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60" w:line="360" w:lineRule="auto"/>
        <w:ind w:firstLine="850"/>
        <w:jc w:val="both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360" w:lineRule="auto"/>
        <w:ind w:firstLine="85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Diante do exposto, requer: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A.</w:t>
        <w:tab/>
        <w:t xml:space="preserve">a concessão dos benefícios da </w:t>
      </w:r>
      <w:r>
        <w:rPr>
          <w:rFonts w:ascii="Lora" w:cs="Lora" w:eastAsia="Lora" w:hAnsi="Lora"/>
          <w:b w:val="1"/>
          <w:bCs w:val="1"/>
          <w:rtl w:val="0"/>
        </w:rPr>
        <w:t xml:space="preserve">gratuidade da justiça</w:t>
      </w:r>
      <w:r>
        <w:rPr>
          <w:rFonts w:ascii="Lora Medium" w:cs="Lora Medium" w:eastAsia="Lora Medium" w:hAnsi="Lora Medium"/>
          <w:rtl w:val="0"/>
        </w:rPr>
        <w:t xml:space="preserve">, inclusive para fins de eventual recurso;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B.</w:t>
        <w:tab/>
        <w:t xml:space="preserve">a citação das Rés para comparecimento à audiência de conciliação e, querendo, apresentação de defesa;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C.</w:t>
        <w:tab/>
        <w:t xml:space="preserve">a inversão do ônus da prova, na forma do art. 6º, VIII, do CDC;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D.</w:t>
        <w:tab/>
        <w:t xml:space="preserve">a exibição, pelas Rés, de toda a documentação relativa às sucessivas trocas e atendimentos, incluindo ordens de serviço, protocolos, registros de assistência técnica, notas fiscais e identificação dos aparelhos (art. 396 do CPC);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E.</w:t>
        <w:tab/>
        <w:t xml:space="preserve">ao final, o reconhecimento da relação de consumo e da responsabilidade solidária das Rés (art. 18 do CDC), com a declaração da </w:t>
      </w:r>
      <w:r>
        <w:rPr>
          <w:rFonts w:ascii="Lora" w:cs="Lora" w:eastAsia="Lora" w:hAnsi="Lora"/>
          <w:b w:val="1"/>
          <w:bCs w:val="1"/>
          <w:rtl w:val="0"/>
        </w:rPr>
        <w:t xml:space="preserve">resolução do contrato</w:t>
      </w:r>
      <w:r>
        <w:rPr>
          <w:rFonts w:ascii="Lora Medium" w:cs="Lora Medium" w:eastAsia="Lora Medium" w:hAnsi="Lora Medium"/>
          <w:rtl w:val="0"/>
        </w:rPr>
        <w:t xml:space="preserve"> de compra e venda, com fundamento no art. 18, §1º, II, do CDC;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F.</w:t>
        <w:tab/>
        <w:t xml:space="preserve">a condenação solidária das Rés à </w:t>
      </w:r>
      <w:r>
        <w:rPr>
          <w:rFonts w:ascii="Lora" w:cs="Lora" w:eastAsia="Lora" w:hAnsi="Lora"/>
          <w:b w:val="1"/>
          <w:bCs w:val="1"/>
          <w:rtl w:val="0"/>
        </w:rPr>
        <w:t xml:space="preserve">restituição integral de R$ 3.438,90</w:t>
      </w:r>
      <w:r>
        <w:rPr>
          <w:rFonts w:ascii="Lora Medium" w:cs="Lora Medium" w:eastAsia="Lora Medium" w:hAnsi="Lora Medium"/>
          <w:rtl w:val="0"/>
        </w:rPr>
        <w:t xml:space="preserve">, sem abatimento pelo uso do produto, com correção monetária desde o desembolso (06/06/2025) e juros de mora desde a citação;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G.</w:t>
        <w:tab/>
        <w:t xml:space="preserve">a condenação das Rés a recolher, às suas expensas, o refrigerador CRM50MK que se encontra na residência da Autora, em data previamente agendada com a consumidora;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I.</w:t>
        <w:tab/>
        <w:t xml:space="preserve">a condenação solidária das Rés ao pagamento de </w:t>
      </w:r>
      <w:r>
        <w:rPr>
          <w:rFonts w:ascii="Lora" w:cs="Lora" w:eastAsia="Lora" w:hAnsi="Lora"/>
          <w:b w:val="1"/>
          <w:bCs w:val="1"/>
          <w:rtl w:val="0"/>
        </w:rPr>
        <w:t xml:space="preserve">indenização por danos morais</w:t>
      </w:r>
      <w:r>
        <w:rPr>
          <w:rFonts w:ascii="Lora Medium" w:cs="Lora Medium" w:eastAsia="Lora Medium" w:hAnsi="Lora Medium"/>
          <w:rtl w:val="0"/>
        </w:rPr>
        <w:t xml:space="preserve"> não inferior a R$ 10.000,00 (dez mil reais), ou em outro valor que Vossa Excelência entender adequado, com correção monetária desde o arbitramento (Súmula 362 do STJ) e juros de mora desde a citação;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J.</w:t>
        <w:tab/>
        <w:t xml:space="preserve">a produção de todos os meios de prova em direito admitidos, especialmente prova documental suplementar, depoimento pessoal e prova testemunhal;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000"/>
        </w:tabs>
        <w:spacing w:after="60" w:line="360" w:lineRule="auto"/>
        <w:ind w:left="1000" w:hanging="400"/>
        <w:jc w:val="both"/>
        <w:rPr/>
      </w:pPr>
      <w:r>
        <w:rPr>
          <w:rFonts w:ascii="Lora Medium" w:cs="Lora Medium" w:eastAsia="Lora Medium" w:hAnsi="Lora Medium"/>
          <w:rtl w:val="0"/>
        </w:rPr>
        <w:t xml:space="preserve">K.</w:t>
        <w:tab/>
      </w:r>
      <w:r>
        <w:rPr>
          <w:rtl w:val="0"/>
        </w:rPr>
        <w:t xml:space="preserve">A condenação dos Réus ao pagamento das custas e demais despesas processuais, inclusive em honorários advocatícios sucumbenciais, que deverão ser arbitrados por este Juízo, conforme norma do artigo 85 do CPC.</w:t>
      </w:r>
    </w:p>
    <w:p w:rsidR="00000000" w:rsidDel="00000000" w:rsidP="00000000" w:rsidRDefault="00000000" w:rsidRPr="00000000" w14:paraId="000000A8">
      <w:pPr>
        <w:spacing w:after="60" w:line="360" w:lineRule="auto"/>
        <w:ind w:firstLine="850"/>
        <w:jc w:val="both"/>
        <w:rPr>
          <w:rFonts w:ascii="Lora" w:cs="Lora" w:eastAsia="Lora" w:hAnsi="Lora"/>
          <w:b w:val="1"/>
          <w:bCs w:val="1"/>
        </w:rPr>
      </w:pPr>
      <w:r>
        <w:rPr>
          <w:rFonts w:ascii="Lora Medium" w:cs="Lora Medium" w:eastAsia="Lora Medium" w:hAnsi="Lora Medium"/>
          <w:rtl w:val="0"/>
        </w:rPr>
        <w:t xml:space="preserve">Dá-se à causa o valor de </w:t>
      </w:r>
      <w:r>
        <w:rPr>
          <w:rFonts w:ascii="Lora" w:cs="Lora" w:eastAsia="Lora" w:hAnsi="Lora"/>
          <w:b w:val="1"/>
          <w:bCs w:val="1"/>
          <w:rtl w:val="0"/>
        </w:rPr>
        <w:t xml:space="preserve">R$ 13.438,90 (treze mil quatrocentos e trinta e oito reais).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jc w:val="center"/>
        <w:rPr/>
      </w:pPr>
      <w:r>
        <w:rPr>
          <w:rFonts w:ascii="Lora Medium" w:cs="Lora Medium" w:eastAsia="Lora Medium" w:hAnsi="Lora Medium"/>
          <w:rtl w:val="0"/>
        </w:rPr>
        <w:t xml:space="preserve">Nestes termos,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center"/>
        <w:rPr/>
      </w:pPr>
      <w:r>
        <w:rPr>
          <w:rFonts w:ascii="Lora Medium" w:cs="Lora Medium" w:eastAsia="Lora Medium" w:hAnsi="Lora Medium"/>
          <w:rtl w:val="0"/>
        </w:rPr>
        <w:t xml:space="preserve">Pede deferimento.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/>
      </w:pPr>
      <w:r>
        <w:rPr>
          <w:rFonts w:ascii="Lora Medium" w:cs="Lora Medium" w:eastAsia="Lora Medium" w:hAnsi="Lora Medium"/>
          <w:rtl w:val="0"/>
        </w:rPr>
        <w:t xml:space="preserve">Miguel Alves-PI, datado eletronicamente.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/>
      </w:pPr>
      <w:r>
        <w:rPr>
          <w:rFonts w:ascii="Lora" w:cs="Lora" w:eastAsia="Lora" w:hAnsi="Lora"/>
          <w:b w:val="1"/>
          <w:bCs w:val="1"/>
          <w:rtl w:val="0"/>
        </w:rPr>
        <w:t xml:space="preserve">ANTÔNIO DE PÁDUA SANTOS NETO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/>
      </w:pPr>
      <w:r>
        <w:rPr>
          <w:rFonts w:ascii="Lora Medium" w:cs="Lora Medium" w:eastAsia="Lora Medium" w:hAnsi="Lora Medium"/>
          <w:rtl w:val="0"/>
        </w:rPr>
        <w:t xml:space="preserve">ADVOGADO - OAB/PI 21.320</w:t>
      </w:r>
      <w:r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500" w:top="2330" w:left="1134" w:right="1134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9aa0a6" w:space="4" w:sz="6" w:val="single"/>
      </w:pBdr>
      <w:spacing w:line="240" w:lineRule="auto"/>
      <w:jc w:val="center"/>
      <w:rPr/>
    </w:pPr>
    <w:r w:rsidDel="00000000" w:rsidR="00000000" w:rsidRPr="00000000">
      <w:rPr>
        <w:b w:val="1"/>
        <w:bCs w:val="1"/>
        <w:i w:val="1"/>
        <w:iCs w:val="1"/>
        <w:color w:val="123bb8"/>
        <w:sz w:val="16"/>
        <w:szCs w:val="16"/>
        <w:rtl w:val="0"/>
      </w:rPr>
      <w:t xml:space="preserve">Rua Rio Grande do Sul, 1641, bairro São Miguel, CEP: 64.130-000, Miguel Alves-PI - (86) 9 7400-9869 - paduanetojus@gmail.com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Rule="auto"/>
      <w:jc w:val="center"/>
      <w:rPr/>
    </w:pPr>
    <w:r w:rsidDel="00000000" w:rsidR="00000000" w:rsidRPr="00000000">
      <w:rPr/>
      <w:drawing>
        <wp:inline distB="0" distT="0" distL="0" distR="0">
          <wp:extent cx="1809750" cy="952500"/>
          <wp:effectExtent b="0" l="0" r="0" t="0"/>
          <wp:docPr id="10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bottom w:color="9aa0a6" w:space="1" w:sz="6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kBs1nZ2c8AH8WR/Yzo6Z+Yvaw==">CgMxLjA4AHIhMVh0d19zTkZLY0l3T0NncUw1SmdFVmlCb2JMWW5Zd3py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2026-10-03T02:33:01.698Z</dcterms:created>
  <dc:creator>Antônio de Pádua Santos Neto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