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RELATÓRIO JURÍDICO</w:t>
      </w:r>
    </w:p>
    <w:p>
      <w:pPr>
        <w:spacing w:after="360"/>
        <w:jc w:val="center"/>
      </w:pPr>
      <w:r>
        <w:rPr>
          <w:i/>
          <w:iCs/>
        </w:rPr>
        <w:t xml:space="preserve">Responsabilidade por animais soltos em vias públicas e rodovias — Miguel Alves/PI</w:t>
      </w:r>
    </w:p>
    <w:p>
      <w:pPr>
        <w:pStyle w:val="Heading1"/>
        <w:spacing w:after="160" w:before="300"/>
      </w:pPr>
      <w:r>
        <w:t xml:space="preserve">1. Objeto</w:t>
      </w:r>
    </w:p>
    <w:p>
      <w:pPr>
        <w:spacing w:after="160" w:line="360"/>
        <w:ind w:firstLine="709"/>
        <w:jc w:val="both"/>
      </w:pPr>
      <w:r>
        <w:t xml:space="preserve">Analisa-se a responsabilidade jurídica decorrente da presença de animais soltos — jumentos, gado, porcos e cães — em vias públicas e rodovias, com ocorrência de acidentes e mortes, especialmente no Município de Miguel Alves/PI.</w:t>
      </w:r>
    </w:p>
    <w:p>
      <w:pPr>
        <w:spacing w:after="160" w:line="360"/>
        <w:ind w:firstLine="709"/>
        <w:jc w:val="both"/>
      </w:pPr>
      <w:r>
        <w:t xml:space="preserve">Também são examinadas as possibilidades de atuação administrativa, ação popular e responsabilização dos entes públicos em rodovias estaduais.</w:t>
      </w:r>
    </w:p>
    <w:p>
      <w:pPr>
        <w:pStyle w:val="Heading1"/>
        <w:spacing w:after="160" w:before="300"/>
      </w:pPr>
      <w:r>
        <w:t xml:space="preserve">2. Legislação federal aplicável</w:t>
      </w:r>
    </w:p>
    <w:p>
      <w:pPr>
        <w:spacing w:after="160" w:line="360"/>
        <w:ind w:firstLine="709"/>
        <w:jc w:val="both"/>
      </w:pPr>
      <w:r>
        <w:t xml:space="preserve">O Código de Trânsito Brasileiro estabelece que: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trânsito seguro é direito de todos e dever dos órgãos do Sistema Nacional de Trânsito;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os órgãos públicos respondem por danos decorrentes de ação, omissão ou erro na execução de serviços voltados à segurança viária;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os órgãos rodoviários devem operar e fiscalizar o trânsito de veículos, pedestres e animais;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autoridade de trânsito deve recolher animais soltos nas vias e faixas de domínio.</w:t>
      </w:r>
    </w:p>
    <w:p>
      <w:pPr>
        <w:spacing w:after="160" w:line="360"/>
        <w:ind w:firstLine="709"/>
        <w:jc w:val="both"/>
      </w:pPr>
      <w:r>
        <w:t xml:space="preserve">O Código Civil estabelece que o dono ou detentor do animal deve ressarcir os danos por ele causados, salvo prova de culpa da vítima ou força maior.</w:t>
      </w:r>
    </w:p>
    <w:p>
      <w:pPr>
        <w:pStyle w:val="Heading1"/>
        <w:spacing w:after="160" w:before="300"/>
      </w:pPr>
      <w:r>
        <w:t xml:space="preserve">3. Responsabilidade do Município</w:t>
      </w:r>
    </w:p>
    <w:p>
      <w:pPr>
        <w:spacing w:after="160" w:line="360"/>
        <w:ind w:firstLine="709"/>
        <w:jc w:val="both"/>
      </w:pPr>
      <w:r>
        <w:t xml:space="preserve">O Município pode responder por acidentes ocorridos em vias urbanas, estradas vicinais e demais vias sob sua administração quando comprovados: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a titularidade ou responsabilidade municipal pela via;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a presença do animal;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o acidente e os danos;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o nexo causal;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a falha concreta na fiscalização, sinalização, recolhimento ou prevenção;</w:t>
      </w:r>
    </w:p>
    <w:p>
      <w:pPr>
        <w:pStyle w:val="ListParagraph"/>
        <w:numPr>
          <w:ilvl w:val="0"/>
          <w:numId w:val="3"/>
        </w:numPr>
        <w:spacing w:after="80" w:line="320"/>
        <w:jc w:val="both"/>
      </w:pPr>
      <w:r>
        <w:t xml:space="preserve">a ciência prévia ou previsibilidade do risco.</w:t>
      </w:r>
    </w:p>
    <w:p>
      <w:pPr>
        <w:spacing w:after="160" w:line="360"/>
        <w:ind w:firstLine="709"/>
        <w:jc w:val="both"/>
      </w:pPr>
      <w:r>
        <w:t xml:space="preserve">O art. 24 do CTB atribui aos órgãos municipais competência para planejar, operar e fiscalizar o trânsito de animais em sua circunscrição.</w:t>
      </w:r>
    </w:p>
    <w:p>
      <w:pPr>
        <w:spacing w:after="160" w:line="360"/>
        <w:ind w:firstLine="709"/>
        <w:jc w:val="both"/>
      </w:pPr>
      <w:r>
        <w:t xml:space="preserve">No TJPI, Apelação Cível 0000497-08.2017.8.18.0045, 1ª Câmara de Direito Público, julgamento em 03/07/2026 e publicação em 13/07/2026, foi reconhecida a responsabilidade do Município de São João da Serra/PI por acidente em via urbana provocado por animal solto. O Tribunal considerou relevante a presença reiterada de animais e a ausência de medidas preventivas.</w:t>
      </w:r>
    </w:p>
    <w:p>
      <w:pPr>
        <w:spacing w:after="160" w:line="360"/>
        <w:ind w:firstLine="709"/>
        <w:jc w:val="both"/>
      </w:pPr>
      <w:r>
        <w:t xml:space="preserve">Entretanto, a responsabilidade municipal não é automática. O TJPI já afastou o dever de indenizar quando não demonstrados histórico de acidentes, ciência prévia da Administração ou omissão específica. Apelação/Remessa Necessária 0006331-66.2015.8.18.0140, publicada em 24/06/2026.</w:t>
      </w:r>
    </w:p>
    <w:p>
      <w:pPr>
        <w:pStyle w:val="Heading1"/>
        <w:spacing w:after="160" w:before="300"/>
      </w:pPr>
      <w:r>
        <w:t xml:space="preserve">4. Rodovias estaduais do Piauí</w:t>
      </w:r>
    </w:p>
    <w:p>
      <w:pPr>
        <w:spacing w:after="160" w:line="360"/>
        <w:ind w:firstLine="709"/>
        <w:jc w:val="both"/>
      </w:pPr>
      <w:r>
        <w:t xml:space="preserve">Quando o acidente ocorre em rodovia estadual, a responsabilidade deve ser examinada principalmente em relação ao: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Estado do Piauí;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Departamento de Estradas de Rodagem do Piauí — DER/PI;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eventual concessionária;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proprietário ou detentor do animal.</w:t>
      </w:r>
    </w:p>
    <w:p>
      <w:pPr>
        <w:spacing w:after="160" w:line="360"/>
        <w:ind w:firstLine="709"/>
        <w:jc w:val="both"/>
      </w:pPr>
      <w:r>
        <w:t xml:space="preserve">A jurisprudência do TJPI utiliza a Lei Estadual nº 5.802/2008 como fundamento para o dever de fiscalização e para a proibição de animais de médio e grande porte soltos em rodovias estaduais.</w:t>
      </w:r>
    </w:p>
    <w:p>
      <w:pPr>
        <w:spacing w:after="160" w:line="360"/>
        <w:ind w:firstLine="709"/>
        <w:jc w:val="both"/>
      </w:pPr>
      <w:r>
        <w:t xml:space="preserve">No TJPI, Apelação Cível 0814840-40.2021.8.18.0140, 5ª Câmara de Direito Público, publicação em 22/10/2024, foi reconhecida a legitimidade do DER/PI e a responsabilidade por omissão na fiscalização, retirada de animais e adoção de medidas de segurança.</w:t>
      </w:r>
    </w:p>
    <w:p>
      <w:pPr>
        <w:spacing w:after="160" w:line="360"/>
        <w:ind w:firstLine="709"/>
        <w:jc w:val="both"/>
      </w:pPr>
      <w:r>
        <w:t xml:space="preserve">O Município não deve ser incluído automaticamente em ação relativa a rodovia estadual. O TJPI já afastou a responsabilidade municipal quando a via estava sob atribuição do Estado. Embargos de Declaração 0000474-23.2014.8.18.0092, publicação em 27/05/2024.</w:t>
      </w:r>
    </w:p>
    <w:p>
      <w:pPr>
        <w:spacing w:after="160" w:line="360"/>
        <w:ind w:firstLine="709"/>
        <w:jc w:val="both"/>
      </w:pPr>
      <w:r>
        <w:t xml:space="preserve">O Município somente poderá ser incluído se houver prova de que: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trecho é municipal;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existe convênio de fiscalização;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Município assumiu a conservação da via;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acidente ocorreu em acesso urbano ou estrada vicinal municipal;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houve omissão específica de órgão municipal.</w:t>
      </w:r>
    </w:p>
    <w:p>
      <w:pPr>
        <w:pStyle w:val="Heading1"/>
        <w:spacing w:after="160" w:before="300"/>
      </w:pPr>
      <w:r>
        <w:t xml:space="preserve">5. Rodovias concedidas</w:t>
      </w:r>
    </w:p>
    <w:p>
      <w:pPr>
        <w:spacing w:after="160" w:line="360"/>
        <w:ind w:firstLine="709"/>
        <w:jc w:val="both"/>
      </w:pPr>
      <w:r>
        <w:t xml:space="preserve">Nas rodovias administradas por concessionárias, o STJ fixou, no Tema 1.122, que a concessionária responde independentemente de culpa pelos danos causados por animais domésticos na pista, aplicando-se o Código de Defesa do Consumidor e a Lei das Concessões.</w:t>
      </w:r>
    </w:p>
    <w:p>
      <w:pPr>
        <w:spacing w:after="160" w:line="360"/>
        <w:ind w:firstLine="709"/>
        <w:jc w:val="both"/>
      </w:pPr>
      <w:r>
        <w:t xml:space="preserve">A tese foi firmada no REsp 1908738/SP, Corte Especial, julgamento em 21/08/2024 e publicação em 26/08/2024.</w:t>
      </w:r>
    </w:p>
    <w:p>
      <w:pPr>
        <w:pStyle w:val="Heading1"/>
        <w:spacing w:after="160" w:before="300"/>
      </w:pPr>
      <w:r>
        <w:t xml:space="preserve">6. Ação popular</w:t>
      </w:r>
    </w:p>
    <w:p>
      <w:pPr>
        <w:spacing w:after="160" w:line="360"/>
        <w:ind w:firstLine="709"/>
        <w:jc w:val="both"/>
      </w:pPr>
      <w:r>
        <w:t xml:space="preserve">A ação popular pode ser proposta por qualquer cidadão contra atos ou omissões lesivos: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ao patrimônio público;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à moralidade administrativa;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ao meio ambiente;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ao patrimônio histórico e cultural.</w:t>
      </w:r>
    </w:p>
    <w:p>
      <w:pPr>
        <w:spacing w:after="160" w:line="360"/>
        <w:ind w:firstLine="709"/>
        <w:jc w:val="both"/>
      </w:pPr>
      <w:r>
        <w:t xml:space="preserve">A Lei nº 4.717/1965 permite que o cidadão solicite certidões e informações aos órgãos públicos para instruir a ação.</w:t>
      </w:r>
    </w:p>
    <w:p>
      <w:pPr>
        <w:spacing w:after="160" w:line="360"/>
        <w:ind w:firstLine="709"/>
        <w:jc w:val="both"/>
      </w:pPr>
      <w:r>
        <w:t xml:space="preserve">A ação popular pode ser considerada contra o Município quando houver omissão relevante na fiscalização de animais e essa omissão estiver relacionada a lesão coletiva, à moralidade administrativa, ao meio ambiente ou à gestão inadequada do serviço público.</w:t>
      </w:r>
    </w:p>
    <w:p>
      <w:pPr>
        <w:spacing w:after="160" w:line="360"/>
        <w:ind w:firstLine="709"/>
        <w:jc w:val="both"/>
      </w:pPr>
      <w:r>
        <w:t xml:space="preserve">Há precedente admitindo ação popular para combater omissão municipal no controle e fiscalização de animais que ofereciam risco à população. TJRN, Remessa Necessária 0808981-38.2022.8.20.5124, publicação em 05/04/2023.</w:t>
      </w:r>
    </w:p>
    <w:p>
      <w:pPr>
        <w:spacing w:after="160" w:line="360"/>
        <w:ind w:firstLine="709"/>
        <w:jc w:val="both"/>
      </w:pPr>
      <w:r>
        <w:t xml:space="preserve">O STF também decidiu que não é indispensável demonstrar prejuízo material direto ao erário quando a ação popular protege autonomamente a moralidade administrativa ou o meio ambiente. ARE 824781/MT, Tema 836.</w:t>
      </w:r>
    </w:p>
    <w:p>
      <w:pPr>
        <w:spacing w:after="160" w:line="360"/>
        <w:ind w:firstLine="709"/>
        <w:jc w:val="both"/>
      </w:pPr>
      <w:r>
        <w:t xml:space="preserve">A ação popular não é, em princípio, o instrumento destinado à indenização individual de familiares das vítimas. Para esse objetivo, devem ser avaliadas ações indenizatórias próprias contra o responsável pelo animal, o ente público, o DER/PI ou a concessionária.</w:t>
      </w:r>
    </w:p>
    <w:p>
      <w:pPr>
        <w:pStyle w:val="Heading1"/>
        <w:spacing w:after="160" w:before="300"/>
      </w:pPr>
      <w:r>
        <w:t xml:space="preserve">7. Medidas administrativas recomendadas</w:t>
      </w:r>
    </w:p>
    <w:p>
      <w:pPr>
        <w:spacing w:after="160" w:line="360"/>
        <w:ind w:firstLine="709"/>
        <w:jc w:val="both"/>
      </w:pPr>
      <w:r>
        <w:t xml:space="preserve">Antes ou paralelamente à judicialização, recomenda-se protocolar requerimento perante: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Prefeitura de Miguel Alves;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órgão municipal de trânsito;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DER/PI;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Estado do Piauí;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concessionária, se houver;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Ministério Público Estadual.</w:t>
      </w:r>
    </w:p>
    <w:p>
      <w:pPr>
        <w:spacing w:after="160" w:line="360"/>
        <w:ind w:firstLine="709"/>
        <w:jc w:val="both"/>
      </w:pPr>
      <w:r>
        <w:t xml:space="preserve">O requerimento deve solicitar: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identificação dos pontos críticos;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levantamento de acidentes e mortes;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fiscalização periódica;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recolhimento dos animais;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identificação dos proprietários;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aplicação de multas e encargos;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instalação de sinalização;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construção ou recuperação de cercas;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criação de serviço municipal de captura e abrigo;</w:t>
      </w:r>
    </w:p>
    <w:p>
      <w:pPr>
        <w:pStyle w:val="ListParagraph"/>
        <w:numPr>
          <w:ilvl w:val="0"/>
          <w:numId w:val="4"/>
        </w:numPr>
        <w:spacing w:after="80" w:line="320"/>
        <w:jc w:val="both"/>
      </w:pPr>
      <w:r>
        <w:t xml:space="preserve">apresentação de plano de atuação com prazos e responsáveis.</w:t>
      </w:r>
    </w:p>
    <w:p>
      <w:pPr>
        <w:spacing w:after="160" w:line="360"/>
        <w:ind w:firstLine="709"/>
        <w:jc w:val="both"/>
      </w:pPr>
      <w:r>
        <w:t xml:space="preserve">A documentação administrativa é fundamental para demonstrar que o Poder Público tinha ciência do problema e não adotou providências suficientes.</w:t>
      </w:r>
    </w:p>
    <w:p>
      <w:pPr>
        <w:pStyle w:val="Heading1"/>
        <w:spacing w:after="160" w:before="300"/>
      </w:pPr>
      <w:r>
        <w:t xml:space="preserve">8. Medidas judiciais possíveis</w:t>
      </w:r>
    </w:p>
    <w:p>
      <w:pPr>
        <w:spacing w:after="160" w:line="360"/>
        <w:ind w:firstLine="709"/>
        <w:jc w:val="both"/>
      </w:pPr>
      <w:r>
        <w:t xml:space="preserve">Conforme a titularidade da via, podem ser consideradas: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ação popular;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ação de obrigação de fazer;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pedido de tutela de urgência;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ação indenizatória individual;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atuação do Ministério Público;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ação coletiva, quando cabível.</w:t>
      </w:r>
    </w:p>
    <w:p>
      <w:pPr>
        <w:spacing w:after="160" w:line="360"/>
        <w:ind w:firstLine="709"/>
        <w:jc w:val="both"/>
      </w:pPr>
      <w:r>
        <w:t xml:space="preserve">O pedido judicial deve ser delimitado por trechos, locais, horários e ocorrências concretas, evitando obrigação genérica de fiscalização de toda a malha viária.</w:t>
      </w:r>
    </w:p>
    <w:p>
      <w:pPr>
        <w:spacing w:after="160" w:line="360"/>
        <w:ind w:firstLine="709"/>
        <w:jc w:val="both"/>
      </w:pPr>
      <w:r>
        <w:t xml:space="preserve">O TJPI já admitiu ordem judicial para exigir fiscalização efetiva e apresentação de plano administrativo de atuação em matéria de segurança viária. Embargos de Declaração no Agravo de Instrumento 0750248-77.2025.8.18.0000, publicação em 08/07/2026.</w:t>
      </w:r>
    </w:p>
    <w:p>
      <w:pPr>
        <w:pStyle w:val="Heading1"/>
        <w:spacing w:after="160" w:before="300"/>
      </w:pPr>
      <w:r>
        <w:t xml:space="preserve">9. Provas necessárias</w:t>
      </w:r>
    </w:p>
    <w:p>
      <w:pPr>
        <w:spacing w:after="160" w:line="360"/>
        <w:ind w:firstLine="709"/>
        <w:jc w:val="both"/>
      </w:pPr>
      <w:r>
        <w:t xml:space="preserve">Recomenda-se reunir: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boletins de ocorrência;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certidões de óbito;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laudos periciais;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fotografias e vídeos;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localização e quilometragem dos pontos;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relatos de moradores e motoristas;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notícias de acidentes anteriores;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protocolos administrativos;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respostas ou omissões dos órgãos;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estatísticas oficiais;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registros de animais recolhidos;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informações sobre contratos e convênios;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prova da titularidade da via.</w:t>
      </w:r>
    </w:p>
    <w:p>
      <w:pPr>
        <w:pStyle w:val="Heading1"/>
        <w:spacing w:after="160" w:before="300"/>
      </w:pPr>
      <w:r>
        <w:t xml:space="preserve">10. Conclusão</w:t>
      </w:r>
    </w:p>
    <w:p>
      <w:pPr>
        <w:spacing w:after="160" w:line="360"/>
        <w:ind w:firstLine="709"/>
        <w:jc w:val="both"/>
      </w:pPr>
      <w:r>
        <w:t xml:space="preserve">A responsabilidade deve ser definida conforme a titularidade da via: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vias urbanas e estradas municipais: Município de Miguel Alves;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rodovias estaduais: Estado do Piauí e DER/PI;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rodovias federais: União e DNIT;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rodovias concedidas: concessionária, sem exclusão de eventual responsabilidade pública;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animal identificado: proprietário ou detentor, nos termos do art. 936 do Código Civil.</w:t>
      </w:r>
    </w:p>
    <w:p>
      <w:pPr>
        <w:spacing w:after="160" w:line="360"/>
        <w:ind w:firstLine="709"/>
        <w:jc w:val="both"/>
      </w:pPr>
      <w:r>
        <w:t xml:space="preserve">Para Miguel Alves, a medida inicial mais adequada é obter formalmente informações da Prefeitura e do DER/PI, identificar os trechos críticos e documentar a repetição dos acidentes. Com essa prova, será possível definir corretamente se a medida judicial deve ser uma ação popular contra o Município, uma ação contra o Estado/DER ou uma ação indenizatória em favor de vítimas determinadas.</w:t>
      </w:r>
    </w:p>
    <w:p>
      <w:pPr>
        <w:spacing w:after="160" w:line="360"/>
        <w:ind w:firstLine="709"/>
        <w:jc w:val="both"/>
      </w:pPr>
      <w:r>
        <w:t xml:space="preserve">A existência de legislação municipal específica de Miguel Alves não foi confirmada na pesquisa realizada; portanto, devem ser consultados o Código de Posturas, a Lei Orgânica, decretos, portarias e eventuais normas locais antes da propositura da ação.</w:t>
      </w:r>
    </w:p>
    <w:p>
      <w:pPr>
        <w:spacing w:before="240"/>
        <w:jc w:val="both"/>
      </w:pPr>
      <w:r>
        <w:rPr>
          <w:i/>
          <w:iCs/>
        </w:rPr>
        <w:t xml:space="preserve">Confira as citações, a titularidade da via e a legislação municipal oficial antes do uso profissional.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2026-10-21T02:00:36.220Z</dcterms:created>
  <dcterms:modified xsi:type="dcterms:W3CDTF">2026-10-21T02:00:36.228Z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