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/>
        <w:jc w:val="both"/>
      </w:pPr>
      <w:r>
        <w:rPr>
          <w:b/>
          <w:bCs/>
        </w:rPr>
        <w:t xml:space="preserve">EXCELENTÍSSIMO SENHOR DOUTOR JUIZ DE DIREITO DA VARA ÚNICA DA COMARCA DE MIGUEL ALVES-PI.</w:t>
      </w:r>
    </w:p>
    <w:p>
      <w:pPr>
        <w:spacing w:after="0"/>
      </w:pPr>
    </w:p>
    <w:p>
      <w:pPr>
        <w:spacing w:line="360"/>
      </w:pPr>
      <w:r>
        <w:rPr>
          <w:b/>
          <w:bCs/>
        </w:rPr>
        <w:t xml:space="preserve">Processo nº 0800869-89.2025.8.18.0061</w:t>
      </w:r>
    </w:p>
    <w:p>
      <w:pPr>
        <w:spacing w:after="0"/>
      </w:pPr>
    </w:p>
    <w:p>
      <w:pPr>
        <w:spacing w:after="60" w:line="360"/>
        <w:ind w:firstLine="0"/>
        <w:jc w:val="both"/>
      </w:pPr>
      <w:r>
        <w:rPr>
          <w:b/>
          <w:bCs/>
        </w:rPr>
        <w:t xml:space="preserve">ISLÂNDIA MARIA GOMES DE ALMEIDA,</w:t>
      </w:r>
      <w:r>
        <w:t xml:space="preserve"> já qualificada nos autos, por meio de seu advogado, ANTÔNIO DE PÁDUA SANTOS NETO, inscrito na OAB-PI sob o nº 21.320, com endereço profissional na Rua Rio Grande do Sul, nº 1641, Bairro São Miguel, Miguel Alves-PI, CEP 64.130-000, e eletrônico </w:t>
      </w:r>
      <w:r>
        <w:rPr>
          <w:i/>
          <w:iCs/>
        </w:rPr>
        <w:t xml:space="preserve">paduanetojus@gmail.com</w:t>
      </w:r>
      <w:r>
        <w:t xml:space="preserve">, vem, respeitosamente, à presença de Vossa Excelência, com fundamento nos arts. 513, 523 e 524 do Código de Processo Civil, requerer o </w:t>
      </w:r>
      <w:r>
        <w:rPr>
          <w:b/>
          <w:bCs/>
        </w:rPr>
        <w:t xml:space="preserve">DESARQUIVAMENTO DOS AUTOS</w:t>
      </w:r>
      <w:r>
        <w:t xml:space="preserve"> e o </w:t>
      </w:r>
      <w:r>
        <w:rPr>
          <w:b/>
          <w:bCs/>
        </w:rPr>
        <w:t xml:space="preserve">CUMPRIMENTO DE SENTENÇA</w:t>
      </w:r>
      <w:r>
        <w:t xml:space="preserve"> que reconhece a exigibilidade de obrigação de pagar quantia certa, em face de </w:t>
      </w:r>
      <w:r>
        <w:rPr>
          <w:b/>
          <w:bCs/>
        </w:rPr>
        <w:t xml:space="preserve">ANTONIO PEREIRA DA SILVA</w:t>
      </w:r>
      <w:r>
        <w:t xml:space="preserve">, conhecido como “Eraldo” ou “Heraldo”, brasileiro, casado, inscrito no CPF sob o nº 017.676.363-50, residente e domiciliado na Rua 2, nº 326, bairro Coheb, Miguel Alves-PI, CEP 64.130-000, pelos fatos e fundamentos a seguir expostos.</w:t>
      </w:r>
    </w:p>
    <w:p>
      <w:pPr>
        <w:keepNext/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b/>
          <w:bCs/>
          <w:i/>
          <w:iCs/>
          <w:color w:val="FFFFFF"/>
        </w:rPr>
        <w:t xml:space="preserve">	Do título executivo judicial.</w:t>
      </w:r>
    </w:p>
    <w:p>
      <w:pPr>
        <w:spacing w:after="60" w:line="360"/>
        <w:ind w:firstLine="850"/>
        <w:jc w:val="both"/>
      </w:pPr>
      <w:r>
        <w:t xml:space="preserve">A sentença de ID 100346262 julgou parcialmente procedente o pedido e condenou o executado ao pagamento de indenização por danos materiais de </w:t>
      </w:r>
      <w:r>
        <w:rPr>
          <w:b/>
          <w:bCs/>
        </w:rPr>
        <w:t xml:space="preserve">R$ 4.005,00 (quatro mil e cinco reais)</w:t>
      </w:r>
      <w:r>
        <w:t xml:space="preserve">, além das custas processuais e de honorários advocatícios de 10% (dez por cento) sobre o valor da condenação. Constou do dispositivo:</w:t>
      </w:r>
    </w:p>
    <w:p>
      <w:pPr>
        <w:pBdr>
          <w:top w:val="single" w:color="9AA0A6" w:sz="4" w:space="6"/>
          <w:bottom w:val="single" w:color="9AA0A6" w:sz="4" w:space="6"/>
        </w:pBdr>
        <w:spacing w:after="200" w:before="160" w:line="240"/>
        <w:ind w:left="2270" w:right="570"/>
        <w:jc w:val="both"/>
      </w:pPr>
      <w:r>
        <w:rPr>
          <w:i/>
          <w:iCs/>
          <w:sz w:val="18"/>
          <w:szCs w:val="18"/>
        </w:rPr>
        <w:t xml:space="preserve">“(...) julgo parcialmente procedente o pedido formulado para condenar o réu ao pagamento de indenização por danos materiais no valor de R$ 4.005,00 (quatro mil e cinco reais), </w:t>
      </w:r>
      <w:r>
        <w:rPr>
          <w:b/>
          <w:bCs/>
          <w:i/>
          <w:iCs/>
          <w:sz w:val="18"/>
          <w:szCs w:val="18"/>
          <w:u w:val="single"/>
          <w:shd w:fill="CFE2F3" w:color="auto" w:val="clear"/>
        </w:rPr>
        <w:t xml:space="preserve">acrescido de correção monetária pelo IPCA a partir da data do efetivo desembolso</w:t>
      </w:r>
      <w:r>
        <w:rPr>
          <w:i/>
          <w:iCs/>
          <w:sz w:val="18"/>
          <w:szCs w:val="18"/>
        </w:rPr>
        <w:t xml:space="preserve">, nos termos da Súmula 43, do Superior Tribunal de Justiça, </w:t>
      </w:r>
      <w:r>
        <w:rPr>
          <w:b/>
          <w:bCs/>
          <w:i/>
          <w:iCs/>
          <w:sz w:val="18"/>
          <w:szCs w:val="18"/>
          <w:u w:val="single"/>
          <w:shd w:fill="CFE2F3" w:color="auto" w:val="clear"/>
        </w:rPr>
        <w:t xml:space="preserve">acrescido de juros moratórios calculados com base na taxa legal (taxa SELIC, deduzido o IPCA do período)</w:t>
      </w:r>
      <w:r>
        <w:rPr>
          <w:i/>
          <w:iCs/>
          <w:sz w:val="18"/>
          <w:szCs w:val="18"/>
        </w:rPr>
        <w:t xml:space="preserve">, nos termos do parágrafo único, do art. 389 do Código Civil, com redação dada pela Lei n.º 14.905/2024, </w:t>
      </w:r>
      <w:r>
        <w:rPr>
          <w:b/>
          <w:bCs/>
          <w:i/>
          <w:iCs/>
          <w:sz w:val="18"/>
          <w:szCs w:val="18"/>
          <w:u w:val="single"/>
          <w:shd w:fill="CFE2F3" w:color="auto" w:val="clear"/>
        </w:rPr>
        <w:t xml:space="preserve">incidindo desde a data do evento danoso, qual seja, 15/01/2025</w:t>
      </w:r>
      <w:r>
        <w:rPr>
          <w:i/>
          <w:iCs/>
          <w:sz w:val="18"/>
          <w:szCs w:val="18"/>
        </w:rPr>
        <w:t xml:space="preserve">. Condeno o réu ao pagamento das custas processuais e honorários advocatícios, estes fixados em 10% (dez por cento) sobre o valor da condenação (...)”</w:t>
      </w:r>
    </w:p>
    <w:p>
      <w:pPr>
        <w:spacing w:after="60" w:line="360"/>
        <w:ind w:firstLine="850"/>
        <w:jc w:val="both"/>
      </w:pPr>
      <w:r>
        <w:t xml:space="preserve">A sentença </w:t>
      </w:r>
      <w:r>
        <w:rPr>
          <w:b/>
          <w:bCs/>
          <w:u w:val="single"/>
          <w:shd w:fill="CFE2F3" w:color="auto" w:val="clear"/>
        </w:rPr>
        <w:t xml:space="preserve">transitou em julgado em 04/08/2026</w:t>
      </w:r>
      <w:r>
        <w:t xml:space="preserve"> (certidão de ID 103542902), e os autos foram arquivados em 26/08/2026 (ID 103542915). Trata-se, portanto, de título executivo judicial líquido, certo e exigível (art. 515, I, do CPC), cujo valor depende apenas de cálculo aritmético (art. 509, § 2º, do CPC).</w:t>
      </w:r>
    </w:p>
    <w:p>
      <w:pPr>
        <w:spacing w:after="60" w:line="360"/>
        <w:ind w:firstLine="850"/>
        <w:jc w:val="both"/>
      </w:pPr>
      <w:r>
        <w:t xml:space="preserve">Como o presente requerimento é formulado menos de um ano após o trânsito em julgado, a intimação do devedor segue a regra geral do art. 513, § 2º, do CPC, não incidindo o § 4º do mesmo dispositivo. Requer-se, assim, o desarquivamento dos autos, com isenção de eventuais custas, por ser a exequente beneficiária da gratuidade da justiça (ID 85677055).</w:t>
      </w:r>
    </w:p>
    <w:p>
      <w:pPr>
        <w:keepNext/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b/>
          <w:bCs/>
          <w:i/>
          <w:iCs/>
          <w:color w:val="FFFFFF"/>
        </w:rPr>
        <w:t xml:space="preserve">	Do demonstrativo do débito (art. 524 do CPC).</w:t>
      </w:r>
    </w:p>
    <w:p>
      <w:pPr>
        <w:spacing w:after="60" w:line="360"/>
        <w:ind w:firstLine="850"/>
        <w:jc w:val="both"/>
      </w:pPr>
      <w:r>
        <w:t xml:space="preserve">Em observância estrita aos parâmetros do título, o débito foi apurado da seguinte forma:</w:t>
      </w:r>
    </w:p>
    <w:p>
      <w:pPr>
        <w:keepNext/>
        <w:tabs>
          <w:tab w:val="left" w:pos="700"/>
        </w:tabs>
        <w:spacing w:after="160" w:before="240" w:line="360"/>
        <w:ind w:left="700" w:hanging="400"/>
      </w:pPr>
      <w:r>
        <w:rPr>
          <w:b/>
          <w:bCs/>
          <w:i/>
          <w:iCs/>
        </w:rPr>
        <w:t xml:space="preserve">a.	</w:t>
      </w:r>
      <w:r>
        <w:rPr>
          <w:b/>
          <w:bCs/>
          <w:i/>
          <w:iCs/>
        </w:rPr>
        <w:t xml:space="preserve">Correção monetária pelo IPCA desde o efetivo desembolso:</w:t>
      </w:r>
    </w:p>
    <w:p>
      <w:pPr>
        <w:spacing w:after="60" w:line="360"/>
        <w:ind w:firstLine="850"/>
        <w:jc w:val="both"/>
      </w:pPr>
      <w:r>
        <w:t xml:space="preserve">O desembolso da franquia ocorreu em </w:t>
      </w:r>
      <w:r>
        <w:rPr>
          <w:b/>
          <w:bCs/>
        </w:rPr>
        <w:t xml:space="preserve">20/03/2025</w:t>
      </w:r>
      <w:r>
        <w:t xml:space="preserve">, conforme recibo nº 19874 emitido pela Jelta Veículos e Máquinas Ltda. (ID 85115853). O valor de R$ 4.005,00 foi corrigido pela variação do IPCA/IBGE de abril/2025 a setembro/2026 (último índice divulgado), o que resulta no fator acumulado de </w:t>
      </w:r>
      <w:r>
        <w:rPr>
          <w:b/>
          <w:bCs/>
        </w:rPr>
        <w:t xml:space="preserve">1,062170</w:t>
      </w:r>
      <w:r>
        <w:t xml:space="preserve"> e no principal corrigido de </w:t>
      </w:r>
      <w:r>
        <w:rPr>
          <w:b/>
          <w:bCs/>
        </w:rPr>
        <w:t xml:space="preserve">R$ 4.253,99</w:t>
      </w:r>
      <w:r>
        <w:t xml:space="preserve">.</w:t>
      </w:r>
    </w:p>
    <w:p>
      <w:pPr>
        <w:keepNext/>
        <w:tabs>
          <w:tab w:val="left" w:pos="700"/>
        </w:tabs>
        <w:spacing w:after="160" w:before="240" w:line="360"/>
        <w:ind w:left="700" w:hanging="400"/>
      </w:pPr>
      <w:r>
        <w:rPr>
          <w:b/>
          <w:bCs/>
          <w:i/>
          <w:iCs/>
        </w:rPr>
        <w:t xml:space="preserve">b.	</w:t>
      </w:r>
      <w:r>
        <w:rPr>
          <w:b/>
          <w:bCs/>
          <w:i/>
          <w:iCs/>
        </w:rPr>
        <w:t xml:space="preserve">Juros de mora pela taxa legal desde o evento danoso:</w:t>
      </w:r>
    </w:p>
    <w:p>
      <w:pPr>
        <w:spacing w:after="60" w:line="360"/>
        <w:ind w:firstLine="850"/>
        <w:jc w:val="both"/>
      </w:pPr>
      <w:r>
        <w:t xml:space="preserve">Os juros moratórios correspondem à taxa legal do art. 406, § 1º, do Código Civil (Selic deduzido o IPCA), na forma da Resolução CMN nº 5.171/2024, divulgada mensalmente pelo Banco Central e aplicada em regime de juros simples, de </w:t>
      </w:r>
      <w:r>
        <w:rPr>
          <w:b/>
          <w:bCs/>
        </w:rPr>
        <w:t xml:space="preserve">15/01/2025</w:t>
      </w:r>
      <w:r>
        <w:t xml:space="preserve"> (data do evento danoso, Súmula 54 do STJ) até </w:t>
      </w:r>
      <w:r>
        <w:rPr>
          <w:b/>
          <w:bCs/>
        </w:rPr>
        <w:t xml:space="preserve">19/10/2026</w:t>
      </w:r>
      <w:r>
        <w:t xml:space="preserve">. O primeiro e o último mês foram computados proporcionalmente aos dias. A soma das taxas mensais do período é de </w:t>
      </w:r>
      <w:r>
        <w:rPr>
          <w:b/>
          <w:bCs/>
        </w:rPr>
        <w:t xml:space="preserve">15,806857%</w:t>
      </w:r>
      <w:r>
        <w:t xml:space="preserve">, que, aplicada sobre o principal corrigido, resulta em </w:t>
      </w:r>
      <w:r>
        <w:rPr>
          <w:b/>
          <w:bCs/>
        </w:rPr>
        <w:t xml:space="preserve">R$ 672,42</w:t>
      </w:r>
      <w:r>
        <w:t xml:space="preserve">.</w:t>
      </w:r>
    </w:p>
    <w:p>
      <w:pPr>
        <w:keepNext/>
        <w:tabs>
          <w:tab w:val="left" w:pos="700"/>
        </w:tabs>
        <w:spacing w:after="160" w:before="240" w:line="360"/>
        <w:ind w:left="700" w:hanging="400"/>
      </w:pPr>
      <w:r>
        <w:rPr>
          <w:b/>
          <w:bCs/>
          <w:i/>
          <w:iCs/>
        </w:rPr>
        <w:t xml:space="preserve">c.	</w:t>
      </w:r>
      <w:r>
        <w:rPr>
          <w:b/>
          <w:bCs/>
          <w:i/>
          <w:iCs/>
        </w:rPr>
        <w:t xml:space="preserve">Honorários advocatícios sucumbenciais:</w:t>
      </w:r>
    </w:p>
    <w:p>
      <w:pPr>
        <w:spacing w:after="60" w:line="360"/>
        <w:ind w:firstLine="850"/>
        <w:jc w:val="both"/>
      </w:pPr>
      <w:r>
        <w:t xml:space="preserve">Os honorários de 10% (dez por cento) incidem sobre o valor da condenação atualizado (R$ 4.926,41), totalizando </w:t>
      </w:r>
      <w:r>
        <w:rPr>
          <w:b/>
          <w:bCs/>
        </w:rPr>
        <w:t xml:space="preserve">R$ 492,64</w:t>
      </w:r>
      <w:r>
        <w:t xml:space="preserve">. Trata-se de verba pertencente ao advogado (art. 23 da Lei nº 8.906/1994 e art. 85, § 14, do CPC), cuja execução se promove nestes mesmos autos.</w:t>
      </w:r>
    </w:p>
    <w:p>
      <w:pPr>
        <w:keepNext/>
        <w:tabs>
          <w:tab w:val="left" w:pos="700"/>
        </w:tabs>
        <w:spacing w:after="160" w:before="240" w:line="360"/>
        <w:ind w:left="700" w:hanging="400"/>
      </w:pPr>
      <w:r>
        <w:rPr>
          <w:b/>
          <w:bCs/>
          <w:i/>
          <w:iCs/>
        </w:rPr>
        <w:t xml:space="preserve">d.	</w:t>
      </w:r>
      <w:r>
        <w:rPr>
          <w:b/>
          <w:bCs/>
          <w:i/>
          <w:iCs/>
        </w:rPr>
        <w:t xml:space="preserve">Resumo:</w:t>
      </w:r>
    </w:p>
    <w:tbl>
      <w:tblPr>
        <w:tblW w:type="dxa" w:w="8000"/>
        <w:jc w:val="center"/>
      </w:tblPr>
      <w:tblGrid>
        <w:gridCol w:w="5400"/>
        <w:gridCol w:w="2600"/>
      </w:tblGrid>
      <w:tr>
        <w:trPr>
          <w:tblHeader/>
        </w:trPr>
        <w:tc>
          <w:tcPr>
            <w:tcW w:type="dxa" w:w="54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shd w:fill="123BB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Rubrica</w:t>
            </w:r>
          </w:p>
        </w:tc>
        <w:tc>
          <w:tcPr>
            <w:tcW w:type="dxa" w:w="26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shd w:fill="123BB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 (R$)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Valor original da condenação (desembolso em 20/03/2025)</w:t>
            </w:r>
          </w:p>
        </w:tc>
        <w:tc>
          <w:tcPr>
            <w:tcW w:type="dxa" w:w="26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4.005,00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Correção monetária IPCA (abr/2025 a set/2026) — fator 1,062170</w:t>
            </w:r>
          </w:p>
        </w:tc>
        <w:tc>
          <w:tcPr>
            <w:tcW w:type="dxa" w:w="26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248,99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Principal corrigido</w:t>
            </w:r>
          </w:p>
        </w:tc>
        <w:tc>
          <w:tcPr>
            <w:tcW w:type="dxa" w:w="26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4.253,99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Juros de mora — taxa legal de 15/01/2025 a 19/10/2026 (15,806857%)</w:t>
            </w:r>
          </w:p>
        </w:tc>
        <w:tc>
          <w:tcPr>
            <w:tcW w:type="dxa" w:w="26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672,42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Subtotal da condenação</w:t>
            </w:r>
          </w:p>
        </w:tc>
        <w:tc>
          <w:tcPr>
            <w:tcW w:type="dxa" w:w="26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4.926,41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Honorários sucumbenciais (10% sobre a condenação)</w:t>
            </w:r>
          </w:p>
        </w:tc>
        <w:tc>
          <w:tcPr>
            <w:tcW w:type="dxa" w:w="26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492,64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 DEVIDO EM 19/10/2026</w:t>
            </w:r>
          </w:p>
        </w:tc>
        <w:tc>
          <w:tcPr>
            <w:tcW w:type="dxa" w:w="26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5.419,05</w:t>
            </w:r>
          </w:p>
        </w:tc>
      </w:tr>
    </w:tbl>
    <w:p>
      <w:pPr>
        <w:spacing w:after="120"/>
      </w:pPr>
    </w:p>
    <w:p>
      <w:pPr>
        <w:spacing w:after="60" w:line="360"/>
        <w:ind w:firstLine="850"/>
        <w:jc w:val="both"/>
      </w:pPr>
      <w:r>
        <w:t xml:space="preserve">O débito totaliza, em 19/10/2026, </w:t>
      </w:r>
      <w:r>
        <w:rPr>
          <w:b/>
          <w:bCs/>
        </w:rPr>
        <w:t xml:space="preserve">R$ 5.419,05 (cinco mil, quatrocentos e dezenove reais e cinco centavos)</w:t>
      </w:r>
      <w:r>
        <w:t xml:space="preserve">, sendo R$ 4.926,41 devidos à exequente e R$ 492,64 ao seu advogado, sem prejuízo da atualização até o efetivo pagamento. A memória de cálculo mensal segue ao final desta petição.</w:t>
      </w:r>
    </w:p>
    <w:p>
      <w:pPr>
        <w:spacing w:after="60" w:line="360"/>
        <w:ind w:firstLine="850"/>
        <w:jc w:val="both"/>
      </w:pPr>
      <w:r>
        <w:t xml:space="preserve">Não se incluem custas processuais no demonstrativo, porque a exequente litigou sob o pálio da gratuidade da justiça e não as adiantou. As custas devidas pelo executado deverão ser apuradas pela Contadoria e cobradas na forma das normas de organização judiciária.</w:t>
      </w:r>
    </w:p>
    <w:p>
      <w:pPr>
        <w:keepNext/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b/>
          <w:bCs/>
          <w:i/>
          <w:iCs/>
          <w:color w:val="FFFFFF"/>
        </w:rPr>
        <w:t xml:space="preserve">	Da intimação do executado e das consequências do inadimplemento.</w:t>
      </w:r>
    </w:p>
    <w:p>
      <w:pPr>
        <w:spacing w:after="60" w:line="360"/>
        <w:ind w:firstLine="850"/>
        <w:jc w:val="both"/>
      </w:pPr>
      <w:r>
        <w:t xml:space="preserve">O executado foi citado pessoalmente por Oficial de Justiça em 16/04/2026 (ID 94761620), no endereço acima indicado, mas não constituiu advogado e teve a revelia decretada. Sua intimação para cumprimento da sentença deve ocorrer, portanto, </w:t>
      </w:r>
      <w:r>
        <w:rPr>
          <w:b/>
          <w:bCs/>
          <w:u w:val="single"/>
          <w:shd w:fill="CFE2F3" w:color="auto" w:val="clear"/>
        </w:rPr>
        <w:t xml:space="preserve">por carta com aviso de recebimento</w:t>
      </w:r>
      <w:r>
        <w:t xml:space="preserve"> (art. 513, § 2º, II, do CPC), considerando-se realizada no endereço em que foi citado, nos termos do art. 274, parágrafo único, do CPC.</w:t>
      </w:r>
    </w:p>
    <w:p>
      <w:pPr>
        <w:spacing w:after="60" w:line="360"/>
        <w:ind w:firstLine="850"/>
        <w:jc w:val="both"/>
      </w:pPr>
      <w:r>
        <w:t xml:space="preserve">Contudo, a carta de citação expedida anteriormente para o mesmo endereço não retornou aos autos, o que prejudicou a audiência de conciliação (ID 88234426), e a citação só se concretizou por mandado. Assim, por economia e celeridade processual, requer-se que a intimação seja feita </w:t>
      </w:r>
      <w:r>
        <w:rPr>
          <w:b/>
          <w:bCs/>
          <w:u w:val="single"/>
          <w:shd w:fill="CFE2F3" w:color="auto" w:val="clear"/>
        </w:rPr>
        <w:t xml:space="preserve">diretamente por Oficial de Justiça</w:t>
      </w:r>
      <w:r>
        <w:t xml:space="preserve"> ou, ao menos, que o mandado seja expedido de imediato caso a carta não retorne ou retorne sem cumprimento.</w:t>
      </w:r>
    </w:p>
    <w:p>
      <w:pPr>
        <w:spacing w:after="60" w:line="360"/>
        <w:ind w:firstLine="850"/>
        <w:jc w:val="both"/>
      </w:pPr>
      <w:r>
        <w:t xml:space="preserve">Não havendo pagamento voluntário no prazo de 15 (quinze) dias, o débito será acrescido de </w:t>
      </w:r>
      <w:r>
        <w:rPr>
          <w:b/>
          <w:bCs/>
          <w:u w:val="single"/>
          <w:shd w:fill="CFE2F3" w:color="auto" w:val="clear"/>
        </w:rPr>
        <w:t xml:space="preserve">multa de 10% (dez por cento) e de honorários advocatícios de 10% (dez por cento)</w:t>
      </w:r>
      <w:r>
        <w:t xml:space="preserve"> (art. 523, § 1º, do CPC), o que eleva o montante, na data-base deste cálculo, a </w:t>
      </w:r>
      <w:r>
        <w:rPr>
          <w:b/>
          <w:bCs/>
        </w:rPr>
        <w:t xml:space="preserve">R$ 6.502,87</w:t>
      </w:r>
      <w:r>
        <w:t xml:space="preserve"> (R$ 5.419,05 + R$ 541,91 de multa + R$ 541,91 de honorários). Nesse caso, deverá ser expedido, desde logo, mandado de penhora e avaliação (art. 523, § 3º, do CPC).</w:t>
      </w:r>
    </w:p>
    <w:p>
      <w:pPr>
        <w:spacing w:after="60" w:line="360"/>
        <w:ind w:firstLine="850"/>
        <w:jc w:val="both"/>
      </w:pPr>
      <w:r>
        <w:t xml:space="preserve">Frustrado o pagamento, requer-se a adoção das medidas executivas típicas, com prioridade para a penhora de dinheiro (art. 835, I, do CPC): bloqueio de ativos financeiros via SISBAJUD (art. 854 do CPC), restrição de veículos via RENAJUD e consulta às declarações de bens via INFOJUD, além da inclusão do nome do executado em cadastros de inadimplentes via SERASAJUD (art. 782, §§ 3º e 5º, do CPC) e do protesto da sentença (art. 517 do CPC).</w:t>
      </w:r>
    </w:p>
    <w:p>
      <w:pPr>
        <w:keepNext/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b/>
          <w:bCs/>
          <w:i/>
          <w:iCs/>
          <w:color w:val="FFFFFF"/>
        </w:rPr>
        <w:t xml:space="preserve">	Dos pedidos.</w:t>
      </w:r>
    </w:p>
    <w:p>
      <w:pPr>
        <w:spacing w:after="60" w:line="360"/>
        <w:ind w:firstLine="850"/>
        <w:jc w:val="both"/>
      </w:pPr>
      <w:r>
        <w:t xml:space="preserve">Ante o exposto, requer:</w:t>
      </w:r>
    </w:p>
    <w:p>
      <w:pPr>
        <w:spacing w:after="80" w:line="360"/>
        <w:ind w:left="850" w:hanging="425"/>
        <w:jc w:val="both"/>
      </w:pPr>
      <w:r>
        <w:t xml:space="preserve">a)	O </w:t>
      </w:r>
      <w:r>
        <w:rPr>
          <w:b/>
          <w:bCs/>
        </w:rPr>
        <w:t xml:space="preserve">desarquivamento</w:t>
      </w:r>
      <w:r>
        <w:t xml:space="preserve"> dos autos e o processamento do presente cumprimento de sentença, com isenção de custas em razão da gratuidade da justiça já deferida;</w:t>
      </w:r>
    </w:p>
    <w:p>
      <w:pPr>
        <w:spacing w:after="80" w:line="360"/>
        <w:ind w:left="850" w:hanging="425"/>
        <w:jc w:val="both"/>
      </w:pPr>
      <w:r>
        <w:t xml:space="preserve">b)	A </w:t>
      </w:r>
      <w:r>
        <w:rPr>
          <w:b/>
          <w:bCs/>
        </w:rPr>
        <w:t xml:space="preserve">intimação do executado</w:t>
      </w:r>
      <w:r>
        <w:t xml:space="preserve">, ANTONIO PEREIRA DA SILVA, por Oficial de Justiça ou, subsidiariamente, por carta com aviso de recebimento, no endereço em que foi citado (Rua 2, nº 326, bairro Coheb, Miguel Alves-PI), para que, no prazo de 15 (quinze) dias, pague o débito de </w:t>
      </w:r>
      <w:r>
        <w:rPr>
          <w:b/>
          <w:bCs/>
        </w:rPr>
        <w:t xml:space="preserve">R$ 5.419,05</w:t>
      </w:r>
      <w:r>
        <w:t xml:space="preserve">, atualizado até a data do efetivo pagamento, sob pena de incidência da multa de 10% e de honorários advocatícios de 10% (art. 523, § 1º, do CPC);</w:t>
      </w:r>
    </w:p>
    <w:p>
      <w:pPr>
        <w:spacing w:after="80" w:line="360"/>
        <w:ind w:left="850" w:hanging="425"/>
        <w:jc w:val="both"/>
      </w:pPr>
      <w:r>
        <w:t xml:space="preserve">c)	Não havendo pagamento voluntário, a expedição de </w:t>
      </w:r>
      <w:r>
        <w:rPr>
          <w:b/>
          <w:bCs/>
        </w:rPr>
        <w:t xml:space="preserve">mandado de penhora e avaliação</w:t>
      </w:r>
      <w:r>
        <w:t xml:space="preserve"> (art. 523, § 3º, do CPC), bem como o </w:t>
      </w:r>
      <w:r>
        <w:rPr>
          <w:b/>
          <w:bCs/>
        </w:rPr>
        <w:t xml:space="preserve">bloqueio de ativos financeiros via SISBAJUD</w:t>
      </w:r>
      <w:r>
        <w:t xml:space="preserve">, com reiteração automática (“teimosinha”), até o limite do débito acrescido da multa e dos honorários do art. 523, § 1º, do CPC;</w:t>
      </w:r>
    </w:p>
    <w:p>
      <w:pPr>
        <w:spacing w:after="80" w:line="360"/>
        <w:ind w:left="850" w:hanging="425"/>
        <w:jc w:val="both"/>
      </w:pPr>
      <w:r>
        <w:t xml:space="preserve">d)	Frustrado ou insuficiente o bloqueio, a </w:t>
      </w:r>
      <w:r>
        <w:rPr>
          <w:b/>
          <w:bCs/>
        </w:rPr>
        <w:t xml:space="preserve">restrição de veículos via RENAJUD</w:t>
      </w:r>
      <w:r>
        <w:t xml:space="preserve"> e a </w:t>
      </w:r>
      <w:r>
        <w:rPr>
          <w:b/>
          <w:bCs/>
        </w:rPr>
        <w:t xml:space="preserve">consulta via INFOJUD</w:t>
      </w:r>
      <w:r>
        <w:t xml:space="preserve"> às três últimas declarações de bens do executado;</w:t>
      </w:r>
    </w:p>
    <w:p>
      <w:pPr>
        <w:spacing w:after="80" w:line="360"/>
        <w:ind w:left="850" w:hanging="425"/>
        <w:jc w:val="both"/>
      </w:pPr>
      <w:r>
        <w:t xml:space="preserve">e)	A </w:t>
      </w:r>
      <w:r>
        <w:rPr>
          <w:b/>
          <w:bCs/>
        </w:rPr>
        <w:t xml:space="preserve">inclusão do nome do executado em cadastros de inadimplentes via SERASAJUD</w:t>
      </w:r>
      <w:r>
        <w:t xml:space="preserve"> (art. 782, §§ 3º e 5º, do CPC) e a expedição de </w:t>
      </w:r>
      <w:r>
        <w:rPr>
          <w:b/>
          <w:bCs/>
        </w:rPr>
        <w:t xml:space="preserve">certidão de teor da decisão para protesto</w:t>
      </w:r>
      <w:r>
        <w:t xml:space="preserve"> (art. 517 do CPC);</w:t>
      </w:r>
    </w:p>
    <w:p>
      <w:pPr>
        <w:spacing w:after="80" w:line="360"/>
        <w:ind w:left="850" w:hanging="425"/>
        <w:jc w:val="both"/>
      </w:pPr>
      <w:r>
        <w:t xml:space="preserve">f)	Que os valores eventualmente depositados ou bloqueados sejam levantados por alvará ou transferência eletrônica, destinando-se R$ 4.926,41 (atualizados) à exequente e R$ 492,64 (atualizados), acrescidos dos honorários do art. 523, § 1º, se incidentes, ao advogado subscritor, em conta a ser oportunamente indicada.</w:t>
      </w:r>
    </w:p>
    <w:p>
      <w:pPr>
        <w:spacing w:after="0"/>
      </w:pPr>
    </w:p>
    <w:p>
      <w:pPr>
        <w:spacing w:after="60" w:line="360"/>
        <w:ind w:firstLine="850"/>
        <w:jc w:val="both"/>
      </w:pPr>
      <w:r>
        <w:t xml:space="preserve">Dá-se ao cumprimento de sentença o valor de </w:t>
      </w:r>
      <w:r>
        <w:rPr>
          <w:b/>
          <w:bCs/>
        </w:rPr>
        <w:t xml:space="preserve">R$ 5.419,05 (cinco mil, quatrocentos e dezenove reais e cinco centavos)</w:t>
      </w:r>
      <w:r>
        <w:t xml:space="preserve">.</w:t>
      </w:r>
    </w:p>
    <w:p>
      <w:pPr>
        <w:spacing w:after="0"/>
      </w:pPr>
    </w:p>
    <w:p>
      <w:pPr>
        <w:spacing w:after="0" w:line="360"/>
        <w:jc w:val="center"/>
      </w:pPr>
      <w:r>
        <w:t xml:space="preserve">Nestes termos,</w:t>
      </w:r>
    </w:p>
    <w:p>
      <w:pPr>
        <w:spacing w:after="0" w:line="360"/>
        <w:jc w:val="center"/>
      </w:pPr>
      <w:r>
        <w:t xml:space="preserve">Pede deferimento.</w:t>
      </w:r>
    </w:p>
    <w:p>
      <w:pPr>
        <w:spacing w:after="0"/>
      </w:pPr>
    </w:p>
    <w:p>
      <w:pPr>
        <w:spacing w:after="0" w:line="360"/>
        <w:jc w:val="center"/>
      </w:pPr>
      <w:r>
        <w:t xml:space="preserve">Miguel Alves-PI, datado eletronicamente.</w:t>
      </w:r>
    </w:p>
    <w:p>
      <w:pPr>
        <w:spacing w:after="0"/>
      </w:pPr>
    </w:p>
    <w:p>
      <w:pPr>
        <w:spacing w:after="0" w:line="360"/>
        <w:jc w:val="center"/>
      </w:pPr>
      <w:r>
        <w:rPr>
          <w:b/>
          <w:bCs/>
        </w:rPr>
        <w:t xml:space="preserve">ANTÔNIO DE PÁDUA SANTOS NETO</w:t>
      </w:r>
    </w:p>
    <w:p>
      <w:pPr>
        <w:spacing w:after="0" w:line="360"/>
        <w:jc w:val="center"/>
      </w:pPr>
      <w:r>
        <w:rPr>
          <w:b/>
          <w:bCs/>
        </w:rPr>
        <w:t xml:space="preserve">ADVOGADO - OAB/PI 21.320</w:t>
      </w:r>
    </w:p>
    <w:p>
      <w:r>
        <w:br w:type="page"/>
      </w:r>
    </w:p>
    <w:p>
      <w:pPr>
        <w:keepNext/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b/>
          <w:bCs/>
          <w:i/>
          <w:iCs/>
          <w:color w:val="FFFFFF"/>
        </w:rPr>
        <w:t xml:space="preserve">	Memória de cálculo.</w:t>
      </w:r>
    </w:p>
    <w:p>
      <w:pPr>
        <w:keepNext/>
        <w:tabs>
          <w:tab w:val="left" w:pos="700"/>
        </w:tabs>
        <w:spacing w:after="160" w:before="240" w:line="360"/>
        <w:ind w:left="700" w:hanging="400"/>
      </w:pPr>
      <w:r>
        <w:rPr>
          <w:b/>
          <w:bCs/>
          <w:i/>
          <w:iCs/>
        </w:rPr>
        <w:t xml:space="preserve">I.	</w:t>
      </w:r>
      <w:r>
        <w:rPr>
          <w:b/>
          <w:bCs/>
          <w:i/>
          <w:iCs/>
        </w:rPr>
        <w:t xml:space="preserve">Correção monetária — IPCA/IBGE (variação mensal):</w:t>
      </w:r>
    </w:p>
    <w:tbl>
      <w:tblPr>
        <w:tblW w:type="dxa" w:w="8000"/>
        <w:jc w:val="center"/>
      </w:tblPr>
      <w:tblGrid>
        <w:gridCol w:w="2600"/>
        <w:gridCol w:w="2700"/>
        <w:gridCol w:w="2700"/>
      </w:tblGrid>
      <w:tr>
        <w:trPr>
          <w:tblHeader/>
        </w:trPr>
        <w:tc>
          <w:tcPr>
            <w:tcW w:type="dxa" w:w="26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shd w:fill="123BB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Mês</w:t>
            </w:r>
          </w:p>
        </w:tc>
        <w:tc>
          <w:tcPr>
            <w:tcW w:type="dxa" w:w="27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shd w:fill="123BB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IPCA no mês (%)</w:t>
            </w:r>
          </w:p>
        </w:tc>
        <w:tc>
          <w:tcPr>
            <w:tcW w:type="dxa" w:w="27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shd w:fill="123BB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Fator acumulado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abr/2025</w:t>
            </w:r>
          </w:p>
        </w:tc>
        <w:tc>
          <w:tcPr>
            <w:tcW w:type="dxa" w:w="27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0,43</w:t>
            </w:r>
          </w:p>
        </w:tc>
        <w:tc>
          <w:tcPr>
            <w:tcW w:type="dxa" w:w="27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1,004300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mai/2025</w:t>
            </w:r>
          </w:p>
        </w:tc>
        <w:tc>
          <w:tcPr>
            <w:tcW w:type="dxa" w:w="27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0,26</w:t>
            </w:r>
          </w:p>
        </w:tc>
        <w:tc>
          <w:tcPr>
            <w:tcW w:type="dxa" w:w="27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1,006911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jun/2025</w:t>
            </w:r>
          </w:p>
        </w:tc>
        <w:tc>
          <w:tcPr>
            <w:tcW w:type="dxa" w:w="27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0,24</w:t>
            </w:r>
          </w:p>
        </w:tc>
        <w:tc>
          <w:tcPr>
            <w:tcW w:type="dxa" w:w="27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1,009328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jul/2025</w:t>
            </w:r>
          </w:p>
        </w:tc>
        <w:tc>
          <w:tcPr>
            <w:tcW w:type="dxa" w:w="27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0,26</w:t>
            </w:r>
          </w:p>
        </w:tc>
        <w:tc>
          <w:tcPr>
            <w:tcW w:type="dxa" w:w="27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1,011952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ago/2025</w:t>
            </w:r>
          </w:p>
        </w:tc>
        <w:tc>
          <w:tcPr>
            <w:tcW w:type="dxa" w:w="27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-0,11</w:t>
            </w:r>
          </w:p>
        </w:tc>
        <w:tc>
          <w:tcPr>
            <w:tcW w:type="dxa" w:w="27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1,010839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set/2025</w:t>
            </w:r>
          </w:p>
        </w:tc>
        <w:tc>
          <w:tcPr>
            <w:tcW w:type="dxa" w:w="27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0,48</w:t>
            </w:r>
          </w:p>
        </w:tc>
        <w:tc>
          <w:tcPr>
            <w:tcW w:type="dxa" w:w="27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1,015691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out/2025</w:t>
            </w:r>
          </w:p>
        </w:tc>
        <w:tc>
          <w:tcPr>
            <w:tcW w:type="dxa" w:w="27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0,09</w:t>
            </w:r>
          </w:p>
        </w:tc>
        <w:tc>
          <w:tcPr>
            <w:tcW w:type="dxa" w:w="27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1,016605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nov/2025</w:t>
            </w:r>
          </w:p>
        </w:tc>
        <w:tc>
          <w:tcPr>
            <w:tcW w:type="dxa" w:w="27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0,18</w:t>
            </w:r>
          </w:p>
        </w:tc>
        <w:tc>
          <w:tcPr>
            <w:tcW w:type="dxa" w:w="27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1,018435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dez/2025</w:t>
            </w:r>
          </w:p>
        </w:tc>
        <w:tc>
          <w:tcPr>
            <w:tcW w:type="dxa" w:w="27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0,33</w:t>
            </w:r>
          </w:p>
        </w:tc>
        <w:tc>
          <w:tcPr>
            <w:tcW w:type="dxa" w:w="27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1,021796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jan/2026</w:t>
            </w:r>
          </w:p>
        </w:tc>
        <w:tc>
          <w:tcPr>
            <w:tcW w:type="dxa" w:w="27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0,33</w:t>
            </w:r>
          </w:p>
        </w:tc>
        <w:tc>
          <w:tcPr>
            <w:tcW w:type="dxa" w:w="27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1,025168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fev/2026</w:t>
            </w:r>
          </w:p>
        </w:tc>
        <w:tc>
          <w:tcPr>
            <w:tcW w:type="dxa" w:w="27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0,70</w:t>
            </w:r>
          </w:p>
        </w:tc>
        <w:tc>
          <w:tcPr>
            <w:tcW w:type="dxa" w:w="27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1,032344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mar/2026</w:t>
            </w:r>
          </w:p>
        </w:tc>
        <w:tc>
          <w:tcPr>
            <w:tcW w:type="dxa" w:w="27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0,88</w:t>
            </w:r>
          </w:p>
        </w:tc>
        <w:tc>
          <w:tcPr>
            <w:tcW w:type="dxa" w:w="27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1,041428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abr/2026</w:t>
            </w:r>
          </w:p>
        </w:tc>
        <w:tc>
          <w:tcPr>
            <w:tcW w:type="dxa" w:w="27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0,67</w:t>
            </w:r>
          </w:p>
        </w:tc>
        <w:tc>
          <w:tcPr>
            <w:tcW w:type="dxa" w:w="27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1,048406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mai/2026</w:t>
            </w:r>
          </w:p>
        </w:tc>
        <w:tc>
          <w:tcPr>
            <w:tcW w:type="dxa" w:w="27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0,58</w:t>
            </w:r>
          </w:p>
        </w:tc>
        <w:tc>
          <w:tcPr>
            <w:tcW w:type="dxa" w:w="27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1,054487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jun/2026</w:t>
            </w:r>
          </w:p>
        </w:tc>
        <w:tc>
          <w:tcPr>
            <w:tcW w:type="dxa" w:w="27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0,16</w:t>
            </w:r>
          </w:p>
        </w:tc>
        <w:tc>
          <w:tcPr>
            <w:tcW w:type="dxa" w:w="27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1,056174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jul/2026</w:t>
            </w:r>
          </w:p>
        </w:tc>
        <w:tc>
          <w:tcPr>
            <w:tcW w:type="dxa" w:w="27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0,07</w:t>
            </w:r>
          </w:p>
        </w:tc>
        <w:tc>
          <w:tcPr>
            <w:tcW w:type="dxa" w:w="27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1,056913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ago/2026</w:t>
            </w:r>
          </w:p>
        </w:tc>
        <w:tc>
          <w:tcPr>
            <w:tcW w:type="dxa" w:w="27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-0,32</w:t>
            </w:r>
          </w:p>
        </w:tc>
        <w:tc>
          <w:tcPr>
            <w:tcW w:type="dxa" w:w="27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1,053531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set/2026</w:t>
            </w:r>
          </w:p>
        </w:tc>
        <w:tc>
          <w:tcPr>
            <w:tcW w:type="dxa" w:w="27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0,82</w:t>
            </w:r>
          </w:p>
        </w:tc>
        <w:tc>
          <w:tcPr>
            <w:tcW w:type="dxa" w:w="27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1,062170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Principal corrigido</w:t>
            </w:r>
          </w:p>
        </w:tc>
        <w:tc>
          <w:tcPr>
            <w:tcW w:type="dxa" w:w="27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R$ 4.005,00 × 1,062170</w:t>
            </w:r>
          </w:p>
        </w:tc>
        <w:tc>
          <w:tcPr>
            <w:tcW w:type="dxa" w:w="27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R$ 4.253,99</w:t>
            </w:r>
          </w:p>
        </w:tc>
      </w:tr>
    </w:tbl>
    <w:p>
      <w:pPr>
        <w:spacing w:after="120"/>
      </w:pPr>
    </w:p>
    <w:p>
      <w:pPr>
        <w:keepNext/>
        <w:tabs>
          <w:tab w:val="left" w:pos="700"/>
        </w:tabs>
        <w:spacing w:after="160" w:before="240" w:line="360"/>
        <w:ind w:left="700" w:hanging="400"/>
      </w:pPr>
      <w:r>
        <w:rPr>
          <w:b/>
          <w:bCs/>
          <w:i/>
          <w:iCs/>
        </w:rPr>
        <w:t xml:space="preserve">II.	</w:t>
      </w:r>
      <w:r>
        <w:rPr>
          <w:b/>
          <w:bCs/>
          <w:i/>
          <w:iCs/>
        </w:rPr>
        <w:t xml:space="preserve">Juros de mora — taxa legal (Res. CMN nº 5.171/2024), juros simples:</w:t>
      </w:r>
    </w:p>
    <w:tbl>
      <w:tblPr>
        <w:tblW w:type="dxa" w:w="8000"/>
        <w:jc w:val="center"/>
      </w:tblPr>
      <w:tblGrid>
        <w:gridCol w:w="1800"/>
        <w:gridCol w:w="2200"/>
        <w:gridCol w:w="22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shd w:fill="123BB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Mês</w:t>
            </w:r>
          </w:p>
        </w:tc>
        <w:tc>
          <w:tcPr>
            <w:tcW w:type="dxa" w:w="22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shd w:fill="123BB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Taxa legal (% a.m.)</w:t>
            </w:r>
          </w:p>
        </w:tc>
        <w:tc>
          <w:tcPr>
            <w:tcW w:type="dxa" w:w="22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shd w:fill="123BB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Cômputo</w:t>
            </w:r>
          </w:p>
        </w:tc>
        <w:tc>
          <w:tcPr>
            <w:tcW w:type="dxa" w:w="18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shd w:fill="123BB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Taxa aplicada (%)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jan/2025</w:t>
            </w:r>
          </w:p>
        </w:tc>
        <w:tc>
          <w:tcPr>
            <w:tcW w:type="dxa" w:w="22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0,589427</w:t>
            </w:r>
          </w:p>
        </w:tc>
        <w:tc>
          <w:tcPr>
            <w:tcW w:type="dxa" w:w="22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pro rata 17/31 dias</w:t>
            </w:r>
          </w:p>
        </w:tc>
        <w:tc>
          <w:tcPr>
            <w:tcW w:type="dxa" w:w="18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0,323234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fev/2025</w:t>
            </w:r>
          </w:p>
        </w:tc>
        <w:tc>
          <w:tcPr>
            <w:tcW w:type="dxa" w:w="22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0,902209</w:t>
            </w:r>
          </w:p>
        </w:tc>
        <w:tc>
          <w:tcPr>
            <w:tcW w:type="dxa" w:w="22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integral</w:t>
            </w:r>
          </w:p>
        </w:tc>
        <w:tc>
          <w:tcPr>
            <w:tcW w:type="dxa" w:w="18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0,902209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mar/2025</w:t>
            </w:r>
          </w:p>
        </w:tc>
        <w:tc>
          <w:tcPr>
            <w:tcW w:type="dxa" w:w="22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0,000000</w:t>
            </w:r>
          </w:p>
        </w:tc>
        <w:tc>
          <w:tcPr>
            <w:tcW w:type="dxa" w:w="22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integral</w:t>
            </w:r>
          </w:p>
        </w:tc>
        <w:tc>
          <w:tcPr>
            <w:tcW w:type="dxa" w:w="18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0,000000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abr/2025</w:t>
            </w:r>
          </w:p>
        </w:tc>
        <w:tc>
          <w:tcPr>
            <w:tcW w:type="dxa" w:w="22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0,321969</w:t>
            </w:r>
          </w:p>
        </w:tc>
        <w:tc>
          <w:tcPr>
            <w:tcW w:type="dxa" w:w="22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integral</w:t>
            </w:r>
          </w:p>
        </w:tc>
        <w:tc>
          <w:tcPr>
            <w:tcW w:type="dxa" w:w="18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0,321969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mai/2025</w:t>
            </w:r>
          </w:p>
        </w:tc>
        <w:tc>
          <w:tcPr>
            <w:tcW w:type="dxa" w:w="22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0,623200</w:t>
            </w:r>
          </w:p>
        </w:tc>
        <w:tc>
          <w:tcPr>
            <w:tcW w:type="dxa" w:w="22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integral</w:t>
            </w:r>
          </w:p>
        </w:tc>
        <w:tc>
          <w:tcPr>
            <w:tcW w:type="dxa" w:w="18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0,623200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jun/2025</w:t>
            </w:r>
          </w:p>
        </w:tc>
        <w:tc>
          <w:tcPr>
            <w:tcW w:type="dxa" w:w="22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0,775982</w:t>
            </w:r>
          </w:p>
        </w:tc>
        <w:tc>
          <w:tcPr>
            <w:tcW w:type="dxa" w:w="22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integral</w:t>
            </w:r>
          </w:p>
        </w:tc>
        <w:tc>
          <w:tcPr>
            <w:tcW w:type="dxa" w:w="18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0,775982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jul/2025</w:t>
            </w:r>
          </w:p>
        </w:tc>
        <w:tc>
          <w:tcPr>
            <w:tcW w:type="dxa" w:w="22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0,834880</w:t>
            </w:r>
          </w:p>
        </w:tc>
        <w:tc>
          <w:tcPr>
            <w:tcW w:type="dxa" w:w="22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integral</w:t>
            </w:r>
          </w:p>
        </w:tc>
        <w:tc>
          <w:tcPr>
            <w:tcW w:type="dxa" w:w="18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0,834880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ago/2025</w:t>
            </w:r>
          </w:p>
        </w:tc>
        <w:tc>
          <w:tcPr>
            <w:tcW w:type="dxa" w:w="22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0,942622</w:t>
            </w:r>
          </w:p>
        </w:tc>
        <w:tc>
          <w:tcPr>
            <w:tcW w:type="dxa" w:w="22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integral</w:t>
            </w:r>
          </w:p>
        </w:tc>
        <w:tc>
          <w:tcPr>
            <w:tcW w:type="dxa" w:w="18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0,942622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set/2025</w:t>
            </w:r>
          </w:p>
        </w:tc>
        <w:tc>
          <w:tcPr>
            <w:tcW w:type="dxa" w:w="22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1,305984</w:t>
            </w:r>
          </w:p>
        </w:tc>
        <w:tc>
          <w:tcPr>
            <w:tcW w:type="dxa" w:w="22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integral</w:t>
            </w:r>
          </w:p>
        </w:tc>
        <w:tc>
          <w:tcPr>
            <w:tcW w:type="dxa" w:w="18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1,305984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out/2025</w:t>
            </w:r>
          </w:p>
        </w:tc>
        <w:tc>
          <w:tcPr>
            <w:tcW w:type="dxa" w:w="22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0,736394</w:t>
            </w:r>
          </w:p>
        </w:tc>
        <w:tc>
          <w:tcPr>
            <w:tcW w:type="dxa" w:w="22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integral</w:t>
            </w:r>
          </w:p>
        </w:tc>
        <w:tc>
          <w:tcPr>
            <w:tcW w:type="dxa" w:w="18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0,736394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nov/2025</w:t>
            </w:r>
          </w:p>
        </w:tc>
        <w:tc>
          <w:tcPr>
            <w:tcW w:type="dxa" w:w="22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1,093764</w:t>
            </w:r>
          </w:p>
        </w:tc>
        <w:tc>
          <w:tcPr>
            <w:tcW w:type="dxa" w:w="22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integral</w:t>
            </w:r>
          </w:p>
        </w:tc>
        <w:tc>
          <w:tcPr>
            <w:tcW w:type="dxa" w:w="18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1,093764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dez/2025</w:t>
            </w:r>
          </w:p>
        </w:tc>
        <w:tc>
          <w:tcPr>
            <w:tcW w:type="dxa" w:w="22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0,851001</w:t>
            </w:r>
          </w:p>
        </w:tc>
        <w:tc>
          <w:tcPr>
            <w:tcW w:type="dxa" w:w="22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integral</w:t>
            </w:r>
          </w:p>
        </w:tc>
        <w:tc>
          <w:tcPr>
            <w:tcW w:type="dxa" w:w="18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0,851001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jan/2026</w:t>
            </w:r>
          </w:p>
        </w:tc>
        <w:tc>
          <w:tcPr>
            <w:tcW w:type="dxa" w:w="22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0,967510</w:t>
            </w:r>
          </w:p>
        </w:tc>
        <w:tc>
          <w:tcPr>
            <w:tcW w:type="dxa" w:w="22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integral</w:t>
            </w:r>
          </w:p>
        </w:tc>
        <w:tc>
          <w:tcPr>
            <w:tcW w:type="dxa" w:w="18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0,967510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fev/2026</w:t>
            </w:r>
          </w:p>
        </w:tc>
        <w:tc>
          <w:tcPr>
            <w:tcW w:type="dxa" w:w="22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0,962232</w:t>
            </w:r>
          </w:p>
        </w:tc>
        <w:tc>
          <w:tcPr>
            <w:tcW w:type="dxa" w:w="22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integral</w:t>
            </w:r>
          </w:p>
        </w:tc>
        <w:tc>
          <w:tcPr>
            <w:tcW w:type="dxa" w:w="18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0,962232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mar/2026</w:t>
            </w:r>
          </w:p>
        </w:tc>
        <w:tc>
          <w:tcPr>
            <w:tcW w:type="dxa" w:w="22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0,155714</w:t>
            </w:r>
          </w:p>
        </w:tc>
        <w:tc>
          <w:tcPr>
            <w:tcW w:type="dxa" w:w="22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integral</w:t>
            </w:r>
          </w:p>
        </w:tc>
        <w:tc>
          <w:tcPr>
            <w:tcW w:type="dxa" w:w="18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0,155714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abr/2026</w:t>
            </w:r>
          </w:p>
        </w:tc>
        <w:tc>
          <w:tcPr>
            <w:tcW w:type="dxa" w:w="22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0,768672</w:t>
            </w:r>
          </w:p>
        </w:tc>
        <w:tc>
          <w:tcPr>
            <w:tcW w:type="dxa" w:w="22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integral</w:t>
            </w:r>
          </w:p>
        </w:tc>
        <w:tc>
          <w:tcPr>
            <w:tcW w:type="dxa" w:w="18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0,768672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mai/2026</w:t>
            </w:r>
          </w:p>
        </w:tc>
        <w:tc>
          <w:tcPr>
            <w:tcW w:type="dxa" w:w="22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0,198293</w:t>
            </w:r>
          </w:p>
        </w:tc>
        <w:tc>
          <w:tcPr>
            <w:tcW w:type="dxa" w:w="22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integral</w:t>
            </w:r>
          </w:p>
        </w:tc>
        <w:tc>
          <w:tcPr>
            <w:tcW w:type="dxa" w:w="18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0,198293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jun/2026</w:t>
            </w:r>
          </w:p>
        </w:tc>
        <w:tc>
          <w:tcPr>
            <w:tcW w:type="dxa" w:w="22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0,450641</w:t>
            </w:r>
          </w:p>
        </w:tc>
        <w:tc>
          <w:tcPr>
            <w:tcW w:type="dxa" w:w="22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integral</w:t>
            </w:r>
          </w:p>
        </w:tc>
        <w:tc>
          <w:tcPr>
            <w:tcW w:type="dxa" w:w="18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0,450641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jul/2026</w:t>
            </w:r>
          </w:p>
        </w:tc>
        <w:tc>
          <w:tcPr>
            <w:tcW w:type="dxa" w:w="22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0,706607</w:t>
            </w:r>
          </w:p>
        </w:tc>
        <w:tc>
          <w:tcPr>
            <w:tcW w:type="dxa" w:w="22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integral</w:t>
            </w:r>
          </w:p>
        </w:tc>
        <w:tc>
          <w:tcPr>
            <w:tcW w:type="dxa" w:w="18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0,706607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ago/2026</w:t>
            </w:r>
          </w:p>
        </w:tc>
        <w:tc>
          <w:tcPr>
            <w:tcW w:type="dxa" w:w="22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1,154527</w:t>
            </w:r>
          </w:p>
        </w:tc>
        <w:tc>
          <w:tcPr>
            <w:tcW w:type="dxa" w:w="22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integral</w:t>
            </w:r>
          </w:p>
        </w:tc>
        <w:tc>
          <w:tcPr>
            <w:tcW w:type="dxa" w:w="18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1,154527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set/2026</w:t>
            </w:r>
          </w:p>
        </w:tc>
        <w:tc>
          <w:tcPr>
            <w:tcW w:type="dxa" w:w="22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1,499119</w:t>
            </w:r>
          </w:p>
        </w:tc>
        <w:tc>
          <w:tcPr>
            <w:tcW w:type="dxa" w:w="22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integral</w:t>
            </w:r>
          </w:p>
        </w:tc>
        <w:tc>
          <w:tcPr>
            <w:tcW w:type="dxa" w:w="18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1,499119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out/2026</w:t>
            </w:r>
          </w:p>
        </w:tc>
        <w:tc>
          <w:tcPr>
            <w:tcW w:type="dxa" w:w="22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0,379020</w:t>
            </w:r>
          </w:p>
        </w:tc>
        <w:tc>
          <w:tcPr>
            <w:tcW w:type="dxa" w:w="22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pro rata 19/31 dias</w:t>
            </w:r>
          </w:p>
        </w:tc>
        <w:tc>
          <w:tcPr>
            <w:tcW w:type="dxa" w:w="18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0,232303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15,806857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Juros</w:t>
            </w:r>
          </w:p>
        </w:tc>
        <w:tc>
          <w:tcPr>
            <w:tcW w:type="dxa" w:w="22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R$ 4.253,99 × 15,806857%</w:t>
            </w:r>
          </w:p>
        </w:tc>
        <w:tc>
          <w:tcPr>
            <w:tcW w:type="dxa" w:w="22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R$ 672,42</w:t>
            </w:r>
          </w:p>
        </w:tc>
      </w:tr>
    </w:tbl>
    <w:p>
      <w:pPr>
        <w:spacing w:after="120"/>
      </w:pPr>
    </w:p>
    <w:p>
      <w:pPr>
        <w:spacing w:after="60" w:line="360"/>
        <w:ind w:firstLine="850"/>
        <w:jc w:val="both"/>
      </w:pPr>
      <w:r>
        <w:t xml:space="preserve">Observações: (i) termo inicial da correção na data do desembolso (20/03/2025), utilizado o IPCA a partir do mês seguinte; (ii) juros contados de 15/01/2025, dia inclusive, até 19/10/2026, proporcionalmente aos dias no primeiro (17/31) e no último mês (19/31); (iii) fontes: IBGE (IPCA) e comunicados mensais do Banco Central do Brasil (taxa legal).</w:t>
      </w:r>
    </w:p>
    <w:sectPr>
      <w:headerReference w:type="default" r:id="rId7"/>
      <w:footerReference w:type="default" r:id="rId8"/>
      <w:pgSz w:w="11906" w:h="16838" w:orient="portrait"/>
      <w:pgMar w:top="2330" w:right="1134" w:bottom="1500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AA0A6" w:sz="6" w:space="4"/>
      </w:pBdr>
      <w:spacing w:line="240"/>
      <w:jc w:val="center"/>
    </w:pPr>
    <w:r>
      <w:rPr>
        <w:b/>
        <w:bCs/>
        <w:i/>
        <w:iCs/>
        <w:color w:val="123BB8"/>
        <w:sz w:val="16"/>
        <w:szCs w:val="16"/>
      </w:rPr>
      <w:t xml:space="preserve">Rua Rio Grande do Sul, 1641, bairro São Miguel, CEP: 64.130-000, Miguel Alves-PI - (86) 9 7400-9869 - paduanetojus@gmail.com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drawing>
        <wp:inline distT="0" distB="0" distL="0" distR="0">
          <wp:extent cx="1809750" cy="952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952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9AA0A6" w:sz="6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ora" w:cs="Lora" w:eastAsia="Lora" w:hAnsi="Lor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2a26ce5428c3d3d8b74c564df80a7d487fd53a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Contestação - Ely Sandro Vaz e Silva</dc:title>
  <dc:creator>Antônio de Pádua Santos Neto</dc:creator>
  <cp:lastModifiedBy>Un-named</cp:lastModifiedBy>
  <cp:revision>1</cp:revision>
  <dcterms:created xsi:type="dcterms:W3CDTF">2026-10-03T02:33:01.698Z</dcterms:created>
  <dcterms:modified xsi:type="dcterms:W3CDTF">2026-10-03T02:33:01.705Z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