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 w:after="60"/>
        <w:jc w:val="both"/>
      </w:pPr>
      <w:r>
        <w:rPr>
          <w:rFonts w:ascii="Lora Medium" w:hAnsi="Lora Medium" w:cs="Lora Medium" w:eastAsia="Lora Medium"/>
          <w:b/>
        </w:rPr>
        <w:t>EXCELENTÍSSIMO SENHOR DESEMBARGADOR FERNANDO LOPES E SILVA NETO, RELATOR DO AGRAVO DE INSTRUMENTO, DO EGRÉGIO TRIBUNAL DE JUSTIÇA DO ESTADO DO PIAUÍ.</w:t>
      </w:r>
    </w:p>
    <w:p/>
    <w:p>
      <w:pPr>
        <w:spacing w:line="360" w:lineRule="auto" w:after="0"/>
      </w:pPr>
      <w:r>
        <w:rPr>
          <w:rFonts w:ascii="Lora Medium" w:hAnsi="Lora Medium" w:cs="Lora Medium" w:eastAsia="Lora Medium"/>
          <w:b/>
        </w:rPr>
        <w:t>Agravo de Instrumento nº 0763031-67.2026.8.18.0000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Processo de origem: 0800122-42.2025.8.18.0061 – Vara Única da Comarca de Miguel Alves/PI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Agravante: BANCO PAN S.A.</w:t>
      </w:r>
    </w:p>
    <w:p>
      <w:pPr>
        <w:spacing w:line="360" w:lineRule="auto" w:after="60"/>
      </w:pPr>
      <w:r>
        <w:rPr>
          <w:rFonts w:ascii="Lora Medium" w:hAnsi="Lora Medium" w:cs="Lora Medium" w:eastAsia="Lora Medium"/>
        </w:rPr>
        <w:t>Agravada: FRANCISCA SOUSA DA SILVA (falecida), representada por seus sucessores</w:t>
      </w:r>
    </w:p>
    <w:p/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  <w:b/>
        </w:rPr>
        <w:t>MANOEL LOPES DA SILVA</w:t>
      </w:r>
      <w:r>
        <w:rPr>
          <w:rFonts w:ascii="Lora Medium" w:hAnsi="Lora Medium" w:cs="Lora Medium" w:eastAsia="Lora Medium"/>
        </w:rPr>
        <w:t xml:space="preserve">, </w:t>
      </w:r>
      <w:r>
        <w:rPr>
          <w:rFonts w:ascii="Lora Medium" w:hAnsi="Lora Medium" w:cs="Lora Medium" w:eastAsia="Lora Medium"/>
          <w:b/>
        </w:rPr>
        <w:t>JAILENE SOUSA SILVA RODRIGUES</w:t>
      </w:r>
      <w:r>
        <w:rPr>
          <w:rFonts w:ascii="Lora Medium" w:hAnsi="Lora Medium" w:cs="Lora Medium" w:eastAsia="Lora Medium"/>
        </w:rPr>
        <w:t xml:space="preserve">, </w:t>
      </w:r>
      <w:r>
        <w:rPr>
          <w:rFonts w:ascii="Lora Medium" w:hAnsi="Lora Medium" w:cs="Lora Medium" w:eastAsia="Lora Medium"/>
          <w:b/>
        </w:rPr>
        <w:t>JOEL CARLOS SOUSA SILVA</w:t>
      </w:r>
      <w:r>
        <w:rPr>
          <w:rFonts w:ascii="Lora Medium" w:hAnsi="Lora Medium" w:cs="Lora Medium" w:eastAsia="Lora Medium"/>
        </w:rPr>
        <w:t xml:space="preserve">, </w:t>
      </w:r>
      <w:r>
        <w:rPr>
          <w:rFonts w:ascii="Lora Medium" w:hAnsi="Lora Medium" w:cs="Lora Medium" w:eastAsia="Lora Medium"/>
          <w:b/>
        </w:rPr>
        <w:t>GEAN CARLOS SOUSA SILVA</w:t>
      </w:r>
      <w:r>
        <w:rPr>
          <w:rFonts w:ascii="Lora Medium" w:hAnsi="Lora Medium" w:cs="Lora Medium" w:eastAsia="Lora Medium"/>
        </w:rPr>
        <w:t xml:space="preserve"> e </w:t>
      </w:r>
      <w:r>
        <w:rPr>
          <w:rFonts w:ascii="Lora Medium" w:hAnsi="Lora Medium" w:cs="Lora Medium" w:eastAsia="Lora Medium"/>
          <w:b/>
        </w:rPr>
        <w:t>JANAÍNA DE SOUSA SILVA</w:t>
      </w:r>
      <w:r>
        <w:rPr>
          <w:rFonts w:ascii="Lora Medium" w:hAnsi="Lora Medium" w:cs="Lora Medium" w:eastAsia="Lora Medium"/>
        </w:rPr>
        <w:t xml:space="preserve">, sucessores da agravada </w:t>
      </w:r>
      <w:r>
        <w:rPr>
          <w:rFonts w:ascii="Lora Medium" w:hAnsi="Lora Medium" w:cs="Lora Medium" w:eastAsia="Lora Medium"/>
          <w:b/>
        </w:rPr>
        <w:t>FRANCISCA SOUSA DA SILVA</w:t>
      </w:r>
      <w:r>
        <w:rPr>
          <w:rFonts w:ascii="Lora Medium" w:hAnsi="Lora Medium" w:cs="Lora Medium" w:eastAsia="Lora Medium"/>
        </w:rPr>
        <w:t>, cuja habilitação foi requerida na origem (ID 107118300) e nestes autos, vêm, respeitosamente, por intermédio de seu advogado, com fundamento no art. 1.019, II, do Código de Processo Civil, apresentar</w:t>
      </w:r>
    </w:p>
    <w:p/>
    <w:p>
      <w:pPr>
        <w:spacing w:line="360" w:lineRule="auto" w:after="60"/>
        <w:jc w:val="center"/>
      </w:pPr>
      <w:r>
        <w:rPr>
          <w:rFonts w:ascii="Lora Medium" w:hAnsi="Lora Medium" w:cs="Lora Medium" w:eastAsia="Lora Medium"/>
          <w:b/>
        </w:rPr>
        <w:t>CONTRARRAZÕES AO AGRAVO DE INSTRUMENTO</w:t>
      </w:r>
    </w:p>
    <w:p/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interposto por </w:t>
      </w:r>
      <w:r>
        <w:rPr>
          <w:rFonts w:ascii="Lora Medium" w:hAnsi="Lora Medium" w:cs="Lora Medium" w:eastAsia="Lora Medium"/>
          <w:b/>
        </w:rPr>
        <w:t>BANCO PAN S.A.</w:t>
      </w:r>
      <w:r>
        <w:rPr>
          <w:rFonts w:ascii="Lora Medium" w:hAnsi="Lora Medium" w:cs="Lora Medium" w:eastAsia="Lora Medium"/>
        </w:rPr>
        <w:t>, pelos fatos e fundamentos a seguir expostos.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I.</w:t>
        <w:tab/>
        <w:t>DA TEMPESTIVIDADE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O prazo para contrarrazões ainda não começou a correr. A agravada faleceu em 16/07/2026, o que suspendeu o processo (art. 313, I, do CPC). Além disso, a carta de intimação enviada pelo Tribunal retornou sem cumprimento, com a anotação “destinatário desconhecido no endereço” (ID 37150869).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Os sucessores apresentam desde logo estas contrarrazões, em atenção à celeridade,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sem renunciar à restituição integral do prazo</w:t>
      </w:r>
      <w:r>
        <w:rPr>
          <w:rFonts w:ascii="Lora Medium" w:hAnsi="Lora Medium" w:cs="Lora Medium" w:eastAsia="Lora Medium"/>
        </w:rPr>
        <w:t xml:space="preserve"> requerida na comunicação de óbito, que lhes permite complementá-las, se necessário, após a habilitação (art. 221 do CPC).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II.</w:t>
        <w:tab/>
        <w:t>SÍNTESE DO PROCESSO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Sra. Francisca, idosa e em tratamento contra o câncer, sofreu descontos de dois empréstimos consignados que nunca contratou. A sentença declarou a inexistência dos contratos e condenou o banco à repetição do indébito em dobro. Ela transitou em julgado em 08/12/2025.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No cumprimento de sentença, o banco depositou os valores, mas impugnou a execução, alegando que R$ 30.724,36 já teriam sido “estornados administrativamente”. O Juízo de origem rejeitou a impugnação, qualificando-a como “manifestamente protelatória”, homologou o cálculo de R$ 35.057,00 e fixou a multa e os honorários do art. 523, § 1º, do CPC.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Neste agravo, Vossa Excelência deferiu parcialmente a tutela recursal, por entender necessário o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cotejo entre as datas da sentença, do trânsito em julgado e dos estornos</w:t>
      </w:r>
      <w:r>
        <w:rPr>
          <w:rFonts w:ascii="Lora Medium" w:hAnsi="Lora Medium" w:cs="Lora Medium" w:eastAsia="Lora Medium"/>
        </w:rPr>
        <w:t>, a fim de verificar se eles seriam fatos supervenientes (art. 525, § 1º, VII, do CPC).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Esse cotejo é simples e pode ser feito com os documentos do próprio agravante. Ele demonstra que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todos os estornos são anteriores à sentença</w:t>
      </w:r>
      <w:r>
        <w:rPr>
          <w:rFonts w:ascii="Lora Medium" w:hAnsi="Lora Medium" w:cs="Lora Medium" w:eastAsia="Lora Medium"/>
        </w:rPr>
        <w:t>, como se passa a expor.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III.</w:t>
        <w:tab/>
        <w:t>DAS RAZÕES PARA O DESPROVIMENTO DO RECURSO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a.</w:t>
        <w:tab/>
        <w:t>O cotejo das datas: todos os estornos são anteriores à sentença: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O “Demonstrativo de Operações” juntado pelo próprio banco (ID 87136270 da origem, reproduzido no ID 35832394 destes autos) registra a data de cada lançamento “ESTORNO PRC P/ REEMB”. Comparadas com os marcos do processo, as datas são as seguintes: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a)</w:t>
        <w:tab/>
      </w:r>
      <w:r>
        <w:rPr>
          <w:rFonts w:ascii="Lora Medium" w:hAnsi="Lora Medium" w:cs="Lora Medium" w:eastAsia="Lora Medium"/>
          <w:b/>
        </w:rPr>
        <w:t>28/03/2025</w:t>
      </w:r>
      <w:r>
        <w:rPr>
          <w:rFonts w:ascii="Lora Medium" w:hAnsi="Lora Medium" w:cs="Lora Medium" w:eastAsia="Lora Medium"/>
        </w:rPr>
        <w:t xml:space="preserve"> – estorno das 28 parcelas do contrato nº 365740967-2 (R$ 200,00 cada);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b)</w:t>
        <w:tab/>
      </w:r>
      <w:r>
        <w:rPr>
          <w:rFonts w:ascii="Lora Medium" w:hAnsi="Lora Medium" w:cs="Lora Medium" w:eastAsia="Lora Medium"/>
          <w:b/>
        </w:rPr>
        <w:t>01/04/2025</w:t>
      </w:r>
      <w:r>
        <w:rPr>
          <w:rFonts w:ascii="Lora Medium" w:hAnsi="Lora Medium" w:cs="Lora Medium" w:eastAsia="Lora Medium"/>
        </w:rPr>
        <w:t xml:space="preserve"> – citação do banco;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c)</w:t>
        <w:tab/>
      </w:r>
      <w:r>
        <w:rPr>
          <w:rFonts w:ascii="Lora Medium" w:hAnsi="Lora Medium" w:cs="Lora Medium" w:eastAsia="Lora Medium"/>
          <w:b/>
        </w:rPr>
        <w:t>até 29/05/2025</w:t>
      </w:r>
      <w:r>
        <w:rPr>
          <w:rFonts w:ascii="Lora Medium" w:hAnsi="Lora Medium" w:cs="Lora Medium" w:eastAsia="Lora Medium"/>
        </w:rPr>
        <w:t xml:space="preserve"> – contestação, na qual o banco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já alegava ter restituído os valores</w:t>
      </w:r>
      <w:r>
        <w:rPr>
          <w:rFonts w:ascii="Lora Medium" w:hAnsi="Lora Medium" w:cs="Lora Medium" w:eastAsia="Lora Medium"/>
        </w:rPr>
        <w:t>, alegação rebatida na réplica (ID 76604920, pág. 5);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d)</w:t>
        <w:tab/>
      </w:r>
      <w:r>
        <w:rPr>
          <w:rFonts w:ascii="Lora Medium" w:hAnsi="Lora Medium" w:cs="Lora Medium" w:eastAsia="Lora Medium"/>
          <w:b/>
        </w:rPr>
        <w:t>18/06/2025</w:t>
      </w:r>
      <w:r>
        <w:rPr>
          <w:rFonts w:ascii="Lora Medium" w:hAnsi="Lora Medium" w:cs="Lora Medium" w:eastAsia="Lora Medium"/>
        </w:rPr>
        <w:t xml:space="preserve"> – estorno das 31 parcelas do contrato nº 365738167-3 (R$ 224,00 cada);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e)</w:t>
        <w:tab/>
      </w:r>
      <w:r>
        <w:rPr>
          <w:rFonts w:ascii="Lora Medium" w:hAnsi="Lora Medium" w:cs="Lora Medium" w:eastAsia="Lora Medium"/>
          <w:b/>
        </w:rPr>
        <w:t>08/08/2025</w:t>
      </w:r>
      <w:r>
        <w:rPr>
          <w:rFonts w:ascii="Lora Medium" w:hAnsi="Lora Medium" w:cs="Lora Medium" w:eastAsia="Lora Medium"/>
        </w:rPr>
        <w:t xml:space="preserve"> –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sentença</w:t>
      </w:r>
      <w:r>
        <w:rPr>
          <w:rFonts w:ascii="Lora Medium" w:hAnsi="Lora Medium" w:cs="Lora Medium" w:eastAsia="Lora Medium"/>
        </w:rPr>
        <w:t>, que condenou o banco à restituição sem reconhecer nenhuma devolução;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f)</w:t>
        <w:tab/>
      </w:r>
      <w:r>
        <w:rPr>
          <w:rFonts w:ascii="Lora Medium" w:hAnsi="Lora Medium" w:cs="Lora Medium" w:eastAsia="Lora Medium"/>
          <w:b/>
        </w:rPr>
        <w:t>19/08/2025</w:t>
      </w:r>
      <w:r>
        <w:rPr>
          <w:rFonts w:ascii="Lora Medium" w:hAnsi="Lora Medium" w:cs="Lora Medium" w:eastAsia="Lora Medium"/>
        </w:rPr>
        <w:t xml:space="preserve"> – embargos de declaração do banco contra a sentença, sem nenhuma menção aos estornos;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g)</w:t>
        <w:tab/>
      </w:r>
      <w:r>
        <w:rPr>
          <w:rFonts w:ascii="Lora Medium" w:hAnsi="Lora Medium" w:cs="Lora Medium" w:eastAsia="Lora Medium"/>
          <w:b/>
        </w:rPr>
        <w:t>08/12/2025</w:t>
      </w:r>
      <w:r>
        <w:rPr>
          <w:rFonts w:ascii="Lora Medium" w:hAnsi="Lora Medium" w:cs="Lora Medium" w:eastAsia="Lora Medium"/>
        </w:rPr>
        <w:t xml:space="preserve"> – trânsito em julgado.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O art. 525, § 1º, VII, do CPC só admite, na impugnação, causa extintiva da obrigação “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desde que superveniente à sentença</w:t>
      </w:r>
      <w:r>
        <w:rPr>
          <w:rFonts w:ascii="Lora Medium" w:hAnsi="Lora Medium" w:cs="Lora Medium" w:eastAsia="Lora Medium"/>
        </w:rPr>
        <w:t xml:space="preserve">”. Os estornos são de março e junho de 2025, de dois a quatro meses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antes</w:t>
      </w:r>
      <w:r>
        <w:rPr>
          <w:rFonts w:ascii="Lora Medium" w:hAnsi="Lora Medium" w:cs="Lora Medium" w:eastAsia="Lora Medium"/>
        </w:rPr>
        <w:t xml:space="preserve"> da sentença. Não são fatos supervenientes.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Mais do que isso: a restituição foi expressamente alegada pelo banco na contestação, impugnada pela autora e afastada pela sentença, que condenou o réu a restituir os valores. A matéria foi deduzida e decidida, e está coberta pela coisa julgada e por sua eficácia preclusiva (arts. 502 e 508 do CPC):</w:t>
      </w:r>
    </w:p>
    <w:p>
      <w:pPr>
        <w:spacing w:before="160" w:after="200" w:line="240" w:lineRule="auto"/>
        <w:ind w:left="2270" w:right="570"/>
        <w:jc w:val="both"/>
        <w:pBdr>
          <w:top w:val="single" w:color="9AA0A6" w:sz="4" w:space="6"/>
        </w:pBdr>
      </w:pPr>
      <w:r>
        <w:rPr>
          <w:rFonts w:ascii="Lora Medium" w:hAnsi="Lora Medium" w:cs="Lora Medium" w:eastAsia="Lora Medium"/>
          <w:b/>
          <w:i/>
          <w:sz w:val="18"/>
        </w:rPr>
        <w:t>Art. 508.</w:t>
      </w:r>
      <w:r>
        <w:rPr>
          <w:rFonts w:ascii="Lora Medium" w:hAnsi="Lora Medium" w:cs="Lora Medium" w:eastAsia="Lora Medium"/>
          <w:i/>
          <w:sz w:val="18"/>
        </w:rPr>
        <w:t xml:space="preserve"> Transitada em julgado a decisão de mérito, considerar-se-ão deduzidas e repelidas todas as alegações e as defesas que a parte poderia opor tanto ao acolhimento quanto à rejeição do pedido.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Feito o cotejo determinado por Vossa Excelência, a conclusão é a mesma da decisão agravada: a pretensão do banco é, de fato, rediscussão do mérito já julgado.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b.</w:t>
        <w:tab/>
        <w:t>A afirmação falsa do agravante sobre as datas: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Nas razões do agravo (ID 35832392, pág. 2), o banco afirma que sustentou, “tanto na impugnação quanto nos embargos de declaração, que os estornos administrativos comprovados nos autos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ocorreram em momento posterior à formação do título executivo</w:t>
      </w:r>
      <w:r>
        <w:rPr>
          <w:rFonts w:ascii="Lora Medium" w:hAnsi="Lora Medium" w:cs="Lora Medium" w:eastAsia="Lora Medium"/>
        </w:rPr>
        <w:t>”.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afirmação é falsa, e o próprio documento do banco a desmente: os estornos datam de 28/03/2025 e 18/06/2025, antes da sentença de 08/08/2025 e muito antes do trânsito em julgado de 08/12/2025. Foi justamente essa alegação que deu plausibilidade à tutela recursal.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c.</w:t>
        <w:tab/>
        <w:t>Estorno contábil não é pagamento: a autora nunca recebeu os valores: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Ainda que se superasse a questão temporal, não há prova de pagamento. O demonstrativo do banco mostra, para cada parcela, três lançamentos internos: (i) “RECBTO DESC EM FOLHA”, o recebimento da parcela; (ii) “Est.Bx. – ESTORNO PRC P/ REEMB”, o estorno dessa baixa; e (iii) nova baixa como “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230 – FRAUDE – PERDA DIRETA</w:t>
      </w:r>
      <w:r>
        <w:rPr>
          <w:rFonts w:ascii="Lora Medium" w:hAnsi="Lora Medium" w:cs="Lora Medium" w:eastAsia="Lora Medium"/>
        </w:rPr>
        <w:t>”.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Trata-se de reclassificação contábil interna: a parcela deixa de constar como recebida e passa a ser lançada como perda por fraude. Nenhum desses lançamentos indica transferência de dinheiro à autora. Não há comprovante de TED, PIX ou ordem de pagamento, nem sequer a indicação da conta em que o valor teria sido creditado.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A única conta que o banco já atribuiu à autora, a conta nº 48723-3 da agência 2298 do Banco do Brasil,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não existe</w:t>
      </w:r>
      <w:r>
        <w:rPr>
          <w:rFonts w:ascii="Lora Medium" w:hAnsi="Lora Medium" w:cs="Lora Medium" w:eastAsia="Lora Medium"/>
        </w:rPr>
        <w:t>. O gerente da agência declarou formalmente que a autora não possui conta corrente nem poupança naquela instituição (ID 76604921 da origem). A autora jamais pediu restituição administrativa.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Quem paga mal paga duas vezes. O pagamento deve ser feito ao credor e, se feito a terceiro, só vale se o credor o ratificar ou se reverter em seu proveito (art. 308 do Código Civil). A prova do pagamento é a quitação (arts. 319 e 320 do CC), e o ônus de prová-lo é do devedor (art. 373, II, do CPC). O banco não se desincumbiu desse ônus.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d.</w:t>
        <w:tab/>
        <w:t>A conta do banco é aritmeticamente impossível: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Somadas todas as parcelas estornadas, pelo valor nominal, chega-se a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R$ 12.544,00</w:t>
      </w:r>
      <w:r>
        <w:rPr>
          <w:rFonts w:ascii="Lora Medium" w:hAnsi="Lora Medium" w:cs="Lora Medium" w:eastAsia="Lora Medium"/>
        </w:rPr>
        <w:t xml:space="preserve"> (28 × R$ 200,00 + 31 × R$ 224,00). O banco, porém, pretende abater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R$ 30.724,36</w:t>
      </w:r>
      <w:r>
        <w:rPr>
          <w:rFonts w:ascii="Lora Medium" w:hAnsi="Lora Medium" w:cs="Lora Medium" w:eastAsia="Lora Medium"/>
        </w:rPr>
        <w:t>. A diferença, de mais de R$ 18 mil, não tem nenhuma explicação.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Na verdade, o valor de R$ 30.724,36 não decorre dos estornos: é apenas a diferença entre o que o banco depositou (R$ 35.365,50) e o que ele aceita pagar (R$ 4.641,14). A planilha do banco (ID 95988162 da origem) zera o dano material e calcula honorários sobre o valor da causa, em frontal contrariedade ao título executivo.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Mesmo que cada estorno fosse dinheiro efetivamente entregue à autora, ele cobriria no máximo o valor simples das parcelas. A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restituição em dobro</w:t>
      </w:r>
      <w:r>
        <w:rPr>
          <w:rFonts w:ascii="Lora Medium" w:hAnsi="Lora Medium" w:cs="Lora Medium" w:eastAsia="Lora Medium"/>
        </w:rPr>
        <w:t xml:space="preserve"> determinada pela sentença (art. 42, parágrafo único, do CDC), a correção monetária, os juros e os honorários continuariam integralmente devidos.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e.</w:t>
        <w:tab/>
        <w:t>Da multa e dos honorários do art. 523, § 1º, do CPC: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multa e os honorários do art. 523, § 1º, só são afastados quando o devedor deposita voluntariamente a quantia devida, sem condicionar seu levantamento à discussão do débito. Foi o que decidiu o Juízo de origem, com apoio na jurisprudência do STJ (REsp 2.007.874/DF).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O banco fez exatamente o contrário. Depositou os valores como garantia, impugnou a execução e, quanto aos R$ 7.011,40, declarou nestas razões que o depósito foi feito “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sob protesto</w:t>
      </w:r>
      <w:r>
        <w:rPr>
          <w:rFonts w:ascii="Lora Medium" w:hAnsi="Lora Medium" w:cs="Lora Medium" w:eastAsia="Lora Medium"/>
        </w:rPr>
        <w:t>” e tem “natureza exclusivamente cautelar” (ID 35832392, pág. 4). Não houve pagamento voluntário, e as sanções do art. 523, § 1º, são devidas.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f.</w:t>
        <w:tab/>
        <w:t>Da preliminar de nulidade e da desnecessidade de cassação: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decisão agravada está fundamentada: reconheceu que a pretensão do banco era rediscussão do mérito e citou expressamente o art. 525, § 1º, VII, do CPC. O julgador não é obrigado a rebater argumento incapaz de alterar a conclusão (art. 489, § 1º, IV, do CPC), e a alegação de superveniência, como visto, é falsa.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De todo modo, todos os documentos necessários ao cotejo estão nos autos, e o próprio agravante pediu, subsidiariamente, que este Tribunal suprisse a omissão desde logo (ID 35832392, pedido “d”). Cassar a decisão apenas para que a origem faça uma comparação de datas que já está feita nestas contrarrazões imporia aos sucessores, todos hipossuficientes, mais demora sem nenhuma utilidade (arts. 4º e 1.013, § 3º, do CPC).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IV.</w:t>
        <w:tab/>
        <w:t>DA REVOGAÇÃO DA TUTELA RECURSAL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tutela recursal foi deferida porque faltava o exame das datas dos estornos. Esse exame está feito e demonstra a anterioridade de todos eles. Desapareceu, assim, a probabilidade do direito que a sustentava (art. 995, parágrafo único, do CPC).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Também não há risco para o agravante: todo o valor discutido está depositado em juízo. O risco real é dos sucessores. A Sra. Francisca faleceu em 16/07/2026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sem receber um único centavo</w:t>
      </w:r>
      <w:r>
        <w:rPr>
          <w:rFonts w:ascii="Lora Medium" w:hAnsi="Lora Medium" w:cs="Lora Medium" w:eastAsia="Lora Medium"/>
        </w:rPr>
        <w:t xml:space="preserve"> da condenação, e a demora prolonga o prejuízo de uma família hipossuficiente, credora de verba de natureza alimentar. Requer-se, por isso, a revogação da tutela recursal.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V.</w:t>
        <w:tab/>
        <w:t>DA LITIGÂNCIA DE MÁ-FÉ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O agravante alterou a verdade dos fatos ao afirmar que os estornos seriam posteriores à formação do título, quando seus próprios documentos mostram o contrário (art. 80, II, do CPC). Insiste em quitação feita, quando muito, a uma conta que sabe não pertencer à autora desde maio de 2025, e interpôs recurso com intuito manifestamente protelatório (art. 80, IV, VI e VII, do CPC).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conduta já havia sido qualificada pelo Juízo de origem como “manifestamente protelatória” e manteve a credora, idosa e doente, sem acesso ao que lhe era devido até a sua morte. Requer-se a condenação do agravante à multa do art. 81 do CPC, no patamar máximo de 10% do valor corrigido da causa, em favor dos sucessores.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VI.</w:t>
        <w:tab/>
        <w:t>DOS PEDIDOS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Diante do exposto, requerem: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a)</w:t>
        <w:tab/>
        <w:t>o recebimento destas contrarrazões, sem prejuízo da restituição integral do prazo aos sucessores após a habilitação (art. 221 do CPC);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b)</w:t>
        <w:tab/>
        <w:t xml:space="preserve">a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revogação da tutela recursal</w:t>
      </w:r>
      <w:r>
        <w:rPr>
          <w:rFonts w:ascii="Lora Medium" w:hAnsi="Lora Medium" w:cs="Lora Medium" w:eastAsia="Lora Medium"/>
        </w:rPr>
        <w:t xml:space="preserve"> deferida no ID 36111376;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c)</w:t>
        <w:tab/>
        <w:t>a rejeição da preliminar de nulidade e, se Vossa Excelência entender necessário, a realização do cotejo das datas desde logo, por este Tribunal, com o reconhecimento de que todos os estornos são anteriores à sentença;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d)</w:t>
        <w:tab/>
        <w:t xml:space="preserve">o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desprovimento do agravo de instrumento</w:t>
      </w:r>
      <w:r>
        <w:rPr>
          <w:rFonts w:ascii="Lora Medium" w:hAnsi="Lora Medium" w:cs="Lora Medium" w:eastAsia="Lora Medium"/>
        </w:rPr>
        <w:t>, com a manutenção integral da decisão que rejeitou a impugnação, homologou o cálculo de R$ 35.057,00 e fixou a multa e os honorários do art. 523, § 1º, do CPC;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e)</w:t>
        <w:tab/>
        <w:t>a majoração dos honorários advocatícios fixados na origem, nos termos do art. 85, § 11, do CPC;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f)</w:t>
        <w:tab/>
        <w:t xml:space="preserve">a condenação do agravante por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litigância de má-fé</w:t>
      </w:r>
      <w:r>
        <w:rPr>
          <w:rFonts w:ascii="Lora Medium" w:hAnsi="Lora Medium" w:cs="Lora Medium" w:eastAsia="Lora Medium"/>
        </w:rPr>
        <w:t>, com multa de 10% do valor corrigido da causa (arts. 80, II, IV, VI e VII, e 81 do CPC);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g)</w:t>
        <w:tab/>
        <w:t>a concessão dos benefícios da justiça gratuita e da prioridade de tramitação aos sucessores (arts. 98, 99 e 1.048, I e § 3º, do CPC);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h)</w:t>
        <w:tab/>
        <w:t>que todas as intimações sejam feitas em nome do advogado ANTÔNIO DE PÁDUA SANTOS NETO, OAB/PI 21.320, sob pena de nulidade.</w:t>
      </w:r>
    </w:p>
    <w:p/>
    <w:p>
      <w:pPr>
        <w:spacing w:line="360" w:lineRule="auto" w:after="60"/>
      </w:pPr>
      <w:r>
        <w:rPr>
          <w:rFonts w:ascii="Lora Medium" w:hAnsi="Lora Medium" w:cs="Lora Medium" w:eastAsia="Lora Medium"/>
          <w:b/>
        </w:rPr>
        <w:t>Documentos anexos (cópias extraídas dos autos de origem):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01 – Sentença (ID 80478895);]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02 – Réplica à contestação, com a transcrição da alegação de restituição feita pelo banco (ID 76604920);]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03 – Declaração do gerente do Banco do Brasil de inexistência de conta (ID 76604921);]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04 – Demonstrativo de Operações juntado pelo banco, com as datas dos estornos (ID 87136270);]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05 – Planilha de cálculo do banco (ID 95988162).]</w:t>
      </w:r>
    </w:p>
    <w:p/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Nestes termos,</w:t>
      </w:r>
    </w:p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Pede deferimento.</w:t>
      </w:r>
    </w:p>
    <w:p/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Miguel Alves-PI, datado eletronicamente.</w:t>
      </w:r>
    </w:p>
    <w:p/>
    <w:p/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  <w:b/>
        </w:rPr>
        <w:t>ANTÔNIO DE PÁDUA SANTOS NETO</w:t>
      </w:r>
    </w:p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