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rPr>
        <w:t xml:space="preserve">EXCELENTÍSSIMO SENHOR DOUTOR JUIZ DE DIREITO DA VARA ÚNICA DA COMARCA DE MIGUEL ALVES-PI.</w:t>
      </w:r>
    </w:p>
    <w:p>
      <w:pPr>
        <w:spacing w:after="0"/>
      </w:pPr>
    </w:p>
    <w:p>
      <w:pPr>
        <w:spacing w:line="360"/>
      </w:pPr>
      <w:r>
        <w:rPr>
          <w:b/>
          <w:bCs/>
        </w:rPr>
        <w:t xml:space="preserve">Processo nº 0800990-83.2026.8.18.0061</w:t>
      </w:r>
    </w:p>
    <w:p>
      <w:pPr>
        <w:spacing w:after="0"/>
      </w:pPr>
    </w:p>
    <w:p>
      <w:pPr>
        <w:spacing w:after="60" w:line="360"/>
        <w:ind w:firstLine="0"/>
        <w:jc w:val="both"/>
      </w:pPr>
      <w:r>
        <w:rPr>
          <w:b/>
          <w:bCs/>
        </w:rPr>
        <w:t xml:space="preserve">ELY SANDRO VAZ E SILVA,</w:t>
      </w:r>
      <w:r>
        <w:t xml:space="preserve"> já qualificado, por meio de seu advogado, ANTÔNIO DE PÁDUA SANTOS NETO, advogado, inscrito nos quadros da OAB-PI sob o nº 21.320, constituído mediante procuração em anexo, cujo endereço físico está situado na Rua Rio Grande do Sul, nº 1641, Bairro São Miguel, Miguel Alves-PI, CEP nº: 64.130-000 e eletrônico: </w:t>
      </w:r>
      <w:r>
        <w:rPr>
          <w:i/>
          <w:iCs/>
        </w:rPr>
        <w:t xml:space="preserve">paduanetojus@gmail.com</w:t>
      </w:r>
      <w:r>
        <w:t xml:space="preserve">, à presença de Vossa Excelência, apresentar defesa sob a forma de </w:t>
      </w:r>
      <w:r>
        <w:rPr>
          <w:b/>
          <w:bCs/>
        </w:rPr>
        <w:t xml:space="preserve">C O N T E S T A Ç Ã O,</w:t>
      </w:r>
      <w:r>
        <w:t xml:space="preserve"> nos autos do processo em epígrafe, ajuizado por </w:t>
      </w:r>
      <w:r>
        <w:rPr>
          <w:b/>
          <w:bCs/>
        </w:rPr>
        <w:t xml:space="preserve">FRANCISCO ANTÔNIO REBELO DE PAIVA</w:t>
      </w:r>
      <w:r>
        <w:t xml:space="preserve">, nos termos da legislação processual em vigor, com base nos fundamentos fáticos e jurídicos a seguir aduzidos.</w:t>
      </w:r>
    </w:p>
    <w:p>
      <w:pPr>
        <w:spacing w:after="0"/>
      </w:pPr>
    </w:p>
    <w:p>
      <w:pPr>
        <w:shd w:fill="123BB8" w:color="auto" w:val="clear"/>
        <w:tabs>
          <w:tab w:val="left" w:pos="1000"/>
        </w:tabs>
        <w:spacing w:after="240" w:before="360" w:line="360"/>
        <w:ind w:left="0"/>
      </w:pPr>
      <w:r>
        <w:rPr>
          <w:b/>
          <w:bCs/>
          <w:i/>
          <w:iCs/>
          <w:color w:val="FFFFFF"/>
        </w:rPr>
        <w:t xml:space="preserve">	Preliminares.</w:t>
      </w:r>
    </w:p>
    <w:p>
      <w:pPr>
        <w:keepNext/>
        <w:tabs>
          <w:tab w:val="left" w:pos="700"/>
        </w:tabs>
        <w:spacing w:after="160" w:before="240" w:line="360"/>
        <w:ind w:left="700" w:hanging="400"/>
      </w:pPr>
      <w:r>
        <w:rPr>
          <w:b/>
          <w:bCs/>
          <w:i/>
          <w:iCs/>
        </w:rPr>
        <w:t xml:space="preserve">a.	</w:t>
      </w:r>
      <w:r>
        <w:rPr>
          <w:b/>
          <w:bCs/>
          <w:i/>
          <w:iCs/>
        </w:rPr>
        <w:t xml:space="preserve">Da tempestividade:</w:t>
      </w:r>
    </w:p>
    <w:p>
      <w:pPr>
        <w:spacing w:after="60" w:line="360"/>
        <w:ind w:firstLine="850"/>
        <w:jc w:val="both"/>
      </w:pPr>
      <w:r>
        <w:t xml:space="preserve">A decisão de ID 100909958 determinou expressamente a apresentação de contestação no prazo de 15 dias, </w:t>
      </w:r>
      <w:r>
        <w:rPr>
          <w:b/>
          <w:bCs/>
          <w:u w:val="single"/>
          <w:shd w:fill="CFE2F3" w:color="auto" w:val="clear"/>
        </w:rPr>
        <w:t xml:space="preserve">estabelecendo que seu termo inicial observaria o art. 231 do Código de Processo Civil</w:t>
      </w:r>
      <w:r>
        <w:t xml:space="preserve">. Assim, embora recebido o feito sob o rito da Lei nº 9.099/1995, a contagem deve considerar a disciplina expressamente indicada pelo próprio Juízo.</w:t>
      </w:r>
    </w:p>
    <w:p>
      <w:pPr>
        <w:spacing w:after="60" w:line="360"/>
        <w:ind w:firstLine="850"/>
        <w:jc w:val="both"/>
      </w:pPr>
      <w:r>
        <w:rPr>
          <w:b/>
          <w:bCs/>
          <w:u w:val="single"/>
          <w:shd w:fill="CFE2F3" w:color="auto" w:val="clear"/>
        </w:rPr>
        <w:t xml:space="preserve">O aviso de recebimento foi juntado aos autos em 11/09/2026, conforme ID 104623994.</w:t>
      </w:r>
    </w:p>
    <w:p>
      <w:pPr>
        <w:spacing w:after="60" w:line="360"/>
        <w:ind w:firstLine="850"/>
        <w:jc w:val="both"/>
      </w:pPr>
      <w:r>
        <w:t xml:space="preserve">Pois bem, excluído o dia do começo e computados apenas os dias úteis, a contagem iniciou-se em 14/09/2026 e encerra-se em 05/10/2026, considerando a exclusão do feriado municipal de 29/09/2026, Dia de São Miguel Arcanjo, previsto no calendário oficial do TJPI, nos termos da Lei Municipal nº 775/2013, cuja comprovação segue em anexo </w:t>
      </w:r>
      <w:r>
        <w:rPr>
          <w:b/>
          <w:bCs/>
          <w:shd w:fill="FFF200" w:color="auto" w:val="clear"/>
        </w:rPr>
        <w:t xml:space="preserve">[Doc. 02]</w:t>
      </w:r>
      <w:r>
        <w:t xml:space="preserve">.</w:t>
      </w:r>
    </w:p>
    <w:p>
      <w:pPr>
        <w:spacing w:after="60" w:line="360"/>
        <w:ind w:firstLine="850"/>
        <w:jc w:val="both"/>
      </w:pPr>
      <w:r>
        <w:t xml:space="preserve">Aplicam-se os arts. 219, 224 e 231, I, do CPC e o art. 12-A da Lei nº 9.099/1995:</w:t>
      </w:r>
    </w:p>
    <w:p>
      <w:pPr>
        <w:pBdr>
          <w:top w:val="single" w:color="9AA0A6" w:sz="4" w:space="6"/>
        </w:pBdr>
        <w:spacing w:after="0" w:before="160" w:line="240"/>
        <w:ind w:left="2270" w:right="570"/>
        <w:jc w:val="both"/>
      </w:pPr>
      <w:r>
        <w:rPr>
          <w:b/>
          <w:bCs/>
          <w:i/>
          <w:iCs/>
          <w:sz w:val="18"/>
          <w:szCs w:val="18"/>
        </w:rPr>
        <w:t xml:space="preserve">Art. 219.</w:t>
      </w:r>
      <w:r>
        <w:rPr>
          <w:i/>
          <w:iCs/>
          <w:sz w:val="18"/>
          <w:szCs w:val="18"/>
        </w:rPr>
        <w:t xml:space="preserve"> Na contagem de prazo em dias, estabelecido por lei ou </w:t>
      </w:r>
      <w:r>
        <w:rPr>
          <w:b/>
          <w:bCs/>
          <w:i/>
          <w:iCs/>
          <w:sz w:val="18"/>
          <w:szCs w:val="18"/>
          <w:u w:val="single"/>
          <w:shd w:fill="CFE2F3" w:color="auto" w:val="clear"/>
        </w:rPr>
        <w:t xml:space="preserve">pelo juiz</w:t>
      </w:r>
      <w:r>
        <w:rPr>
          <w:i/>
          <w:iCs/>
          <w:sz w:val="18"/>
          <w:szCs w:val="18"/>
        </w:rPr>
        <w:t xml:space="preserve">, computar-se-ão </w:t>
      </w:r>
      <w:r>
        <w:rPr>
          <w:b/>
          <w:bCs/>
          <w:i/>
          <w:iCs/>
          <w:sz w:val="18"/>
          <w:szCs w:val="18"/>
          <w:u w:val="single"/>
          <w:shd w:fill="CFE2F3" w:color="auto" w:val="clear"/>
        </w:rPr>
        <w:t xml:space="preserve">somente os dias úteis</w:t>
      </w:r>
      <w:r>
        <w:rPr>
          <w:i/>
          <w:iCs/>
          <w:sz w:val="18"/>
          <w:szCs w:val="18"/>
        </w:rPr>
        <w:t xml:space="preserve">.</w:t>
      </w:r>
    </w:p>
    <w:p>
      <w:pPr>
        <w:pBdr>
          <w:bottom w:val="single" w:color="9AA0A6" w:sz="4" w:space="6"/>
        </w:pBdr>
        <w:spacing w:after="200" w:before="0" w:line="240"/>
        <w:ind w:left="2270" w:right="570"/>
        <w:jc w:val="both"/>
      </w:pPr>
      <w:r>
        <w:rPr>
          <w:i/>
          <w:iCs/>
          <w:sz w:val="18"/>
          <w:szCs w:val="18"/>
        </w:rPr>
        <w:t xml:space="preserve">Parágrafo único. O disposto neste artigo aplica-se somente aos prazos processuais.</w:t>
      </w:r>
    </w:p>
    <w:p>
      <w:pPr>
        <w:pBdr>
          <w:top w:val="single" w:color="9AA0A6" w:sz="4" w:space="6"/>
        </w:pBdr>
        <w:spacing w:after="0" w:before="160" w:line="240"/>
        <w:ind w:left="2270" w:right="570"/>
        <w:jc w:val="both"/>
      </w:pPr>
      <w:r>
        <w:rPr>
          <w:b/>
          <w:bCs/>
          <w:i/>
          <w:iCs/>
          <w:sz w:val="18"/>
          <w:szCs w:val="18"/>
        </w:rPr>
        <w:t xml:space="preserve">Art. 224.</w:t>
      </w:r>
      <w:r>
        <w:rPr>
          <w:i/>
          <w:iCs/>
          <w:sz w:val="18"/>
          <w:szCs w:val="18"/>
        </w:rPr>
        <w:t xml:space="preserve"> Salvo disposição em contrário, os prazos serão contados excluindo o dia do começo e incluindo o dia do vencimento.</w:t>
      </w:r>
    </w:p>
    <w:p>
      <w:pPr>
        <w:spacing w:after="0" w:before="0" w:line="240"/>
        <w:ind w:left="2270" w:right="570"/>
        <w:jc w:val="both"/>
      </w:pPr>
      <w:r>
        <w:rPr>
          <w:i/>
          <w:iCs/>
          <w:sz w:val="18"/>
          <w:szCs w:val="18"/>
        </w:rPr>
        <w:t xml:space="preserve">§ 1º Os dias do começo e do vencimento do prazo serão protraídos para o primeiro dia útil seguinte, se coincidirem com dia em que o expediente forense for encerrado antes ou iniciado depois da hora normal ou houver indisponibilidade da comunicação eletrônica.</w:t>
      </w:r>
    </w:p>
    <w:p>
      <w:pPr>
        <w:spacing w:after="0" w:before="0" w:line="240"/>
        <w:ind w:left="2270" w:right="570"/>
        <w:jc w:val="both"/>
      </w:pPr>
      <w:r>
        <w:rPr>
          <w:i/>
          <w:iCs/>
          <w:sz w:val="18"/>
          <w:szCs w:val="18"/>
        </w:rPr>
        <w:t xml:space="preserve">§ 2º Considera-se como data de publicação o primeiro dia útil seguinte ao da disponibilização da informação no Diário da Justiça eletrônico.</w:t>
      </w:r>
    </w:p>
    <w:p>
      <w:pPr>
        <w:pBdr>
          <w:bottom w:val="single" w:color="9AA0A6" w:sz="4" w:space="6"/>
        </w:pBdr>
        <w:spacing w:after="200" w:before="0" w:line="240"/>
        <w:ind w:left="2270" w:right="570"/>
        <w:jc w:val="both"/>
      </w:pPr>
      <w:r>
        <w:rPr>
          <w:i/>
          <w:iCs/>
          <w:sz w:val="18"/>
          <w:szCs w:val="18"/>
        </w:rPr>
        <w:t xml:space="preserve">§ 3º A contagem do prazo terá início no primeiro dia útil que seguir ao da publicação.</w:t>
      </w:r>
    </w:p>
    <w:p>
      <w:pPr>
        <w:pBdr>
          <w:top w:val="single" w:color="9AA0A6" w:sz="4" w:space="6"/>
        </w:pBdr>
        <w:spacing w:after="0" w:before="160" w:line="240"/>
        <w:ind w:left="2270" w:right="570"/>
        <w:jc w:val="both"/>
      </w:pPr>
      <w:r>
        <w:rPr>
          <w:b/>
          <w:bCs/>
          <w:i/>
          <w:iCs/>
          <w:sz w:val="18"/>
          <w:szCs w:val="18"/>
        </w:rPr>
        <w:t xml:space="preserve">Art. 231.</w:t>
      </w:r>
      <w:r>
        <w:rPr>
          <w:i/>
          <w:iCs/>
          <w:sz w:val="18"/>
          <w:szCs w:val="18"/>
        </w:rPr>
        <w:t xml:space="preserve"> </w:t>
      </w:r>
      <w:r>
        <w:rPr>
          <w:b/>
          <w:bCs/>
          <w:i/>
          <w:iCs/>
          <w:sz w:val="18"/>
          <w:szCs w:val="18"/>
          <w:u w:val="single"/>
          <w:shd w:fill="CFE2F3" w:color="auto" w:val="clear"/>
        </w:rPr>
        <w:t xml:space="preserve">Salvo disposição em sentido diverso</w:t>
      </w:r>
      <w:r>
        <w:rPr>
          <w:i/>
          <w:iCs/>
          <w:sz w:val="18"/>
          <w:szCs w:val="18"/>
        </w:rPr>
        <w:t xml:space="preserve">, considera-se dia do começo do prazo:</w:t>
      </w:r>
    </w:p>
    <w:p>
      <w:pPr>
        <w:pBdr>
          <w:bottom w:val="single" w:color="9AA0A6" w:sz="4" w:space="6"/>
        </w:pBdr>
        <w:spacing w:after="200" w:before="0" w:line="240"/>
        <w:ind w:left="2270" w:right="570"/>
        <w:jc w:val="both"/>
      </w:pPr>
      <w:r>
        <w:rPr>
          <w:b/>
          <w:bCs/>
          <w:i/>
          <w:iCs/>
          <w:sz w:val="18"/>
          <w:szCs w:val="18"/>
          <w:u w:val="single"/>
          <w:shd w:fill="CFE2F3" w:color="auto" w:val="clear"/>
        </w:rPr>
        <w:t xml:space="preserve">I - a data de juntada aos autos do aviso de recebimento, quando a citação ou a intimação for pelo correio;</w:t>
      </w:r>
    </w:p>
    <w:p>
      <w:pPr>
        <w:pBdr>
          <w:top w:val="single" w:color="9AA0A6" w:sz="4" w:space="6"/>
          <w:bottom w:val="single" w:color="9AA0A6" w:sz="4" w:space="6"/>
        </w:pBdr>
        <w:spacing w:after="200" w:before="160" w:line="240"/>
        <w:ind w:left="2270" w:right="570"/>
        <w:jc w:val="both"/>
      </w:pPr>
      <w:r>
        <w:rPr>
          <w:b/>
          <w:bCs/>
          <w:i/>
          <w:iCs/>
          <w:sz w:val="18"/>
          <w:szCs w:val="18"/>
        </w:rPr>
        <w:t xml:space="preserve">Art. 12-A.</w:t>
      </w:r>
      <w:r>
        <w:rPr>
          <w:i/>
          <w:iCs/>
          <w:sz w:val="18"/>
          <w:szCs w:val="18"/>
        </w:rPr>
        <w:t xml:space="preserve"> Na contagem de prazo em dias, estabelecido por lei ou pelo juiz, para a prática de qualquer ato processual, inclusive para a interposição de recursos, computar-se-ão </w:t>
      </w:r>
      <w:r>
        <w:rPr>
          <w:b/>
          <w:bCs/>
          <w:i/>
          <w:iCs/>
          <w:sz w:val="18"/>
          <w:szCs w:val="18"/>
          <w:u w:val="single"/>
          <w:shd w:fill="CFE2F3" w:color="auto" w:val="clear"/>
        </w:rPr>
        <w:t xml:space="preserve">somente os dias úteis.</w:t>
      </w:r>
    </w:p>
    <w:p>
      <w:pPr>
        <w:spacing w:after="60" w:line="360"/>
        <w:ind w:firstLine="850"/>
        <w:jc w:val="both"/>
      </w:pPr>
      <w:r>
        <w:t xml:space="preserve">Registre-se que não se desconhece o Enunciado nº 13 do FONAJE, segundo o qual, nos Juizados Especiais, os prazos contam-se da data da intimação ou da ciência do ato, e não da juntada do comprovante. Ocorre que o próprio art. 231 do CPC ressalva as hipóteses de “disposição em sentido diverso” e, no caso concreto, </w:t>
      </w:r>
      <w:r>
        <w:rPr>
          <w:b/>
          <w:bCs/>
          <w:u w:val="single"/>
          <w:shd w:fill="CFE2F3" w:color="auto" w:val="clear"/>
        </w:rPr>
        <w:t xml:space="preserve">a disposição em sentido diverso é a própria decisão citatória</w:t>
      </w:r>
      <w:r>
        <w:t xml:space="preserve">, que fixou de forma expressa e individualizada o art. 231 do CPC como critério para o termo inicial. Orientação genérica de enunciado não pode prevalecer sobre comando judicial específico dirigido à parte.</w:t>
      </w:r>
    </w:p>
    <w:p>
      <w:pPr>
        <w:spacing w:after="60" w:line="360"/>
        <w:ind w:firstLine="850"/>
        <w:jc w:val="both"/>
      </w:pPr>
      <w:r>
        <w:rPr>
          <w:b/>
          <w:bCs/>
          <w:u w:val="single"/>
          <w:shd w:fill="CFE2F3" w:color="auto" w:val="clear"/>
        </w:rPr>
        <w:t xml:space="preserve">A observância do comando judicial deve ser resguardada pelos princípios da boa-fé, da segurança jurídica e da proteção da confiança (arts. 5º e 6º do CPC), impedindo que a parte seja prejudicada por adotar o critério de contagem expressamente fixado nos autos.</w:t>
      </w:r>
      <w:r>
        <w:t xml:space="preserve"> No mesmo sentido, o expediente de citação registrado no sistema PJe indica o prazo nos termos acima </w:t>
      </w:r>
      <w:r>
        <w:rPr>
          <w:b/>
          <w:bCs/>
          <w:shd w:fill="FFF200" w:color="auto" w:val="clear"/>
        </w:rPr>
        <w:t xml:space="preserve">[Doc. 03 – captura do painel de expedientes do PJe; conferir antes de juntar]</w:t>
      </w:r>
      <w:r>
        <w:t xml:space="preserve">.</w:t>
      </w:r>
    </w:p>
    <w:p>
      <w:pPr>
        <w:spacing w:after="60" w:line="360"/>
        <w:ind w:firstLine="850"/>
        <w:jc w:val="both"/>
      </w:pPr>
      <w:r>
        <w:t xml:space="preserve">Subsidiariamente, caso se entenda aplicável termo inicial diverso, requer-se o reconhecimento de justa causa, nos termos do art. 223 do CPC, com o recebimento da defesa:</w:t>
      </w:r>
    </w:p>
    <w:p>
      <w:pPr>
        <w:pBdr>
          <w:top w:val="single" w:color="9AA0A6" w:sz="4" w:space="6"/>
        </w:pBdr>
        <w:spacing w:after="0" w:before="160" w:line="240"/>
        <w:ind w:left="2270" w:right="570"/>
        <w:jc w:val="both"/>
      </w:pPr>
      <w:r>
        <w:rPr>
          <w:i w:val="false"/>
          <w:iCs w:val="false"/>
          <w:sz w:val="18"/>
          <w:szCs w:val="18"/>
        </w:rPr>
        <w:t xml:space="preserve">Art. 223. Decorrido o prazo, extingue-se o direito de praticar ou de emendar o ato processual, independentemente de declaração judicial, ficando assegurado, porém, à parte provar que não o realizou por justa causa.</w:t>
      </w:r>
    </w:p>
    <w:p>
      <w:pPr>
        <w:spacing w:after="0" w:before="0" w:line="240"/>
        <w:ind w:left="2270" w:right="570"/>
        <w:jc w:val="both"/>
      </w:pPr>
      <w:r>
        <w:rPr>
          <w:i w:val="false"/>
          <w:iCs w:val="false"/>
          <w:sz w:val="18"/>
          <w:szCs w:val="18"/>
        </w:rPr>
        <w:t xml:space="preserve">§ 1º Considera-se justa causa o evento alheio à vontade da parte e que a impediu de praticar o ato por si ou por mandatário.</w:t>
      </w:r>
    </w:p>
    <w:p>
      <w:pPr>
        <w:pBdr>
          <w:bottom w:val="single" w:color="9AA0A6" w:sz="4" w:space="6"/>
        </w:pBdr>
        <w:spacing w:after="200" w:before="0" w:line="240"/>
        <w:ind w:left="2270" w:right="570"/>
        <w:jc w:val="both"/>
      </w:pPr>
      <w:r>
        <w:rPr>
          <w:i w:val="false"/>
          <w:iCs w:val="false"/>
          <w:sz w:val="18"/>
          <w:szCs w:val="18"/>
        </w:rPr>
        <w:t xml:space="preserve">§ 2º Verificada a justa causa, o juiz permitirá à parte a prática do ato no prazo que lhe assinar.</w:t>
      </w:r>
    </w:p>
    <w:p>
      <w:pPr>
        <w:spacing w:after="60" w:line="360"/>
        <w:ind w:firstLine="850"/>
        <w:jc w:val="both"/>
      </w:pPr>
      <w:r>
        <w:t xml:space="preserve">Invoca-se, por analogia, a orientação da Corte Especial do STJ no EAREsp 1.759.860, que reconheceu a relevância da confiança em informação equivocada do sistema judicial sobre o prazo para afastar a intempestividade:</w:t>
      </w:r>
    </w:p>
    <w:p>
      <w:pPr>
        <w:pBdr>
          <w:top w:val="single" w:color="9AA0A6" w:sz="4" w:space="6"/>
          <w:bottom w:val="single" w:color="9AA0A6" w:sz="4" w:space="6"/>
        </w:pBdr>
        <w:spacing w:after="200" w:before="160" w:line="240"/>
        <w:ind w:left="2270" w:right="570"/>
        <w:jc w:val="both"/>
      </w:pPr>
      <w:r>
        <w:rPr>
          <w:i w:val="false"/>
          <w:iCs w:val="false"/>
          <w:sz w:val="18"/>
          <w:szCs w:val="18"/>
        </w:rPr>
        <w:t xml:space="preserve">EMBARGOS DE DIVERGÊNCIA EM AGRAVO EM RECURSO ESPECIAL. PRAZO RECURSAL. INFORMAÇÃO CONSTANTE DO SISTEMA ELETRÔNICO DO TRIBUNAL DE ORIGEM. TERMO FINAL PARA INTERPOSIÇÃO DO RECURSO QUE CONSIDERA FERIADO LOCAL. AUSÊNCIA DE COMPROVAÇÃO DESTE NO ATO DE INTERPOSIÇÃO DO RECURSO. </w:t>
      </w:r>
      <w:r>
        <w:rPr>
          <w:b/>
          <w:bCs/>
          <w:i w:val="false"/>
          <w:iCs w:val="false"/>
          <w:sz w:val="18"/>
          <w:szCs w:val="18"/>
          <w:u w:val="single"/>
          <w:shd w:fill="CFE2F3" w:color="auto" w:val="clear"/>
        </w:rPr>
        <w:t xml:space="preserve">MITIGAÇÃO. PRINCÍPIOS DA CONFIANÇA E DA BOA-FÉ. EMBARGOS DE DIVERGÊNCIA ACOLHIDOS</w:t>
      </w:r>
      <w:r>
        <w:rPr>
          <w:i w:val="false"/>
          <w:iCs w:val="false"/>
          <w:sz w:val="18"/>
          <w:szCs w:val="18"/>
        </w:rPr>
        <w:t xml:space="preserve">. 1. (...) 2. Embora seja ônus do advogado a prática dos atos processuais segundo as formas e prazos previstos em lei, o Código de Processo Civil abre a possibilidade de a parte indicar motivo justo para o seu eventual descumprimento, a fim de mitigar a exigência. Inteligência do caput e § 1º do art. 183 do Código de Processo Civil de 1973, reproduzido no art. 223, § 1º, do Código de Processo Civil de 2015. </w:t>
      </w:r>
      <w:r>
        <w:rPr>
          <w:b/>
          <w:bCs/>
          <w:i w:val="false"/>
          <w:iCs w:val="false"/>
          <w:sz w:val="18"/>
          <w:szCs w:val="18"/>
          <w:u w:val="single"/>
          <w:shd w:fill="CFE2F3" w:color="auto" w:val="clear"/>
        </w:rPr>
        <w:t xml:space="preserve">3. A falha induzida por informação equivocada prestada por sistema eletrônico de tribunal deve ser levada em consideração, em homenagem aos princípios da boa-fé e da confiança, para a aferição da tempestividade do recurso. Precedentes</w:t>
      </w:r>
      <w:r>
        <w:rPr>
          <w:i w:val="false"/>
          <w:iCs w:val="false"/>
          <w:sz w:val="18"/>
          <w:szCs w:val="18"/>
        </w:rPr>
        <w:t xml:space="preserve">. 4. "Ainda que os dados disponibilizados pela internet sejam 'meramente informativos' e não substituam a publicação oficial (fundamento dos precedentes em contrário), isso não impede que se reconheça ter havido justa causa no descumprimento do prazo recursal pelo litigante (art. 183, caput, do CPC), induzido por erro cometido pelo próprio Tribunal" (REsp 1324432/SC, Rel. Ministro HERMAN BENJAMIN, CORTE ESPECIAL, DJe 10/05/2013). 5. Embargos de divergência acolhidos para afastar a intempestividade do agravo em recurso especial, com determinação de, após o transcurso do prazo recursal, remessa dos autos ao Ministro Relator para que prossiga no exame de admissibilidade do recurso. (STJ - EAREsp: 1759860 PI 2020/0240127-7, Relator.: Ministra LAURITA VAZ, Data de Julgamento: 16/03/2022, CE - CORTE ESPECIAL, Data de Publicação: DJe 21/03/2022) (grifo nosso)</w:t>
      </w:r>
    </w:p>
    <w:p>
      <w:pPr>
        <w:spacing w:after="60" w:line="360"/>
        <w:ind w:firstLine="850"/>
        <w:jc w:val="both"/>
      </w:pPr>
      <w:r>
        <w:t xml:space="preserve">No presente caso, a orientação consta da própria decisão que determinou a citação, situação ainda mais segura do que a informação meramente constante de sistema eletrônico.</w:t>
      </w:r>
    </w:p>
    <w:p>
      <w:pPr>
        <w:spacing w:after="60" w:line="360"/>
        <w:ind w:firstLine="850"/>
        <w:jc w:val="both"/>
      </w:pPr>
      <w:r>
        <w:t xml:space="preserve">Por fim, e apenas em atenção ao princípio da eventualidade, ainda que se cogitasse de intempestividade, a presunção de veracidade decorrente da revelia é relativa e não incide sobre alegações inverossímeis ou em contradição com a prova dos autos (art. 345, IV, do CPC), nem sobre matéria de direito. A incidência da imunidade parlamentar material (art. 29, VIII, da CF) é questão constitucional de ordem pública, aferível a partir das próprias mídias e transcrições juntadas pelo Autor, e este Juízo já registrou, em cognição sumária, a ausência de probabilidade do direito invocado (ID 100909958).</w:t>
      </w:r>
    </w:p>
    <w:p>
      <w:pPr>
        <w:spacing w:after="60" w:line="360"/>
        <w:ind w:firstLine="850"/>
        <w:jc w:val="both"/>
      </w:pPr>
      <w:r>
        <w:t xml:space="preserve">Requer-se, portanto, o reconhecimento da tempestividade e o regular recebimento da presente contestação.</w:t>
      </w:r>
    </w:p>
    <w:p>
      <w:pPr>
        <w:keepNext/>
        <w:tabs>
          <w:tab w:val="left" w:pos="700"/>
        </w:tabs>
        <w:spacing w:after="160" w:before="240" w:line="360"/>
        <w:ind w:left="700" w:hanging="400"/>
      </w:pPr>
      <w:r>
        <w:rPr>
          <w:b/>
          <w:bCs/>
          <w:i/>
          <w:iCs/>
        </w:rPr>
        <w:t xml:space="preserve">b.	</w:t>
      </w:r>
      <w:r>
        <w:rPr>
          <w:b/>
          <w:bCs/>
          <w:i/>
          <w:iCs/>
        </w:rPr>
        <w:t xml:space="preserve">Da ilegitimidade ativa quanto às pretensões relativas a familiares e terceiros:</w:t>
      </w:r>
    </w:p>
    <w:p>
      <w:pPr>
        <w:spacing w:after="60" w:line="360"/>
        <w:ind w:firstLine="850"/>
        <w:jc w:val="both"/>
      </w:pPr>
      <w:r>
        <w:t xml:space="preserve">A inicial postula reparação, retratação e ordem de abstenção não apenas em favor do Autor, mas também de “seus familiares”, e funda parte relevante da pretensão em supostas ofensas dirigidas ao irmão do Autor (secretário municipal de Finanças), ao seu filho, à primeira-dama e a primo (“professor Denis”).</w:t>
      </w:r>
    </w:p>
    <w:p>
      <w:pPr>
        <w:spacing w:after="60" w:line="360"/>
        <w:ind w:firstLine="850"/>
        <w:jc w:val="both"/>
      </w:pPr>
      <w:r>
        <w:t xml:space="preserve">Ocorre que </w:t>
      </w:r>
      <w:r>
        <w:rPr>
          <w:b/>
          <w:bCs/>
          <w:u w:val="single"/>
          <w:shd w:fill="CFE2F3" w:color="auto" w:val="clear"/>
        </w:rPr>
        <w:t xml:space="preserve">ninguém poderá pleitear direito alheio em nome próprio, salvo quando autorizado pelo ordenamento jurídico (art. 18 do CPC)</w:t>
      </w:r>
      <w:r>
        <w:t xml:space="preserve">. Os direitos da personalidade são personalíssimos, e os familiares mencionados, todos maiores e capazes, não integram o polo ativo. O próprio Autor afirma litigar “na condição de pessoa física, na defesa de sua honra e imagem pessoais”.</w:t>
      </w:r>
    </w:p>
    <w:p>
      <w:pPr>
        <w:spacing w:after="60" w:line="360"/>
        <w:ind w:firstLine="850"/>
        <w:jc w:val="both"/>
      </w:pPr>
      <w:r>
        <w:t xml:space="preserve">Assim, requer-se o reconhecimento da ilegitimidade ativa do Autor quanto às pretensões fundadas em alegada ofensa à honra de terceiros, com a extinção do feito sem resolução do mérito nessa parte (art. 485, VI, do CPC), excluindo-se do pedido de abstenção a expressão “e seus familiares” e desconsiderando-se, para fins de responsabilidade e quantificação, as manifestações que digam respeito exclusivamente a terceiros.</w:t>
      </w:r>
    </w:p>
    <w:p>
      <w:pPr>
        <w:keepNext/>
        <w:tabs>
          <w:tab w:val="left" w:pos="700"/>
        </w:tabs>
        <w:spacing w:after="160" w:before="240" w:line="360"/>
        <w:ind w:left="700" w:hanging="400"/>
      </w:pPr>
      <w:r>
        <w:rPr>
          <w:b/>
          <w:bCs/>
          <w:i/>
          <w:iCs/>
        </w:rPr>
        <w:t xml:space="preserve">c.	</w:t>
      </w:r>
      <w:r>
        <w:rPr>
          <w:b/>
          <w:bCs/>
          <w:i/>
          <w:iCs/>
        </w:rPr>
        <w:t xml:space="preserve">Da inépcia parcial: pedido genérico e indeterminado de abstenção futura:</w:t>
      </w:r>
    </w:p>
    <w:p>
      <w:pPr>
        <w:spacing w:after="60" w:line="360"/>
        <w:ind w:firstLine="850"/>
        <w:jc w:val="both"/>
      </w:pPr>
      <w:r>
        <w:t xml:space="preserve">O Autor pede que o Réu seja proibido de “proferir novas manifestações caluniosas, difamatórias ou injuriosas contra o Autor e seus familiares, </w:t>
      </w:r>
      <w:r>
        <w:rPr>
          <w:b/>
          <w:bCs/>
          <w:u w:val="single"/>
          <w:shd w:fill="CFE2F3" w:color="auto" w:val="clear"/>
        </w:rPr>
        <w:t xml:space="preserve">por qualquer meio</w:t>
      </w:r>
      <w:r>
        <w:t xml:space="preserve">”, sob pena de multa.</w:t>
      </w:r>
    </w:p>
    <w:p>
      <w:pPr>
        <w:spacing w:after="60" w:line="360"/>
        <w:ind w:firstLine="850"/>
        <w:jc w:val="both"/>
      </w:pPr>
      <w:r>
        <w:t xml:space="preserve">O pedido é indeterminado (arts. 322 e 324 do CPC), pois não identifica conteúdo concreto algum: transfere ao momento da execução da multa a definição do que seria, no futuro, “calunioso”, “difamatório” ou “injurioso”, tornando o Réu, vereador em exercício e com dever constitucional de fiscalização, sujeito a sanção por manifestações que ainda não existem. Trata-se, em verdade, de tutela inibitória genérica que equivale a censura prévia, vedada pelo art. 5º, IX, e pelo art. 220, § 2º, da Constituição Federal, como assentado pelo Supremo Tribunal Federal na ADPF 130.</w:t>
      </w:r>
    </w:p>
    <w:p>
      <w:pPr>
        <w:spacing w:after="60" w:line="360"/>
        <w:ind w:firstLine="850"/>
        <w:jc w:val="both"/>
      </w:pPr>
      <w:r>
        <w:t xml:space="preserve">Requer-se, por isso, o indeferimento da inicial quanto a esse pedido (art. 330, § 1º, II, do CPC) ou, subsidiariamente, sua rejeição no mérito, nos termos adiante expostos.</w:t>
      </w:r>
    </w:p>
    <w:p>
      <w:pPr>
        <w:keepNext/>
        <w:tabs>
          <w:tab w:val="left" w:pos="700"/>
        </w:tabs>
        <w:spacing w:after="160" w:before="240" w:line="360"/>
        <w:ind w:left="700" w:hanging="400"/>
      </w:pPr>
      <w:r>
        <w:rPr>
          <w:b/>
          <w:bCs/>
          <w:i/>
          <w:iCs/>
        </w:rPr>
        <w:t xml:space="preserve">d.	</w:t>
      </w:r>
      <w:r>
        <w:rPr>
          <w:b/>
          <w:bCs/>
          <w:i/>
          <w:iCs/>
        </w:rPr>
        <w:t xml:space="preserve">Da realização de audiência de conciliação:</w:t>
      </w:r>
    </w:p>
    <w:p>
      <w:pPr>
        <w:spacing w:after="60" w:line="360"/>
        <w:ind w:firstLine="850"/>
        <w:jc w:val="both"/>
      </w:pPr>
      <w:r>
        <w:t xml:space="preserve">Tendo o feito sido recebido sob o rito da Lei nº 9.099/1995, a audiência de conciliação constitui etapa legalmente prevista (arts. 21 e 22 da Lei nº 9.099/1995), orientada pelos critérios da conciliação e da transação (art. 2º). O requerido manifesta </w:t>
      </w:r>
      <w:r>
        <w:rPr>
          <w:b/>
          <w:bCs/>
          <w:u w:val="single"/>
          <w:shd w:fill="CFE2F3" w:color="auto" w:val="clear"/>
        </w:rPr>
        <w:t xml:space="preserve">interesse</w:t>
      </w:r>
      <w:r>
        <w:t xml:space="preserve"> na realização de audiência de conciliação, a ser designada por este Juízo, sem prejuízo da autocomposição a qualquer tempo (art. 3º, § 3º, do CPC).</w:t>
      </w:r>
    </w:p>
    <w:p>
      <w:pPr>
        <w:shd w:fill="123BB8" w:color="auto" w:val="clear"/>
        <w:tabs>
          <w:tab w:val="left" w:pos="1000"/>
        </w:tabs>
        <w:spacing w:after="240" w:before="360" w:line="360"/>
        <w:ind w:left="0"/>
      </w:pPr>
      <w:r>
        <w:rPr>
          <w:b/>
          <w:bCs/>
          <w:i/>
          <w:iCs/>
          <w:color w:val="FFFFFF"/>
        </w:rPr>
        <w:t xml:space="preserve">	Síntese dos fatos</w:t>
      </w:r>
    </w:p>
    <w:p>
      <w:pPr>
        <w:spacing w:after="60" w:line="360"/>
        <w:ind w:firstLine="850"/>
        <w:jc w:val="both"/>
      </w:pPr>
      <w:r>
        <w:t xml:space="preserve">O autor, atual Prefeito de Miguel Alves/PI, pretende converter manifestações de fiscalização da gestão municipal em fundamento para responsabilização civil de um vereador de oposição.</w:t>
      </w:r>
    </w:p>
    <w:p>
      <w:pPr>
        <w:spacing w:after="60" w:line="360"/>
        <w:ind w:firstLine="850"/>
        <w:jc w:val="both"/>
      </w:pPr>
      <w:r>
        <w:t xml:space="preserve">Para tanto, reúne sete publicações em redes sociais e pronunciamentos realizados na Câmara Municipal, atribuindo-lhes caráter exclusivamente ofensivo à sua honra e à de seus familiares, supostamente motivado por animosidade político-partidária.</w:t>
      </w:r>
    </w:p>
    <w:p>
      <w:pPr>
        <w:spacing w:after="60" w:line="360"/>
        <w:ind w:firstLine="850"/>
        <w:jc w:val="both"/>
      </w:pPr>
      <w:r>
        <w:t xml:space="preserve">Omite, contudo, dado essencial, que se extrai das próprias transcrições que juntou: </w:t>
      </w:r>
      <w:r>
        <w:rPr>
          <w:b/>
          <w:bCs/>
          <w:u w:val="single"/>
          <w:shd w:fill="CFE2F3" w:color="auto" w:val="clear"/>
        </w:rPr>
        <w:t xml:space="preserve">a maior parte dos vídeos reproduz discursos proferidos na tribuna da Câmara Municipal, durante sessões legislativas</w:t>
      </w:r>
      <w:r>
        <w:t xml:space="preserve">, posteriormente divulgados nas redes sociais do parlamentar, como se demonstrará de forma individualizada.</w:t>
      </w:r>
    </w:p>
    <w:p>
      <w:pPr>
        <w:spacing w:after="60" w:line="360"/>
        <w:ind w:firstLine="850"/>
        <w:jc w:val="both"/>
      </w:pPr>
      <w:r>
        <w:t xml:space="preserve">Esse enquadramento desconsidera o contexto dos pronunciamentos e a proteção constitucional conferida à atividade parlamentar pelos arts. 29, VIII, e 31 da Constituição Federal.</w:t>
      </w:r>
    </w:p>
    <w:p>
      <w:pPr>
        <w:spacing w:after="60" w:line="360"/>
        <w:ind w:firstLine="850"/>
        <w:jc w:val="both"/>
      </w:pPr>
      <w:r>
        <w:t xml:space="preserve">Segundo a inicial, o requerido teria associado a apreensão de dinheiro em poder do secretário municipal de Finanças, irmão do autor, a possíveis fraudes, desvio de recursos públicos e enriquecimento ilícito, exigindo seu afastamento.</w:t>
      </w:r>
    </w:p>
    <w:p>
      <w:pPr>
        <w:spacing w:after="60" w:line="360"/>
        <w:ind w:firstLine="850"/>
        <w:jc w:val="both"/>
      </w:pPr>
      <w:r>
        <w:t xml:space="preserve">A própria documentação apresentada, entretanto, confirma a ocorrência da apreensão e a instauração de investigação, acontecimentos que integravam o debate público e motivaram a cobrança de esclarecimentos.</w:t>
      </w:r>
    </w:p>
    <w:p>
      <w:pPr>
        <w:spacing w:after="60" w:line="360"/>
        <w:ind w:firstLine="850"/>
        <w:jc w:val="both"/>
      </w:pPr>
      <w:r>
        <w:t xml:space="preserve">A controvérsia exige, portanto, examinar a atuação fiscalizatória diante dos elementos então disponíveis, sem presumir finalidade exclusivamente ofensiva.</w:t>
      </w:r>
    </w:p>
    <w:p>
      <w:pPr>
        <w:spacing w:after="60" w:line="360"/>
        <w:ind w:firstLine="850"/>
        <w:jc w:val="both"/>
      </w:pPr>
      <w:r>
        <w:t xml:space="preserve">O autor também atribui ao requerido referências à organização criminosa, diferenças entre valores empenhados e pagos e possíveis irregularidades relacionadas ao aluguel de imóvel.</w:t>
      </w:r>
    </w:p>
    <w:p>
      <w:pPr>
        <w:spacing w:after="60" w:line="360"/>
        <w:ind w:firstLine="850"/>
        <w:jc w:val="both"/>
      </w:pPr>
      <w:r>
        <w:rPr>
          <w:b/>
          <w:bCs/>
          <w:u w:val="single"/>
          <w:shd w:fill="CFE2F3" w:color="auto" w:val="clear"/>
        </w:rPr>
        <w:t xml:space="preserve">Ao reunir esses episódios sob a afirmação genérica de que seriam acusações desprovidas de fundamento, a inicial despreza suas particularidades e os elementos que evidenciam o vínculo com o mandato, como a leitura de requerimento parlamentar, a apresentação de documentos e a discussão de despesas municipais.</w:t>
      </w:r>
    </w:p>
    <w:p>
      <w:pPr>
        <w:spacing w:after="60" w:line="360"/>
        <w:ind w:firstLine="850"/>
        <w:jc w:val="both"/>
      </w:pPr>
      <w:r>
        <w:t xml:space="preserve">As referências a veículos, imóveis, despesas com cursos de medicina e suposto financiamento de campanhas de familiares são igualmente apresentadas como ataques à vida privada.</w:t>
      </w:r>
    </w:p>
    <w:p>
      <w:pPr>
        <w:spacing w:after="60" w:line="360"/>
        <w:ind w:firstLine="850"/>
        <w:jc w:val="both"/>
      </w:pPr>
      <w:r>
        <w:t xml:space="preserve">Contudo, sua apreciação exige considerar a relação estabelecida nos pronunciamentos entre evolução patrimonial, rendimentos e possível utilização de recursos públicos.</w:t>
      </w:r>
    </w:p>
    <w:p>
      <w:pPr>
        <w:spacing w:after="60" w:line="360"/>
        <w:ind w:firstLine="850"/>
        <w:jc w:val="both"/>
      </w:pPr>
      <w:r>
        <w:rPr>
          <w:b/>
          <w:bCs/>
          <w:u w:val="single"/>
          <w:shd w:fill="CFE2F3" w:color="auto" w:val="clear"/>
        </w:rPr>
        <w:t xml:space="preserve">A existência de vínculos familiares não comprova irregularidade, mas tampouco afasta, por si, o interesse público de questionamentos efetivamente relacionados à Administração.</w:t>
      </w:r>
    </w:p>
    <w:p>
      <w:pPr>
        <w:spacing w:after="60" w:line="360"/>
        <w:ind w:firstLine="850"/>
        <w:jc w:val="both"/>
      </w:pPr>
      <w:r>
        <w:t xml:space="preserve">A inicial procura, ainda, transformar a referência à possibilidade de o vereador estar cometendo injúria, acompanhada da expressão “até que me prove o contrário”, em confissão de dolo.</w:t>
      </w:r>
    </w:p>
    <w:p>
      <w:pPr>
        <w:spacing w:after="60" w:line="360"/>
        <w:ind w:firstLine="850"/>
        <w:jc w:val="both"/>
      </w:pPr>
      <w:r>
        <w:t xml:space="preserve">Essa interpretação desconsidera a sequência do pronunciamento e a disposição de rever sua posição e de se redimir.</w:t>
      </w:r>
    </w:p>
    <w:p>
      <w:pPr>
        <w:spacing w:after="60" w:line="360"/>
        <w:ind w:firstLine="850"/>
        <w:jc w:val="both"/>
      </w:pPr>
      <w:r>
        <w:t xml:space="preserve">Reconhecer a possibilidade de equívoco não equivale a confessar a divulgação consciente de fatos falsos, nem altera a distribuição legal do ônus da prova nesta demanda.</w:t>
      </w:r>
    </w:p>
    <w:p>
      <w:pPr>
        <w:spacing w:after="60" w:line="360"/>
        <w:ind w:firstLine="850"/>
        <w:jc w:val="both"/>
      </w:pPr>
      <w:r>
        <w:t xml:space="preserve">Para sustentar a falsidade de todas as manifestações, o autor invoca o arquivamento do Inquérito Policial nº 0816146-68.2026.8.18.0140 e a restituição dos R$ 147.300,00 apreendidos.</w:t>
      </w:r>
    </w:p>
    <w:p>
      <w:pPr>
        <w:spacing w:after="60" w:line="360"/>
        <w:ind w:firstLine="850"/>
        <w:jc w:val="both"/>
      </w:pPr>
      <w:r>
        <w:t xml:space="preserve">A decisão registra elementos demonstrativos da origem lícita do numerário, mas possui objeto delimitado: não examinou todos os contratos e pagamentos municipais mencionados nas publicações, nem julgou a responsabilidade civil do requerido.</w:t>
      </w:r>
    </w:p>
    <w:p>
      <w:pPr>
        <w:spacing w:after="60" w:line="360"/>
        <w:ind w:firstLine="850"/>
        <w:jc w:val="both"/>
      </w:pPr>
      <w:r>
        <w:t xml:space="preserve">Além disso, as manifestações datadas de fevereiro a maio antecedem o arquivamento de 24 de junho de 2026, cujo resultado não comprova, retroativamente e por si só, conhecimento da falsidade ou má-fé do parlamentar.</w:t>
      </w:r>
    </w:p>
    <w:p>
      <w:pPr>
        <w:spacing w:after="60" w:line="360"/>
        <w:ind w:firstLine="850"/>
        <w:jc w:val="both"/>
      </w:pPr>
      <w:r>
        <w:t xml:space="preserve">Por fim, o autor sustenta que a permanência das publicações renovaria os danos a cada visualização e compartilhamento.</w:t>
      </w:r>
    </w:p>
    <w:p>
      <w:pPr>
        <w:spacing w:after="60" w:line="360"/>
        <w:ind w:firstLine="850"/>
        <w:jc w:val="both"/>
      </w:pPr>
      <w:r>
        <w:t xml:space="preserve">Esse argumento pressupõe justamente o que ainda precisa ser demonstrado: a existência de conteúdo juridicamente ilícito e não abrangido pela imunidade parlamentar.</w:t>
      </w:r>
    </w:p>
    <w:p>
      <w:pPr>
        <w:spacing w:after="60" w:line="360"/>
        <w:ind w:firstLine="850"/>
        <w:jc w:val="both"/>
      </w:pPr>
      <w:r>
        <w:t xml:space="preserve">A divulgação em rede social não elimina automaticamente a proteção funcional, e a alegação de repercussão negativa não dispensa o exame do contexto de cada manifestação.</w:t>
      </w:r>
    </w:p>
    <w:p>
      <w:pPr>
        <w:spacing w:after="60" w:line="360"/>
        <w:ind w:firstLine="850"/>
        <w:jc w:val="both"/>
      </w:pPr>
      <w:r>
        <w:t xml:space="preserve">O próprio Juízo, na decisão de ID 100909958, indeferiu a tutela de urgência por ausência de probabilidade suficiente do direito invocado, destacando que </w:t>
      </w:r>
      <w:r>
        <w:rPr>
          <w:b/>
          <w:bCs/>
          <w:u w:val="single"/>
          <w:shd w:fill="CFE2F3" w:color="auto" w:val="clear"/>
        </w:rPr>
        <w:t xml:space="preserve">os arquivos apresentados não revelavam, naquele momento, que o requerido tenha excedido os limites da imunidade “em seus discursos no plenário da Câmara Municipal”</w:t>
      </w:r>
      <w:r>
        <w:t xml:space="preserve">.</w:t>
      </w:r>
    </w:p>
    <w:p>
      <w:pPr>
        <w:spacing w:after="60" w:line="360"/>
        <w:ind w:firstLine="850"/>
        <w:jc w:val="both"/>
      </w:pPr>
      <w:r>
        <w:t xml:space="preserve">Embora não encerre o julgamento do mérito, esse pronunciamento já evidencia a insuficiência da leitura unilateral proposta na inicial para justificar a retirada das publicações e a restrição à atuação fiscalizatória do requerido.</w:t>
      </w:r>
    </w:p>
    <w:p>
      <w:pPr>
        <w:spacing w:after="60" w:line="360"/>
        <w:ind w:firstLine="850"/>
        <w:jc w:val="both"/>
      </w:pPr>
      <w:r>
        <w:t xml:space="preserve">Conforme se demonstrará, as manifestações questionadas estão vinculadas ao exercício da função fiscalizadora e amparadas pela imunidade parlamentar, inexistindo fundamento para a responsabilização civil do requerido, razão pela qual os pedidos devem ser julgados improcedentes.</w:t>
      </w:r>
    </w:p>
    <w:p>
      <w:pPr>
        <w:shd w:fill="123BB8" w:color="auto" w:val="clear"/>
        <w:tabs>
          <w:tab w:val="left" w:pos="1000"/>
        </w:tabs>
        <w:spacing w:after="240" w:before="360" w:line="360"/>
        <w:ind w:left="0"/>
      </w:pPr>
      <w:r>
        <w:rPr>
          <w:b/>
          <w:bCs/>
          <w:i/>
          <w:iCs/>
          <w:color w:val="FFFFFF"/>
        </w:rPr>
        <w:t xml:space="preserve">	Da impugnação fática:</w:t>
      </w:r>
    </w:p>
    <w:p>
      <w:pPr>
        <w:keepNext/>
        <w:tabs>
          <w:tab w:val="left" w:pos="700"/>
        </w:tabs>
        <w:spacing w:after="160" w:before="240" w:line="360"/>
        <w:ind w:left="700" w:hanging="400"/>
      </w:pPr>
      <w:r>
        <w:rPr>
          <w:b/>
          <w:bCs/>
          <w:i/>
          <w:iCs/>
        </w:rPr>
        <w:t xml:space="preserve">a.	</w:t>
      </w:r>
      <w:r>
        <w:rPr>
          <w:b/>
          <w:bCs/>
          <w:i/>
          <w:iCs/>
        </w:rPr>
        <w:t xml:space="preserve">Do local e do contexto de cada manifestação: discursos proferidos na tribuna da Câmara Municipal:</w:t>
      </w:r>
    </w:p>
    <w:p>
      <w:pPr>
        <w:spacing w:after="60" w:line="360"/>
        <w:ind w:firstLine="850"/>
        <w:jc w:val="both"/>
      </w:pPr>
      <w:r>
        <w:t xml:space="preserve">A inicial não estabelece correspondência entre cada vídeo, sua data, sua URL e a respectiva transcrição. Cabe à defesa, portanto, demonstrar o que a petição inicial omitiu: </w:t>
      </w:r>
      <w:r>
        <w:rPr>
          <w:b/>
          <w:bCs/>
          <w:u w:val="single"/>
          <w:shd w:fill="CFE2F3" w:color="auto" w:val="clear"/>
        </w:rPr>
        <w:t xml:space="preserve">as próprias transcrições juntadas pelo Autor revelam que a maioria das falas impugnadas foi proferida em sessão da Câmara Municipal</w:t>
      </w:r>
      <w:r>
        <w:t xml:space="preserve">, com interlocução direta com a Presidência e com os demais vereadores.</w:t>
      </w:r>
    </w:p>
    <w:p>
      <w:pPr>
        <w:spacing w:after="60" w:line="360"/>
        <w:ind w:firstLine="850"/>
        <w:jc w:val="both"/>
      </w:pPr>
      <w:r>
        <w:t xml:space="preserve">Confira-se, de forma individualizada:</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500"/>
        <w:gridCol w:w="2050"/>
      </w:tblGrid>
      <w:tr>
        <w:trPr>
          <w:tblHeader/>
        </w:trPr>
        <w:tc>
          <w:tcPr>
            <w:tcW w:type="dxa" w:w="1250"/>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line="240"/>
              <w:jc w:val="center"/>
            </w:pPr>
            <w:r>
              <w:rPr>
                <w:b/>
                <w:bCs/>
                <w:color w:val="FFFFFF"/>
                <w:sz w:val="17"/>
                <w:szCs w:val="17"/>
              </w:rPr>
              <w:t xml:space="preserve">Transcrição (ID)</w:t>
            </w:r>
          </w:p>
        </w:tc>
        <w:tc>
          <w:tcPr>
            <w:tcW w:type="dxa" w:w="3150"/>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line="240"/>
              <w:jc w:val="center"/>
            </w:pPr>
            <w:r>
              <w:rPr>
                <w:b/>
                <w:bCs/>
                <w:color w:val="FFFFFF"/>
                <w:sz w:val="17"/>
                <w:szCs w:val="17"/>
              </w:rPr>
              <w:t xml:space="preserve">Elemento do próprio texto que indica o contexto</w:t>
            </w:r>
          </w:p>
        </w:tc>
        <w:tc>
          <w:tcPr>
            <w:tcW w:type="dxa" w:w="2500"/>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line="240"/>
              <w:jc w:val="center"/>
            </w:pPr>
            <w:r>
              <w:rPr>
                <w:b/>
                <w:bCs/>
                <w:color w:val="FFFFFF"/>
                <w:sz w:val="17"/>
                <w:szCs w:val="17"/>
              </w:rPr>
              <w:t xml:space="preserve">Tema tratado</w:t>
            </w:r>
          </w:p>
        </w:tc>
        <w:tc>
          <w:tcPr>
            <w:tcW w:type="dxa" w:w="2050"/>
            <w:tcBorders>
              <w:top w:val="single" w:color="9AA0A6" w:sz="4"/>
              <w:left w:val="single" w:color="9AA0A6" w:sz="4"/>
              <w:bottom w:val="single" w:color="9AA0A6" w:sz="4"/>
              <w:right w:val="single" w:color="9AA0A6" w:sz="4"/>
            </w:tcBorders>
            <w:shd w:fill="123BB8" w:color="auto" w:val="clear"/>
            <w:tcMar>
              <w:top w:type="dxa" w:w="60"/>
              <w:left w:type="dxa" w:w="100"/>
              <w:bottom w:type="dxa" w:w="60"/>
              <w:right w:type="dxa" w:w="100"/>
            </w:tcMar>
            <w:vAlign w:val="center"/>
          </w:tcPr>
          <w:p>
            <w:pPr>
              <w:spacing w:line="240"/>
              <w:jc w:val="center"/>
            </w:pPr>
            <w:r>
              <w:rPr>
                <w:b/>
                <w:bCs/>
                <w:color w:val="FFFFFF"/>
                <w:sz w:val="17"/>
                <w:szCs w:val="17"/>
              </w:rPr>
              <w:t xml:space="preserve">Vínculo com o mandato</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100391206</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“tendo como embasamento os balancetes que entram naquela casa, na Câmara Municipal”; “nas últimas sessões fizemos inúmeras denúncias”</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Empenhos nº 239 e 370; contratos de limpeza pública; compra de livros; apreensão de numerário</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Fiscalização de despesas a partir de balancetes recebidos pela Câmara (art. 31 da CF)</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100391207</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“não para os nobres vereadores que aqui estão presentes, que eu peço as minhas vênias” — </w:t>
            </w:r>
            <w:r>
              <w:rPr>
                <w:b/>
                <w:bCs/>
                <w:sz w:val="17"/>
                <w:szCs w:val="17"/>
              </w:rPr>
              <w:t xml:space="preserve">tribuna da Câmara</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Resposta a reportagem que o atacou; exibição da própria declaração de rendimentos e do contrato de compra do seu imóvel</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Debate político e transparência patrimonial do próprio parlamentar</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100391208</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“Já, já, presidente” — </w:t>
            </w:r>
            <w:r>
              <w:rPr>
                <w:b/>
                <w:bCs/>
                <w:sz w:val="17"/>
                <w:szCs w:val="17"/>
              </w:rPr>
              <w:t xml:space="preserve">tribuna da Câmara</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Compatibilidade entre a remuneração do prefeito e despesas; recursos do FUNDEB; carnaval</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Fiscalização da gestão e da aplicação de recursos públicos</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100391209</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Leitura de requerimento em sessão de 27/03/2026: “Presidente, eu gostaria que preservasse a minha fala” — </w:t>
            </w:r>
            <w:r>
              <w:rPr>
                <w:b/>
                <w:bCs/>
                <w:sz w:val="17"/>
                <w:szCs w:val="17"/>
              </w:rPr>
              <w:t xml:space="preserve">tribuna da Câmara</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Requerimento de informações ao Secretário de Finanças sobre a apreensão de numerário</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Ato legislativo típico (pedido de informação submetido ao Plenário)</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100391210</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“eu quero que essa casa me entregue a declaração de bens” — </w:t>
            </w:r>
            <w:r>
              <w:rPr>
                <w:b/>
                <w:bCs/>
                <w:sz w:val="17"/>
                <w:szCs w:val="17"/>
              </w:rPr>
              <w:t xml:space="preserve">tribuna da Câmara</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Apreensão de numerário; pedido de acesso à declaração de bens do prefeito</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Fiscalização e requisição de documento à Casa Legislativa</w:t>
            </w:r>
          </w:p>
        </w:tc>
      </w:tr>
      <w:tr>
        <w:trPr>
          <w:cantSplit/>
        </w:trPr>
        <w:tc>
          <w:tcPr>
            <w:tcW w:type="dxa" w:w="12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100391211</w:t>
            </w:r>
          </w:p>
        </w:tc>
        <w:tc>
          <w:tcPr>
            <w:tcW w:type="dxa" w:w="31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“não sou eu, é um balancete”; “estava lá nos balancetes, que durante muito tempo a gente não teve acesso”</w:t>
            </w:r>
          </w:p>
        </w:tc>
        <w:tc>
          <w:tcPr>
            <w:tcW w:type="dxa" w:w="250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Pagamentos de aluguel do mesmo imóvel a duas pessoas distintas</w:t>
            </w:r>
          </w:p>
        </w:tc>
        <w:tc>
          <w:tcPr>
            <w:tcW w:type="dxa" w:w="2050"/>
            <w:tcBorders>
              <w:top w:val="single" w:color="9AA0A6" w:sz="4"/>
              <w:left w:val="single" w:color="9AA0A6" w:sz="4"/>
              <w:bottom w:val="single" w:color="9AA0A6" w:sz="4"/>
              <w:right w:val="single" w:color="9AA0A6" w:sz="4"/>
            </w:tcBorders>
            <w:tcMar>
              <w:top w:type="dxa" w:w="60"/>
              <w:left w:type="dxa" w:w="100"/>
              <w:bottom w:type="dxa" w:w="60"/>
              <w:right w:type="dxa" w:w="100"/>
            </w:tcMar>
            <w:vAlign w:val="center"/>
          </w:tcPr>
          <w:p>
            <w:pPr>
              <w:spacing w:line="240"/>
              <w:jc w:val="left"/>
            </w:pPr>
            <w:r>
              <w:rPr>
                <w:sz w:val="17"/>
                <w:szCs w:val="17"/>
              </w:rPr>
              <w:t xml:space="preserve">Fiscalização de despesas a partir de balancetes</w:t>
            </w:r>
          </w:p>
        </w:tc>
      </w:tr>
    </w:tbl>
    <w:p>
      <w:pPr>
        <w:spacing w:after="0"/>
      </w:pPr>
    </w:p>
    <w:p>
      <w:pPr>
        <w:spacing w:after="60" w:line="360"/>
        <w:ind w:firstLine="850"/>
        <w:jc w:val="both"/>
      </w:pPr>
      <w:r>
        <w:t xml:space="preserve">Como se vê, ao menos quatro das seis transcrições juntadas retratam discursos feitos </w:t>
      </w:r>
      <w:r>
        <w:rPr>
          <w:b/>
          <w:bCs/>
          <w:u w:val="single"/>
          <w:shd w:fill="CFE2F3" w:color="auto" w:val="clear"/>
        </w:rPr>
        <w:t xml:space="preserve">no recinto da Câmara Municipal, durante a sessão legislativa</w:t>
      </w:r>
      <w:r>
        <w:t xml:space="preserve">, e as demais tratam expressamente de documentos contábeis encaminhados àquela Casa. A divulgação posterior nas redes sociais do parlamentar não altera a natureza do ato: trata-se de transmissão, à população do Município, do conteúdo de pronunciamentos parlamentares, hipótese expressamente abrangida pela imunidade, como já registrado por este Juízo com apoio no AI 401.600 AgR (Rel. Min. Celso de Mello).</w:t>
      </w:r>
    </w:p>
    <w:p>
      <w:pPr>
        <w:spacing w:after="60" w:line="360"/>
        <w:ind w:firstLine="850"/>
        <w:jc w:val="both"/>
      </w:pPr>
      <w:r>
        <w:t xml:space="preserve">Para afastar qualquer dúvida, requer-se a requisição à Câmara Municipal de Miguel Alves das atas e das gravações integrais das sessões realizadas nas datas indicadas na inicial (27/02/2026, 13/03/2026, 27/03/2026 e 09/05/2026), nos termos do art. 438, I, do CPC.</w:t>
      </w:r>
    </w:p>
    <w:p>
      <w:pPr>
        <w:keepNext/>
        <w:tabs>
          <w:tab w:val="left" w:pos="700"/>
        </w:tabs>
        <w:spacing w:after="160" w:before="240" w:line="360"/>
        <w:ind w:left="700" w:hanging="400"/>
      </w:pPr>
      <w:r>
        <w:rPr>
          <w:b/>
          <w:bCs/>
          <w:i/>
          <w:iCs/>
        </w:rPr>
        <w:t xml:space="preserve">b.	</w:t>
      </w:r>
      <w:r>
        <w:rPr>
          <w:b/>
          <w:bCs/>
          <w:i/>
          <w:iCs/>
        </w:rPr>
        <w:t xml:space="preserve">Da descontextualização das manifestações sobre o numerário apreendido e de sua vinculação ao exercício da fiscalização parlamentar:</w:t>
      </w:r>
    </w:p>
    <w:p>
      <w:pPr>
        <w:spacing w:after="60" w:line="360"/>
        <w:ind w:firstLine="850"/>
        <w:jc w:val="both"/>
      </w:pPr>
      <w:r>
        <w:t xml:space="preserve">O Autor apresenta trechos das manifestações do Réu como imputações definitivas de fraude, desvio de recursos e participação em organização criminosa.</w:t>
      </w:r>
    </w:p>
    <w:p>
      <w:pPr>
        <w:spacing w:after="60" w:line="360"/>
        <w:ind w:firstLine="850"/>
        <w:jc w:val="both"/>
      </w:pPr>
      <w:r>
        <w:t xml:space="preserve">Entretanto, a leitura integral das transcrições que ele próprio juntou, sob os IDs 100391210 e 100391209, revela contexto substancialmente distinto: questionamentos sobre a origem e a destinação do numerário, cobrança de esclarecimentos e apresentação de requerimento parlamentar destinado à obtenção de informações.</w:t>
      </w:r>
    </w:p>
    <w:p>
      <w:pPr>
        <w:spacing w:after="60" w:line="360"/>
        <w:ind w:firstLine="850"/>
        <w:jc w:val="both"/>
      </w:pPr>
      <w:r>
        <w:t xml:space="preserve">No documento de ID 100391210, o Réu formula perguntas sobre a procedência dos valores e emprega expressamente a locução “possível fraude nos recursos públicos”.</w:t>
      </w:r>
    </w:p>
    <w:p>
      <w:pPr>
        <w:spacing w:after="60" w:line="360"/>
        <w:ind w:firstLine="850"/>
        <w:jc w:val="both"/>
      </w:pPr>
      <w:r>
        <w:t xml:space="preserve">A manifestação deve ser apreciada em seu conjunto, inclusive com a cobrança de explicações públicas e o pedido de acesso à declaração patrimonial do prefeito, elementos que evidenciam a finalidade de fiscalização da gestão municipal.</w:t>
      </w:r>
    </w:p>
    <w:p>
      <w:pPr>
        <w:spacing w:after="60" w:line="360"/>
        <w:ind w:firstLine="850"/>
        <w:jc w:val="both"/>
      </w:pPr>
      <w:r>
        <w:t xml:space="preserve">A alegação de suposta “confissão” não resiste à leitura integral da manifestação, inserida no exercício da fiscalização parlamentar e na cobrança de esclarecimentos sobre o numerário apreendido.</w:t>
      </w:r>
    </w:p>
    <w:p>
      <w:pPr>
        <w:spacing w:after="60" w:line="360"/>
        <w:ind w:firstLine="850"/>
        <w:jc w:val="both"/>
      </w:pPr>
      <w:r>
        <w:t xml:space="preserve">Ao reproduzir as expressões “de repente, eu posso estar aqui fazendo uma injúria, né?” e “Mas até que me prove o contrário”, o Autor </w:t>
      </w:r>
      <w:r>
        <w:rPr>
          <w:b/>
          <w:bCs/>
          <w:u w:val="single"/>
          <w:shd w:fill="CFE2F3" w:color="auto" w:val="clear"/>
        </w:rPr>
        <w:t xml:space="preserve">suprime justamente a ressalva “E aí, sendo assim, aí a gente vai ter que se recatar, ter que se redimir”</w:t>
      </w:r>
      <w:r>
        <w:t xml:space="preserve">, além de desconsiderar que, imediatamente antes, o Réu solicita à Câmara a declaração de bens do prefeito referente ao primeiro mandato.</w:t>
      </w:r>
    </w:p>
    <w:p>
      <w:pPr>
        <w:spacing w:after="60" w:line="360"/>
        <w:ind w:firstLine="850"/>
        <w:jc w:val="both"/>
      </w:pPr>
      <w:r>
        <w:t xml:space="preserve">Nesse contexto, o parlamentar não confessa qualquer ilícito ou demonstra conhecimento conclusivo sobre a licitude ou ilicitude da origem dos valores, questão ainda sob apuração à época. A cobrança de esclarecimentos decorre do legítimo interesse inerente à sua função fiscalizatória, e a expressão “até que me prove o contrário” deve ser compreendida nesse contexto, sem ser convertida em inversão do ônus da prova ou em confissão inexistente.</w:t>
      </w:r>
    </w:p>
    <w:p>
      <w:pPr>
        <w:spacing w:after="60" w:line="360"/>
        <w:ind w:firstLine="850"/>
        <w:jc w:val="both"/>
      </w:pPr>
      <w:r>
        <w:t xml:space="preserve">Também não procede a leitura isolada da referência a “sinais claros de formação de organização criminosa”. Conforme o documento de ID 100391209, a expressão integra a justificativa de um </w:t>
      </w:r>
      <w:r>
        <w:rPr>
          <w:b/>
          <w:bCs/>
          <w:u w:val="single"/>
          <w:shd w:fill="CFE2F3" w:color="auto" w:val="clear"/>
        </w:rPr>
        <w:t xml:space="preserve">requerimento lido em sessão da Câmara Municipal</w:t>
      </w:r>
      <w:r>
        <w:t xml:space="preserve">, cujo objeto é expressamente identificado: oficiar o secretário municipal de Finanças para solicitar esclarecimentos sobre a apreensão de aproximadamente R$ 150 mil em espécie.</w:t>
      </w:r>
    </w:p>
    <w:p>
      <w:pPr>
        <w:spacing w:after="60" w:line="360"/>
        <w:ind w:firstLine="850"/>
        <w:jc w:val="both"/>
      </w:pPr>
      <w:r>
        <w:t xml:space="preserve">A mesma transcrição registra a referência a denúncias formais encaminhadas aos órgãos de controle externo </w:t>
      </w:r>
      <w:r>
        <w:rPr>
          <w:b/>
          <w:bCs/>
          <w:shd w:fill="FFF200" w:color="auto" w:val="clear"/>
        </w:rPr>
        <w:t xml:space="preserve">[Doc. 05 – protocolos]</w:t>
      </w:r>
      <w:r>
        <w:t xml:space="preserve">, a invocação da transparência administrativa e a existência de versões contraditórias sobre o episódio.</w:t>
      </w:r>
    </w:p>
    <w:p>
      <w:pPr>
        <w:spacing w:after="60" w:line="360"/>
        <w:ind w:firstLine="850"/>
        <w:jc w:val="both"/>
      </w:pPr>
      <w:r>
        <w:t xml:space="preserve">Ao final, o Réu pede a aprovação do requerimento </w:t>
      </w:r>
      <w:r>
        <w:rPr>
          <w:b/>
          <w:bCs/>
          <w:u w:val="single"/>
          <w:shd w:fill="CFE2F3" w:color="auto" w:val="clear"/>
        </w:rPr>
        <w:t xml:space="preserve">“para o próprio secretário ter a oportunidade de apresentar essa documentação”</w:t>
      </w:r>
      <w:r>
        <w:t xml:space="preserve">. Trata-se de contexto indispensável à compreensão da fala, pois evidencia que o pronunciamento acompanhava uma iniciativa parlamentar de obtenção de informações </w:t>
      </w:r>
      <w:r>
        <w:rPr>
          <w:b/>
          <w:bCs/>
          <w:shd w:fill="FFF200" w:color="auto" w:val="clear"/>
        </w:rPr>
        <w:t xml:space="preserve">[Doc. 04 – requerimento e ata da sessão de 27/03/2026]</w:t>
      </w:r>
      <w:r>
        <w:t xml:space="preserve">.</w:t>
      </w:r>
    </w:p>
    <w:p>
      <w:pPr>
        <w:spacing w:after="60" w:line="360"/>
        <w:ind w:firstLine="850"/>
        <w:jc w:val="both"/>
      </w:pPr>
      <w:r>
        <w:t xml:space="preserve">A contundência das expressões utilizadas não dispensa o exame de sua vinculação ao mandato. O objeto do debate era a atuação do secretário municipal de Finanças, os esclarecimentos sobre valores apreendidos e a fiscalização da administração municipal. Especialmente quanto à leitura do requerimento em sessão, há relação direta entre o pronunciamento e a atividade parlamentar, devendo ser considerada a garantia prevista no art. 29, VIII, da Constituição Federal.</w:t>
      </w:r>
    </w:p>
    <w:p>
      <w:pPr>
        <w:spacing w:after="60" w:line="360"/>
        <w:ind w:firstLine="850"/>
        <w:jc w:val="both"/>
      </w:pPr>
      <w:r>
        <w:t xml:space="preserve">A defesa não extrai da apreensão, isoladamente, prova de origem ilícita dos valores. O ponto controvertido é outro: a inicial transforma questionamentos, suspeitas e cobranças de esclarecimentos em imputações conclusivas, mediante seleção de fragmentos que omite o objeto do requerimento, o pedido de documentação e a disposição expressa de revisão das afirmações.</w:t>
      </w:r>
    </w:p>
    <w:p>
      <w:pPr>
        <w:spacing w:after="60" w:line="360"/>
        <w:ind w:firstLine="850"/>
        <w:jc w:val="both"/>
      </w:pPr>
      <w:r>
        <w:t xml:space="preserve">Diante disso, requer-se que as manifestações sejam apreciadas integralmente, em seu contexto e com consideração de sua finalidade fiscalizatória, afastando-se a interpretação de que os trechos selecionados demonstrariam, por si, confissão de ilicitude ou imputação definitiva dos crimes apontados pelo Autor, com a rejeição da pretensão indenizatória fundada nesses episódios.</w:t>
      </w:r>
    </w:p>
    <w:p>
      <w:pPr>
        <w:keepNext/>
        <w:tabs>
          <w:tab w:val="left" w:pos="700"/>
        </w:tabs>
        <w:spacing w:after="160" w:before="240" w:line="360"/>
        <w:ind w:left="700" w:hanging="400"/>
      </w:pPr>
      <w:r>
        <w:rPr>
          <w:b/>
          <w:bCs/>
          <w:i/>
          <w:iCs/>
        </w:rPr>
        <w:t xml:space="preserve">c.	</w:t>
      </w:r>
      <w:r>
        <w:rPr>
          <w:b/>
          <w:bCs/>
          <w:i/>
          <w:iCs/>
        </w:rPr>
        <w:t xml:space="preserve">Da contextualização das manifestações sobre os empenhos e de sua finalidade fiscalizatória:</w:t>
      </w:r>
    </w:p>
    <w:p>
      <w:pPr>
        <w:spacing w:after="60" w:line="360"/>
        <w:ind w:firstLine="850"/>
        <w:jc w:val="both"/>
      </w:pPr>
      <w:r>
        <w:t xml:space="preserve">Também quanto aos empenhos nº 239 e nº 370, a inicial atribui caráter conclusivo a uma manifestação que, examinada integralmente, apresenta questionamentos decorrentes da análise dos balancetes municipais.</w:t>
      </w:r>
    </w:p>
    <w:p>
      <w:pPr>
        <w:spacing w:after="60" w:line="360"/>
        <w:ind w:firstLine="850"/>
        <w:jc w:val="both"/>
      </w:pPr>
      <w:r>
        <w:t xml:space="preserve">Conforme a transcrição de ID 100391206, o Réu inicia sua fala esclarecendo que atua no exercício da fiscalização da administração pública e que suas observações têm como fundamento os documentos encaminhados à Câmara Municipal, contexto diretamente relacionado ao desempenho do mandato.</w:t>
      </w:r>
    </w:p>
    <w:p>
      <w:pPr>
        <w:spacing w:after="60" w:line="360"/>
        <w:ind w:firstLine="850"/>
        <w:jc w:val="both"/>
      </w:pPr>
      <w:r>
        <w:t xml:space="preserve">Ao mencionar os valores, o parlamentar identifica os empenhos, as notas de liquidação e as notas fiscais, apontando o que apresenta como divergências em relação aos pagamentos </w:t>
      </w:r>
      <w:r>
        <w:rPr>
          <w:b/>
          <w:bCs/>
          <w:shd w:fill="FFF200" w:color="auto" w:val="clear"/>
        </w:rPr>
        <w:t xml:space="preserve">[Doc. 06 – balancetes / notas de empenho 239 e 370]</w:t>
      </w:r>
      <w:r>
        <w:t xml:space="preserve">.</w:t>
      </w:r>
    </w:p>
    <w:p>
      <w:pPr>
        <w:spacing w:after="60" w:line="360"/>
        <w:ind w:firstLine="850"/>
        <w:jc w:val="both"/>
      </w:pPr>
      <w:r>
        <w:t xml:space="preserve">A manifestação, portanto, possui referência documental específica, cuja correção deve ser examinada mediante confronto com os registros correspondentes, sem que a crítica possa ser tratada, por si só, como invenção deliberada ou ofensa pessoal desvinculada da função parlamentar. Registre-se que o Autor, embora detenha a guarda de tais documentos na qualidade de gestor, não trouxe aos autos nenhum elemento que infirme os valores apontados.</w:t>
      </w:r>
    </w:p>
    <w:p>
      <w:pPr>
        <w:spacing w:after="60" w:line="360"/>
        <w:ind w:firstLine="850"/>
        <w:jc w:val="both"/>
      </w:pPr>
      <w:r>
        <w:t xml:space="preserve">A expressão “verdadeiramente tenebrosa” qualifica a situação contábil descrita, enquanto a referência a “sinais claros e evidentes de possível enriquecimento ilícito” preserva expressamente o caráter de suspeita.</w:t>
      </w:r>
    </w:p>
    <w:p>
      <w:pPr>
        <w:spacing w:after="60" w:line="360"/>
        <w:ind w:firstLine="850"/>
        <w:jc w:val="both"/>
      </w:pPr>
      <w:r>
        <w:t xml:space="preserve">Embora contundente, a linguagem empregada deve ser compreendida no contexto da fiscalização dos gastos municipais, sem transformar a indicação de uma possível irregularidade em afirmação definitiva de responsabilidade do prefeito e de seus familiares.</w:t>
      </w:r>
    </w:p>
    <w:p>
      <w:pPr>
        <w:spacing w:after="60" w:line="360"/>
        <w:ind w:firstLine="850"/>
        <w:jc w:val="both"/>
      </w:pPr>
      <w:r>
        <w:t xml:space="preserve">A própria sequência da manifestação reforça essa finalidade, ao abordar despesas com limpeza pública e aquisição de livros, questionando sua aplicação e os resultados entregues à população.</w:t>
      </w:r>
    </w:p>
    <w:p>
      <w:pPr>
        <w:spacing w:after="60" w:line="360"/>
        <w:ind w:firstLine="850"/>
        <w:jc w:val="both"/>
      </w:pPr>
      <w:r>
        <w:t xml:space="preserve">Além disso, a referência ao possível enriquecimento ilícito aparece antes da exposição dos dois empenhos, no contexto geral das críticas à gestão, e não como conclusão definitiva extraída exclusivamente desses valores, como sugere a narrativa da inicial.</w:t>
      </w:r>
    </w:p>
    <w:p>
      <w:pPr>
        <w:spacing w:after="60" w:line="360"/>
        <w:ind w:firstLine="850"/>
        <w:jc w:val="both"/>
      </w:pPr>
      <w:r>
        <w:t xml:space="preserve">Assim, a transcrição não demonstra, por si, a inexistência das irregularidades apontadas. O que evidencia é uma manifestação fundada na análise declarada de documentos públicos e vinculada ao legítimo interesse de fiscalizar a administração municipal, devendo ser afastada a interpretação descontextualizada de que teria havido imputação conclusiva de fraude e enriquecimento ilícito.</w:t>
      </w:r>
    </w:p>
    <w:p>
      <w:pPr>
        <w:keepNext/>
        <w:tabs>
          <w:tab w:val="left" w:pos="700"/>
        </w:tabs>
        <w:spacing w:after="160" w:before="240" w:line="360"/>
        <w:ind w:left="700" w:hanging="400"/>
      </w:pPr>
      <w:r>
        <w:rPr>
          <w:b/>
          <w:bCs/>
          <w:i/>
          <w:iCs/>
        </w:rPr>
        <w:t xml:space="preserve">d.	</w:t>
      </w:r>
      <w:r>
        <w:rPr>
          <w:b/>
          <w:bCs/>
          <w:i/>
          <w:iCs/>
        </w:rPr>
        <w:t xml:space="preserve">Da contextualização das referências aos aluguéis, ao patrimônio familiar e ao suposto custeio de campanha com recursos públicos:</w:t>
      </w:r>
    </w:p>
    <w:p>
      <w:pPr>
        <w:spacing w:after="60" w:line="360"/>
        <w:ind w:firstLine="850"/>
        <w:jc w:val="both"/>
      </w:pPr>
      <w:r>
        <w:t xml:space="preserve">A inicial apresenta as referências ao patrimônio familiar, ao possível custeio de campanha com recursos públicos e à “possível formação de quadrilha” como acusações definitivas, desconsiderando o contexto de fiscalização da administração municipal em que foram proferidas.</w:t>
      </w:r>
    </w:p>
    <w:p>
      <w:pPr>
        <w:spacing w:after="60" w:line="360"/>
        <w:ind w:firstLine="850"/>
        <w:jc w:val="both"/>
      </w:pPr>
      <w:r>
        <w:t xml:space="preserve">Quanto aos aluguéis, a transcrição de ID 100391211 demonstra que o Réu menciona registros encontrados nos balancetes municipais, referentes ao mesmo imóvel e ao valor de R$ 3.036,00, pagos em nome de pessoa física e do Centro Educacional Malta </w:t>
      </w:r>
      <w:r>
        <w:rPr>
          <w:b/>
          <w:bCs/>
          <w:shd w:fill="FFF200" w:color="auto" w:val="clear"/>
        </w:rPr>
        <w:t xml:space="preserve">[Doc. 07 – registros de pagamento]</w:t>
      </w:r>
      <w:r>
        <w:t xml:space="preserve">.</w:t>
      </w:r>
    </w:p>
    <w:p>
      <w:pPr>
        <w:spacing w:after="60" w:line="360"/>
        <w:ind w:firstLine="850"/>
        <w:jc w:val="both"/>
      </w:pPr>
      <w:r>
        <w:t xml:space="preserve">Ao relacionar esses pagamentos ao professor Denis, apresentado na fala como primo do prefeito e pré-candidato, o parlamentar questiona a destinação dos recursos e o possível benefício político decorrente da despesa. É nesse contexto que afirma existirem “fortes indícios de crime” e “fortes indícios de possível formação de quadrilha”, acrescentando: “não sou eu que estou inventando, está aqui, estava lá nos balancetes”.</w:t>
      </w:r>
    </w:p>
    <w:p>
      <w:pPr>
        <w:spacing w:after="60" w:line="360"/>
        <w:ind w:firstLine="850"/>
        <w:jc w:val="both"/>
      </w:pPr>
      <w:r>
        <w:t xml:space="preserve">A referência possui, portanto, objeto administrativo determinado e fundamento documental explicitado, não podendo ser dissociada da fiscalização dos pagamentos municipais. As expressões “indícios” e “possível” também integram o sentido da manifestação e impedem que ela seja reproduzida como afirmação de uma conclusão definitivamente comprovada. Ademais, a fala é dirigida a terceiro que não integra a lide (art. 18 do CPC).</w:t>
      </w:r>
    </w:p>
    <w:p>
      <w:pPr>
        <w:spacing w:after="60" w:line="360"/>
        <w:ind w:firstLine="850"/>
        <w:jc w:val="both"/>
      </w:pPr>
      <w:r>
        <w:t xml:space="preserve">Nos itens (v) e (vi) da inicial, o Autor apresenta os questionamentos sobre patrimônio, despesas familiares e possível financiamento de campanha como imputações definitivas de origem ilícita dos recursos. Entretanto, a íntegra da transcrição de ID 100391208, </w:t>
      </w:r>
      <w:r>
        <w:rPr>
          <w:b/>
          <w:bCs/>
          <w:u w:val="single"/>
          <w:shd w:fill="CFE2F3" w:color="auto" w:val="clear"/>
        </w:rPr>
        <w:t xml:space="preserve">proferida da tribuna (“Já, já, presidente”)</w:t>
      </w:r>
      <w:r>
        <w:t xml:space="preserve">, revela uma manifestação voltada à alegada incompatibilidade entre a remuneração do prefeito e os gastos mencionados pelo parlamentar.</w:t>
      </w:r>
    </w:p>
    <w:p>
      <w:pPr>
        <w:spacing w:after="60" w:line="360"/>
        <w:ind w:firstLine="850"/>
        <w:jc w:val="both"/>
      </w:pPr>
      <w:r>
        <w:t xml:space="preserve">Ao abordar as despesas com formação universitária, o Réu compara os custos que afirma suportar com seus próprios filhos à remuneração que atribui ao prefeito, formulando perguntas sobre a possibilidade de custear mensalidades e manter bens de elevado valor. Nesse desenvolvimento, utiliza as expressões “que eu saiba” e “supostamente”, além de declarar expressamente: </w:t>
      </w:r>
      <w:r>
        <w:rPr>
          <w:b/>
          <w:bCs/>
          <w:u w:val="single"/>
          <w:shd w:fill="CFE2F3" w:color="auto" w:val="clear"/>
        </w:rPr>
        <w:t xml:space="preserve">“Mas eu vou investigar para ter a certeza”</w:t>
      </w:r>
      <w:r>
        <w:t xml:space="preserve">. Essa ressalva é essencial à compreensão da fala, pois demonstra que o parlamentar não apresenta as informações como definitivamente verificadas.</w:t>
      </w:r>
    </w:p>
    <w:p>
      <w:pPr>
        <w:spacing w:after="60" w:line="360"/>
        <w:ind w:firstLine="850"/>
        <w:jc w:val="both"/>
      </w:pPr>
      <w:r>
        <w:t xml:space="preserve">A referência aos cursos de medicina integra esse questionamento sobre a capacidade financeira atribuída ao agente público. Embora alcance despesas relacionadas a seus familiares, não contém acusação de que o filho do Autor tenha praticado crime, participado de desvio ou tivesse conhecimento de eventual irregularidade. A inicial amplia, portanto, o sentido da manifestação ao tratar a referência ao custeio da formação como imputação individualizada de conduta ilícita ao estudante.</w:t>
      </w:r>
    </w:p>
    <w:p>
      <w:pPr>
        <w:spacing w:after="60" w:line="360"/>
        <w:ind w:firstLine="850"/>
        <w:jc w:val="both"/>
      </w:pPr>
      <w:r>
        <w:t xml:space="preserve">Quanto ao financiamento de campanha dos primos, a expressão “só pode ser com recurso público” é imediatamente acompanhada de “Muito provavelmente”. A formulação é contundente, mas sua apreciação exige considerar essa ressalva e o contexto em que o Réu questiona a compatibilidade entre rendimentos e despesas políticas, sem presumir, apenas pela linguagem empregada, que tivesse conhecimento da falsidade da suspeita.</w:t>
      </w:r>
    </w:p>
    <w:p>
      <w:pPr>
        <w:spacing w:after="60" w:line="360"/>
        <w:ind w:firstLine="850"/>
        <w:jc w:val="both"/>
      </w:pPr>
      <w:r>
        <w:t xml:space="preserve">Também as referências a fazendas, prédios e veículos, bem como o questionamento sobre a possibilidade de declarar determinado patrimônio (ID 100391207), devem ser compreendidas no debate sobre evolução patrimonial e capacidade financeira. Note-se que, nessa mesma fala, o Réu </w:t>
      </w:r>
      <w:r>
        <w:rPr>
          <w:b/>
          <w:bCs/>
          <w:u w:val="single"/>
          <w:shd w:fill="CFE2F3" w:color="auto" w:val="clear"/>
        </w:rPr>
        <w:t xml:space="preserve">expõe publicamente a sua própria declaração de imposto de renda e o contrato de aquisição do seu imóvel</w:t>
      </w:r>
      <w:r>
        <w:t xml:space="preserve">, em resposta a reportagem que questionara o seu patrimônio, o que revela o caráter de debate sobre transparência patrimonial de agentes públicos, e não de ataque gratuito à vida privada.</w:t>
      </w:r>
    </w:p>
    <w:p>
      <w:pPr>
        <w:spacing w:after="60" w:line="360"/>
        <w:ind w:firstLine="850"/>
        <w:jc w:val="both"/>
      </w:pPr>
      <w:r>
        <w:t xml:space="preserve">Assim, a análise das falas deve preservar as ressalvas, os questionamentos e sua finalidade fiscalizatória, afastando a leitura de que constituiriam, por si, imputações conclusivas e conscientemente falsas contra o Autor ou seus familiares.</w:t>
      </w:r>
    </w:p>
    <w:p>
      <w:pPr>
        <w:keepNext/>
        <w:tabs>
          <w:tab w:val="left" w:pos="700"/>
        </w:tabs>
        <w:spacing w:after="160" w:before="240" w:line="360"/>
        <w:ind w:left="700" w:hanging="400"/>
      </w:pPr>
      <w:r>
        <w:rPr>
          <w:b/>
          <w:bCs/>
          <w:i/>
          <w:iCs/>
        </w:rPr>
        <w:t xml:space="preserve">e.	</w:t>
      </w:r>
      <w:r>
        <w:rPr>
          <w:b/>
          <w:bCs/>
          <w:i/>
          <w:iCs/>
        </w:rPr>
        <w:t xml:space="preserve">Da impugnação à forma de apresentação da prova (art. 436 do CPC):</w:t>
      </w:r>
    </w:p>
    <w:p>
      <w:pPr>
        <w:spacing w:after="60" w:line="360"/>
        <w:ind w:firstLine="850"/>
        <w:jc w:val="both"/>
      </w:pPr>
      <w:r>
        <w:t xml:space="preserve">Sem negar a autoria dos pronunciamentos, o Réu impugna, de forma específica, a </w:t>
      </w:r>
      <w:r>
        <w:rPr>
          <w:b/>
          <w:bCs/>
          <w:u w:val="single"/>
          <w:shd w:fill="CFE2F3" w:color="auto" w:val="clear"/>
        </w:rPr>
        <w:t xml:space="preserve">completude e a fidedignidade</w:t>
      </w:r>
      <w:r>
        <w:t xml:space="preserve"> do material apresentado como prova do seu conteúdo, nos termos do art. 436, II e III, do CPC, pelas seguintes razões:</w:t>
      </w:r>
    </w:p>
    <w:p>
      <w:pPr>
        <w:tabs>
          <w:tab w:val="left" w:pos="1000"/>
        </w:tabs>
        <w:spacing w:after="60" w:line="360"/>
        <w:ind w:left="1000" w:hanging="400"/>
        <w:jc w:val="both"/>
      </w:pPr>
      <w:r>
        <w:t xml:space="preserve">1.	</w:t>
      </w:r>
      <w:r>
        <w:t xml:space="preserve">o relatório Verifact (ID 100391201), produzido em 23/06/2026 sob o título “Postagens Ely Sandro – Queixa Crime”, contém apenas 2min33s de vídeo-captura para sete publicações, prestando-se a demonstrar a existência das postagens naquela data, e não o seu conteúdo integral;</w:t>
      </w:r>
    </w:p>
    <w:p>
      <w:pPr>
        <w:tabs>
          <w:tab w:val="left" w:pos="1000"/>
        </w:tabs>
        <w:spacing w:after="60" w:line="360"/>
        <w:ind w:left="1000" w:hanging="400"/>
        <w:jc w:val="both"/>
      </w:pPr>
      <w:r>
        <w:t xml:space="preserve">2.	</w:t>
      </w:r>
      <w:r>
        <w:t xml:space="preserve">não há qualquer captura de tela do “Vídeo 07”, que não possui sequer data indicada na inicial;</w:t>
      </w:r>
    </w:p>
    <w:p>
      <w:pPr>
        <w:tabs>
          <w:tab w:val="left" w:pos="1000"/>
        </w:tabs>
        <w:spacing w:after="60" w:line="360"/>
        <w:ind w:left="1000" w:hanging="400"/>
        <w:jc w:val="both"/>
      </w:pPr>
      <w:r>
        <w:t xml:space="preserve">3.	</w:t>
      </w:r>
      <w:r>
        <w:t xml:space="preserve">as transcrições (IDs 100391206 a 100391211) foram elaboradas unilateralmente, a partir de arquivos obtidos por ferramenta de terceiros (“FDownloader”), sem cadeia de custódia, e contêm erros evidentes de transcrição (“família Rebeiro”, “professor Concussado Botelinco”, “Elisandro Weiss e Silva”), além de não indicarem a qual vídeo, URL e data cada uma corresponde;</w:t>
      </w:r>
    </w:p>
    <w:p>
      <w:pPr>
        <w:tabs>
          <w:tab w:val="left" w:pos="1000"/>
        </w:tabs>
        <w:spacing w:after="60" w:line="360"/>
        <w:ind w:left="1000" w:hanging="400"/>
        <w:jc w:val="both"/>
      </w:pPr>
      <w:r>
        <w:t xml:space="preserve">4.	</w:t>
      </w:r>
      <w:r>
        <w:t xml:space="preserve">os trechos citados na inicial foram extraídos de forma seletiva, com supressão das ressalvas que lhes conferem sentido, como demonstrado acima.</w:t>
      </w:r>
    </w:p>
    <w:p>
      <w:pPr>
        <w:spacing w:after="60" w:line="360"/>
        <w:ind w:firstLine="850"/>
        <w:jc w:val="both"/>
      </w:pPr>
      <w:r>
        <w:t xml:space="preserve">Requer-se, por isso, que as transcrições não sejam tomadas como reprodução fiel e integral das falas, prevalecendo, em caso de divergência, o teor integral das mídias e das gravações oficiais das sessões legislativas.</w:t>
      </w:r>
    </w:p>
    <w:p>
      <w:pPr>
        <w:keepNext/>
        <w:tabs>
          <w:tab w:val="left" w:pos="700"/>
        </w:tabs>
        <w:spacing w:after="160" w:before="240" w:line="360"/>
        <w:ind w:left="700" w:hanging="400"/>
      </w:pPr>
      <w:r>
        <w:rPr>
          <w:b/>
          <w:bCs/>
          <w:i/>
          <w:iCs/>
        </w:rPr>
        <w:t xml:space="preserve">f.	</w:t>
      </w:r>
      <w:r>
        <w:rPr>
          <w:b/>
          <w:bCs/>
          <w:i/>
          <w:iCs/>
        </w:rPr>
        <w:t xml:space="preserve">Da improcedência da conclusão autoral e da indevida atribuição de falsidade e dolo às manifestações parlamentares:</w:t>
      </w:r>
    </w:p>
    <w:p>
      <w:pPr>
        <w:spacing w:after="60" w:line="360"/>
        <w:ind w:firstLine="850"/>
        <w:jc w:val="both"/>
      </w:pPr>
      <w:r>
        <w:t xml:space="preserve">A conclusão de que todas as manifestações seriam inverídicas, desprovidas de prova e destinadas exclusivamente a atingir a honra do Autor não decorre dos elementos apresentados.</w:t>
      </w:r>
    </w:p>
    <w:p>
      <w:pPr>
        <w:spacing w:after="60" w:line="360"/>
        <w:ind w:firstLine="850"/>
        <w:jc w:val="both"/>
      </w:pPr>
      <w:r>
        <w:t xml:space="preserve">Como demonstrado, os pronunciamentos abordam fatos determinados da administração municipal, com referências a balancetes, empenhos, pagamentos e requerimentos de informação, evidenciando sua vinculação à fiscalização parlamentar. A contundência das críticas não permite desconsiderar esse conteúdo e presumir uma finalidade exclusivamente ofensiva.</w:t>
      </w:r>
    </w:p>
    <w:p>
      <w:pPr>
        <w:spacing w:after="60" w:line="360"/>
        <w:ind w:firstLine="850"/>
        <w:jc w:val="both"/>
      </w:pPr>
      <w:r>
        <w:t xml:space="preserve">Também não procede a afirmação de que o arquivamento do inquérito relativo ao numerário apreendido “arruína, por completo” a defesa. Ainda que a origem lícita dos valores tenha sido reconhecida nos termos narrados pelo Autor, essa conclusão diz respeito àquele episódio e não esclarece, por extensão, os demais gastos e registros administrativos questionados. A inicial reúne controvérsias distintas para atribuir ao resultado de uma investigação alcance que ele não possui.</w:t>
      </w:r>
    </w:p>
    <w:p>
      <w:pPr>
        <w:spacing w:after="60" w:line="360"/>
        <w:ind w:firstLine="850"/>
        <w:jc w:val="both"/>
      </w:pPr>
      <w:r>
        <w:t xml:space="preserve">Além disso, o esclarecimento posterior da origem do dinheiro não demonstra que o Réu conhecesse sua licitude quando se manifestou, nem que tenha formulado suspeitas sabendo serem falsas. Ao contrário: na própria sessão de 27/03/2026, o Réu registrou a existência de versões contraditórias e propôs exatamente que o secretário fosse oficiado para apresentar a documentação, providência incompatível com o propósito de divulgar fato sabidamente falso.</w:t>
      </w:r>
    </w:p>
    <w:p>
      <w:pPr>
        <w:spacing w:after="60" w:line="360"/>
        <w:ind w:firstLine="850"/>
        <w:jc w:val="both"/>
      </w:pPr>
      <w:r>
        <w:t xml:space="preserve">A referência à queixa-crime tampouco comprova as acusações da inicial: demonstra apenas a existência de outra demanda sobre os fatos. Da mesma forma, a autonomia entre as esferas cível e penal não supre a demonstração dos fundamentos da pretensão indenizatória.</w:t>
      </w:r>
    </w:p>
    <w:p>
      <w:pPr>
        <w:spacing w:after="60" w:line="360"/>
        <w:ind w:firstLine="850"/>
        <w:jc w:val="both"/>
      </w:pPr>
      <w:r>
        <w:t xml:space="preserve">Assim, a conclusão autoral permanece apoiada em generalizações e recortes que desconsideram o contexto das falas. Requer-se sua rejeição, com a apreciação individualizada das manifestações, de sua base informativa e de sua relação com o mandato, julgando-se improcedentes os pedidos formulados contra o Réu.</w:t>
      </w:r>
    </w:p>
    <w:p>
      <w:pPr>
        <w:shd w:fill="123BB8" w:color="auto" w:val="clear"/>
        <w:tabs>
          <w:tab w:val="left" w:pos="1000"/>
        </w:tabs>
        <w:spacing w:after="240" w:before="360" w:line="360"/>
        <w:ind w:left="0"/>
      </w:pPr>
      <w:r>
        <w:rPr>
          <w:b/>
          <w:bCs/>
          <w:i/>
          <w:iCs/>
          <w:color w:val="FFFFFF"/>
        </w:rPr>
        <w:t xml:space="preserve">	Do mérito.</w:t>
      </w:r>
    </w:p>
    <w:p>
      <w:pPr>
        <w:keepNext/>
        <w:tabs>
          <w:tab w:val="left" w:pos="700"/>
        </w:tabs>
        <w:spacing w:after="160" w:before="240" w:line="360"/>
        <w:ind w:left="700" w:hanging="400"/>
      </w:pPr>
      <w:r>
        <w:rPr>
          <w:b/>
          <w:bCs/>
          <w:i/>
          <w:iCs/>
        </w:rPr>
        <w:t xml:space="preserve">a.	</w:t>
      </w:r>
      <w:r>
        <w:rPr>
          <w:b/>
          <w:bCs/>
          <w:i/>
          <w:iCs/>
        </w:rPr>
        <w:t xml:space="preserve">Da ausência de ato ilícito:</w:t>
      </w:r>
    </w:p>
    <w:p>
      <w:pPr>
        <w:spacing w:after="60" w:line="360"/>
        <w:ind w:firstLine="850"/>
        <w:jc w:val="both"/>
      </w:pPr>
      <w:r>
        <w:t xml:space="preserve">A pretensão autoral parte de premissa equivocada ao tratar as manifestações questionadas como acusações criminosas autônomas, dissociadas da atividade política e fiscalizatória exercida pelo Réu.</w:t>
      </w:r>
    </w:p>
    <w:p>
      <w:pPr>
        <w:spacing w:after="60" w:line="360"/>
        <w:ind w:firstLine="850"/>
        <w:jc w:val="both"/>
      </w:pPr>
      <w:r>
        <w:t xml:space="preserve">Não se discute que a honra e a imagem recebem proteção constitucional, nem que os arts. 186, 187 e 927 do Código Civil autorizam a responsabilização daquele que pratica ato ilícito ou excede manifestamente os limites do exercício de um direito.</w:t>
      </w:r>
    </w:p>
    <w:p>
      <w:pPr>
        <w:spacing w:after="60" w:line="360"/>
        <w:ind w:firstLine="850"/>
        <w:jc w:val="both"/>
      </w:pPr>
      <w:r>
        <w:t xml:space="preserve">Ocorre que tais dispositivos não estabelecem responsabilidade objetiva por toda crítica contundente dirigida a agente político, muito menos dispensam a demonstração concreta do abuso, do nexo causal e da ausência de proteção constitucional da manifestação.</w:t>
      </w:r>
    </w:p>
    <w:p>
      <w:pPr>
        <w:spacing w:after="60" w:line="360"/>
        <w:ind w:firstLine="850"/>
        <w:jc w:val="both"/>
      </w:pPr>
      <w:r>
        <w:t xml:space="preserve">No caso, as falas devem ser apreciadas em sua integralidade e no contexto em que foram proferidas: o Réu, na condição de vereador, abordou fatos relacionados à gestão municipal, à aplicação de recursos públicos, a empenhos, contratos, despesas e à apreensão de expressivo numerário em poder de agente público ligado à Administração.</w:t>
      </w:r>
    </w:p>
    <w:p>
      <w:pPr>
        <w:spacing w:after="60" w:line="360"/>
        <w:ind w:firstLine="850"/>
        <w:jc w:val="both"/>
      </w:pPr>
      <w:r>
        <w:rPr>
          <w:b/>
          <w:bCs/>
          <w:u w:val="single"/>
          <w:shd w:fill="CFE2F3" w:color="auto" w:val="clear"/>
        </w:rPr>
        <w:t xml:space="preserve">Trata-se, portanto, de matéria de inequívoco interesse coletivo e diretamente vinculada ao dever de fiscalização previsto no art. 31 da Constituição Federal.</w:t>
      </w:r>
    </w:p>
    <w:p>
      <w:pPr>
        <w:spacing w:after="60" w:line="360"/>
        <w:ind w:firstLine="850"/>
        <w:jc w:val="both"/>
      </w:pPr>
      <w:r>
        <w:t xml:space="preserve">A inicial procura conferir às expressões “será?”, “supostamente”, “possível fraude” e “muito provavelmente” o mesmo sentido de uma afirmação definitiva de autoria criminosa. Essa interpretação, contudo, despreza a própria estrutura linguística das manifestações, marcadas por questionamentos, hipóteses e cobranças de esclarecimentos sobre fatos que, naquele momento, eram públicos e estavam submetidos à investigação.</w:t>
      </w:r>
    </w:p>
    <w:p>
      <w:pPr>
        <w:spacing w:after="60" w:line="360"/>
        <w:ind w:firstLine="850"/>
        <w:jc w:val="both"/>
      </w:pPr>
      <w:r>
        <w:t xml:space="preserve">Não se pode transformar toda suspeita externada por parlamentar em afirmação categórica de culpa. Tampouco é juridicamente adequado decompor o discurso, selecionar frases isoladas e retirar delas conclusão incompatível com seu contexto fiscalizatório.</w:t>
      </w:r>
    </w:p>
    <w:p>
      <w:pPr>
        <w:spacing w:after="60" w:line="360"/>
        <w:ind w:firstLine="850"/>
        <w:jc w:val="both"/>
      </w:pPr>
      <w:r>
        <w:t xml:space="preserve">A circunstância de o Réu ter encaminhado os fatos aos órgãos competentes reforça a inexistência de propósito exclusivamente ofensivo. Quem submete uma suspeita à apuração institucional não se coloca na posição de quem afirma possuir uma verdade definitiva; ao contrário, reconhece que a confirmação ou rejeição daquela hipótese compete às autoridades responsáveis pela investigação.</w:t>
      </w:r>
    </w:p>
    <w:p>
      <w:pPr>
        <w:keepNext/>
        <w:tabs>
          <w:tab w:val="left" w:pos="700"/>
        </w:tabs>
        <w:spacing w:after="160" w:before="240" w:line="360"/>
        <w:ind w:left="700" w:hanging="400"/>
      </w:pPr>
      <w:r>
        <w:rPr>
          <w:b/>
          <w:bCs/>
          <w:i/>
          <w:iCs/>
        </w:rPr>
        <w:t xml:space="preserve">b.	</w:t>
      </w:r>
      <w:r>
        <w:rPr>
          <w:b/>
          <w:bCs/>
          <w:i/>
          <w:iCs/>
        </w:rPr>
        <w:t xml:space="preserve">Da crítica dirigida a agente político e do reforçado interesse público das manifestações:</w:t>
      </w:r>
    </w:p>
    <w:p>
      <w:pPr>
        <w:spacing w:after="60" w:line="360"/>
        <w:ind w:firstLine="850"/>
        <w:jc w:val="both"/>
      </w:pPr>
      <w:r>
        <w:t xml:space="preserve">A defesa não sustenta que agentes políticos estejam privados da proteção à honra. O que se afirma é que aqueles que exercem cargos públicos eletivos se submetem, pela própria natureza da função, a um grau mais intenso de fiscalização, questionamento e crítica pública, sobretudo quando a manifestação versa sobre emprego de recursos municipais.</w:t>
      </w:r>
    </w:p>
    <w:p>
      <w:pPr>
        <w:spacing w:after="60" w:line="360"/>
        <w:ind w:firstLine="850"/>
        <w:jc w:val="both"/>
      </w:pPr>
      <w:r>
        <w:t xml:space="preserve">O Autor não foi mencionado como simples particular, em assunto estranho à Administração. As manifestações discutidas decorreram de sua condição de Chefe do Poder Executivo e trataram de acontecimentos associados à gestão municipal, seus agentes, contratos, despesas e movimentações patrimoniais consideradas relevantes no debate público local.</w:t>
      </w:r>
    </w:p>
    <w:p>
      <w:pPr>
        <w:spacing w:after="60" w:line="360"/>
        <w:ind w:firstLine="850"/>
        <w:jc w:val="both"/>
      </w:pPr>
      <w:r>
        <w:t xml:space="preserve">Por essa razão, a invocação da proteção à honra não dispensa a demonstração concreta do excesso atribuído a cada manifestação, mediante exame de seu conteúdo integral e de sua relação com o mandato.</w:t>
      </w:r>
    </w:p>
    <w:p>
      <w:pPr>
        <w:spacing w:after="60" w:line="360"/>
        <w:ind w:firstLine="850"/>
        <w:jc w:val="both"/>
      </w:pPr>
      <w:r>
        <w:t xml:space="preserve">A posterior conclusão de que determinado fato não configurou crime não torna retroativamente ilícito todo questionamento formulado quando a apuração ainda estava em andamento. Resultado investigativo posterior não se confunde com prova de que o parlamentar conhecia previamente a licitude do fato ou de que agiu dolosamente para divulgar informação que sabia ser falsa.</w:t>
      </w:r>
    </w:p>
    <w:p>
      <w:pPr>
        <w:spacing w:after="60" w:line="360"/>
        <w:ind w:firstLine="850"/>
        <w:jc w:val="both"/>
      </w:pPr>
      <w:r>
        <w:t xml:space="preserve">Portanto, o maior grau de tolerância exigido no debate político não significa autorização irrestrita para ofender, mas impede que críticas, indagações e cobranças relacionadas à gestão sejam convertidas em ilícitos civis apenas porque causaram desconforto ao gestor fiscalizado.</w:t>
      </w:r>
    </w:p>
    <w:p>
      <w:pPr>
        <w:keepNext/>
        <w:tabs>
          <w:tab w:val="left" w:pos="700"/>
        </w:tabs>
        <w:spacing w:after="160" w:before="240" w:line="360"/>
        <w:ind w:left="700" w:hanging="400"/>
      </w:pPr>
      <w:r>
        <w:rPr>
          <w:b/>
          <w:bCs/>
          <w:i/>
          <w:iCs/>
        </w:rPr>
        <w:t xml:space="preserve">c.	</w:t>
      </w:r>
      <w:r>
        <w:rPr>
          <w:b/>
          <w:bCs/>
          <w:i/>
          <w:iCs/>
        </w:rPr>
        <w:t xml:space="preserve">Da incidência da imunidade parlamentar material:</w:t>
      </w:r>
    </w:p>
    <w:p>
      <w:pPr>
        <w:spacing w:after="60" w:line="360"/>
        <w:ind w:firstLine="850"/>
        <w:jc w:val="both"/>
      </w:pPr>
      <w:r>
        <w:t xml:space="preserve">Nos termos do art. 29, VIII, da Constituição Federal, os vereadores são invioláveis por suas opiniões, palavras e votos no exercício do mandato e na circunscrição do Município.</w:t>
      </w:r>
    </w:p>
    <w:p>
      <w:pPr>
        <w:spacing w:after="60" w:line="360"/>
        <w:ind w:firstLine="850"/>
        <w:jc w:val="both"/>
      </w:pPr>
      <w:r>
        <w:t xml:space="preserve">No Tema 469 da repercussão geral (RE 600.063), o Supremo Tribunal Federal firmou a tese de que, </w:t>
      </w:r>
      <w:r>
        <w:rPr>
          <w:b/>
          <w:bCs/>
          <w:u w:val="single"/>
          <w:shd w:fill="CFE2F3" w:color="auto" w:val="clear"/>
        </w:rPr>
        <w:t xml:space="preserve">“nos limites da circunscrição do Município e havendo pertinência com o exercício do mandato, os vereadores são imunes judicialmente por suas palavras, opiniões e votos”</w:t>
      </w:r>
      <w:r>
        <w:t xml:space="preserve">. O precedente reconhece expressamente que a fiscalização dos demais Poderes e o debate político integram as atividades protegidas e que </w:t>
      </w:r>
      <w:r>
        <w:rPr>
          <w:b/>
          <w:bCs/>
          <w:u w:val="single"/>
          <w:shd w:fill="CFE2F3" w:color="auto" w:val="clear"/>
        </w:rPr>
        <w:t xml:space="preserve">“as ofensas pessoais proferidas no âmbito da discussão política, respeitados os limites trazidos pela própria Constituição, não são passíveis de reprimenda judicial”</w:t>
      </w:r>
      <w:r>
        <w:t xml:space="preserve">, cabendo eventual repreensão ao próprio Legislativo.</w:t>
      </w:r>
    </w:p>
    <w:p>
      <w:pPr>
        <w:spacing w:after="60" w:line="360"/>
        <w:ind w:firstLine="850"/>
        <w:jc w:val="both"/>
      </w:pPr>
      <w:r>
        <w:t xml:space="preserve">O caso julgado pelo STF no Tema 469, aliás, guarda notável semelhança com o presente: vereador que, em sessão da Câmara, afirmou que ex-vereador “apoiou a corrupção, a ladroeira, a sem-vergonhice”. Ainda assim, reconheceu-se a imunidade.</w:t>
      </w:r>
    </w:p>
    <w:p>
      <w:pPr>
        <w:spacing w:after="60" w:line="360"/>
        <w:ind w:firstLine="850"/>
        <w:jc w:val="both"/>
      </w:pPr>
      <w:r>
        <w:t xml:space="preserve">Na espécie, conforme demonstrado no quadro do item “a” da impugnação fática, </w:t>
      </w:r>
      <w:r>
        <w:rPr>
          <w:b/>
          <w:bCs/>
          <w:u w:val="single"/>
          <w:shd w:fill="CFE2F3" w:color="auto" w:val="clear"/>
        </w:rPr>
        <w:t xml:space="preserve">a maior parte das falas impugnadas foi proferida na própria tribuna da Câmara Municipal</w:t>
      </w:r>
      <w:r>
        <w:t xml:space="preserve">, em sessão legislativa, inclusive durante a leitura de requerimento de informações submetido ao Plenário. Em relação a tais manifestações, a pertinência com o mandato é manifesta, e a circunscrição municipal é indiscutível.</w:t>
      </w:r>
    </w:p>
    <w:p>
      <w:pPr>
        <w:spacing w:after="60" w:line="360"/>
        <w:ind w:firstLine="850"/>
        <w:jc w:val="both"/>
      </w:pPr>
      <w:r>
        <w:t xml:space="preserve">A divulgação posterior desses discursos nas redes sociais do parlamentar não afasta a garantia. Como registrado por este Juízo na decisão de ID 100909958, “a garantia constitucional da imunidade parlamentar material também estende seu manto protetor às entrevistas jornalísticas, à transmissão, para a imprensa, do conteúdo de pronunciamentos ou de relatórios produzidos nas Casas Legislativas [...] e às declarações feitas aos meios de comunicação social” (AI 401.600 AgR, Rel. Min. Celso de Mello).</w:t>
      </w:r>
    </w:p>
    <w:p>
      <w:pPr>
        <w:spacing w:after="60" w:line="360"/>
        <w:ind w:firstLine="850"/>
        <w:jc w:val="both"/>
      </w:pPr>
      <w:r>
        <w:t xml:space="preserve">No mesmo sentido, o STJ, no REsp 2.019.764/SP, aplicou essa orientação em ação indenizatória fundada em alegadas ofensas divulgadas, inclusive, por Facebook, WhatsApp, imprensa e outros meios, assentando que a publicação em rede social não afasta a imunidade quando o conteúdo se dirige à comunidade municipal e está relacionado a questões políticas e ao exercício do mandato.</w:t>
      </w:r>
    </w:p>
    <w:p>
      <w:pPr>
        <w:spacing w:after="60" w:line="360"/>
        <w:ind w:firstLine="850"/>
        <w:jc w:val="both"/>
      </w:pPr>
      <w:r>
        <w:t xml:space="preserve">A situação apresenta especial pertinência com o caso concreto: as manifestações do Réu foram dirigidas à população de Miguel Alves e versaram sobre Administração Municipal, dinheiro público, contratos, empenhos e condutas atribuídas a agentes ligados ao Poder Executivo. A rede social foi utilizada como meio de comunicação da atividade política e fiscalizatória, e não como espaço para discussão de desavença exclusivamente privada.</w:t>
      </w:r>
    </w:p>
    <w:p>
      <w:pPr>
        <w:spacing w:after="60" w:line="360"/>
        <w:ind w:firstLine="850"/>
        <w:jc w:val="both"/>
      </w:pPr>
      <w:r>
        <w:t xml:space="preserve">A inicial também não pode afastar integralmente a imunidade sob o argumento genérico de que familiares foram mencionados. A simples menção a familiar não elimina automaticamente o nexo funcional de toda a manifestação. Somente referências efetivamente autônomas, destituídas de qualquer conexão com o exercício do mandato, poderiam ser examinadas fora da imunidade, o que exige individualização e prova, não uma conclusão generalizante. E, em qualquer caso, eventual ofensa a terceiros não pode ser reparada em favor do Autor (art. 18 do CPC).</w:t>
      </w:r>
    </w:p>
    <w:p>
      <w:pPr>
        <w:spacing w:after="60" w:line="360"/>
        <w:ind w:firstLine="850"/>
        <w:jc w:val="both"/>
      </w:pPr>
      <w:r>
        <w:t xml:space="preserve">O precedente do TJAL invocado pelo Autor tampouco autoriza afastamento automático da garantia. A própria formulação reproduzida na inicial reconhece que a imunidade deixa de incidir quando as imputações forem desprovidas de interesse público e extrapolarem o exercício do mandato. É exatamente essa ausência de pertinência que o Autor deveria demonstrar concretamente, mas não o faz.</w:t>
      </w:r>
    </w:p>
    <w:p>
      <w:pPr>
        <w:spacing w:after="60" w:line="360"/>
        <w:ind w:firstLine="850"/>
        <w:jc w:val="both"/>
      </w:pPr>
      <w:r>
        <w:t xml:space="preserve">Ademais, o Juízo já indeferiu a tutela destinada à imediata remoção dos conteúdos, registrando que, em cognição sumária, os arquivos não evidenciavam extrapolação dos limites do discurso parlamentar e que a retirada antecipada atingiria o núcleo da atividade fiscalizatória e da liberdade de expressão política. Embora não constitua julgamento definitivo, a decisão confirma que a ilicitude sustentada pelo Autor não é manifesta.</w:t>
      </w:r>
    </w:p>
    <w:p>
      <w:pPr>
        <w:keepNext/>
        <w:tabs>
          <w:tab w:val="left" w:pos="700"/>
        </w:tabs>
        <w:spacing w:after="160" w:before="240" w:line="360"/>
        <w:ind w:left="700" w:hanging="400"/>
      </w:pPr>
      <w:r>
        <w:rPr>
          <w:b/>
          <w:bCs/>
          <w:i/>
          <w:iCs/>
        </w:rPr>
        <w:t xml:space="preserve">d.	</w:t>
      </w:r>
      <w:r>
        <w:rPr>
          <w:b/>
          <w:bCs/>
          <w:i/>
          <w:iCs/>
        </w:rPr>
        <w:t xml:space="preserve">Do alcance limitado do arquivamento do inquérito e da impossibilidade de seu uso retroativo:</w:t>
      </w:r>
    </w:p>
    <w:p>
      <w:pPr>
        <w:spacing w:after="60" w:line="360"/>
        <w:ind w:firstLine="850"/>
        <w:jc w:val="both"/>
      </w:pPr>
      <w:r>
        <w:t xml:space="preserve">O arquivamento do Inquérito Policial nº 0816146-68.2026.8.18.0140 deve ser reconhecido e corretamente delimitado. A decisão registra que a investigação e os documentos apresentados comprovaram a origem lícita dos R$ 147.300,00 apreendidos, fundamentando o arquivamento e a restituição do numerário.</w:t>
      </w:r>
    </w:p>
    <w:p>
      <w:pPr>
        <w:spacing w:after="60" w:line="360"/>
        <w:ind w:firstLine="850"/>
        <w:jc w:val="both"/>
      </w:pPr>
      <w:r>
        <w:t xml:space="preserve">Essa conclusão possui objeto determinado e não comprova que o Réu conhecia a origem dos valores quando se manifestou, anteriormente ao encerramento da investigação. Tampouco constitui declaração geral de regularidade dos empenhos, contratos, aluguéis e demais despesas municipais questionados nos pronunciamentos.</w:t>
      </w:r>
    </w:p>
    <w:p>
      <w:pPr>
        <w:spacing w:after="60" w:line="360"/>
        <w:ind w:firstLine="850"/>
        <w:jc w:val="both"/>
      </w:pPr>
      <w:r>
        <w:t xml:space="preserve">Segundo a própria cronologia apresentada, as manifestações ocorreram entre fevereiro e maio de 2026, enquanto o arquivamento foi decidido somente em 24 de junho de 2026. No momento das falas, existiam: apreensão efetiva de elevada quantia em espécie; investigação policial em curso; repercussão pública do acontecimento; ausência de conclusão oficial sobre a origem dos valores </w:t>
      </w:r>
      <w:r>
        <w:rPr>
          <w:b/>
          <w:bCs/>
          <w:shd w:fill="FFF200" w:color="auto" w:val="clear"/>
        </w:rPr>
        <w:t xml:space="preserve">[Doc. 08 – notícias e registros da apreensão]</w:t>
      </w:r>
      <w:r>
        <w:t xml:space="preserve">.</w:t>
      </w:r>
    </w:p>
    <w:p>
      <w:pPr>
        <w:spacing w:after="60" w:line="360"/>
        <w:ind w:firstLine="850"/>
        <w:jc w:val="both"/>
      </w:pPr>
      <w:r>
        <w:t xml:space="preserve">Era, portanto, legítimo formular questionamentos e cobrar esclarecimentos. Não se pode exigir do vereador que antecipasse o resultado da investigação, sob pena de inviabilizar qualquer fiscalização sobre fatos ainda sujeitos à apuração.</w:t>
      </w:r>
    </w:p>
    <w:p>
      <w:pPr>
        <w:spacing w:after="60" w:line="360"/>
        <w:ind w:firstLine="850"/>
        <w:jc w:val="both"/>
      </w:pPr>
      <w:r>
        <w:t xml:space="preserve">Também não procede a alegação de “prova oficial da falsidade”. O arquivamento demonstra que a investigação não encontrou suporte para a persecução criminal e reconheceu a documentação relativa à origem da quantia. Não demonstra, porém, que: a apreensão não ocorreu; inexistia investigação quando as falas foram realizadas; o Réu conhecia antecipadamente os documentos posteriormente apresentados; todas as demais questões levantadas eram falsas; ou o Réu agiu com dolo de caluniar.</w:t>
      </w:r>
    </w:p>
    <w:p>
      <w:pPr>
        <w:spacing w:after="60" w:line="360"/>
        <w:ind w:firstLine="850"/>
        <w:jc w:val="both"/>
      </w:pPr>
      <w:r>
        <w:t xml:space="preserve">Por consequência, também não cabe invocar dano moral in re ipsa antes de demonstrada a própria ilicitude. A presunção de dano eventualmente relacionada a crimes contra a honra não dispensa a comprovação da conduta ilícita, do nexo, da autoria, do conteúdo integral e da inexistência de imunidade parlamentar. Sem ato ilícito, não há dano indenizável presumido.</w:t>
      </w:r>
    </w:p>
    <w:p>
      <w:pPr>
        <w:keepNext/>
        <w:tabs>
          <w:tab w:val="left" w:pos="700"/>
        </w:tabs>
        <w:spacing w:after="160" w:before="240" w:line="360"/>
        <w:ind w:left="700" w:hanging="400"/>
      </w:pPr>
      <w:r>
        <w:rPr>
          <w:b/>
          <w:bCs/>
          <w:i/>
          <w:iCs/>
        </w:rPr>
        <w:t xml:space="preserve">e.	</w:t>
      </w:r>
      <w:r>
        <w:rPr>
          <w:b/>
          <w:bCs/>
          <w:i/>
          <w:iCs/>
        </w:rPr>
        <w:t xml:space="preserve">Da vedação à censura prévia e da improcedência do pedido de remoção e de abstenção:</w:t>
      </w:r>
    </w:p>
    <w:p>
      <w:pPr>
        <w:spacing w:after="60" w:line="360"/>
        <w:ind w:firstLine="850"/>
        <w:jc w:val="both"/>
      </w:pPr>
      <w:r>
        <w:t xml:space="preserve">O pedido de remoção dos conteúdos e de abstenção de “novas manifestações [...] por qualquer meio” não pode ser acolhido.</w:t>
      </w:r>
    </w:p>
    <w:p>
      <w:pPr>
        <w:spacing w:after="60" w:line="360"/>
        <w:ind w:firstLine="850"/>
        <w:jc w:val="both"/>
      </w:pPr>
      <w:r>
        <w:t xml:space="preserve">Quanto à remoção, sendo os vídeos, em sua maioria, reprodução de discursos proferidos na tribuna da Câmara, a ordem de retirada atingiria diretamente o registro público da atividade parlamentar, o que este Juízo já reconheceu configurar “restrição que atinge o cerne da atividade parlamentar e da liberdade de expressão política”, com dano “de natureza institucional, afetando a relação de representação entre o requerido e seu eleitorado”. Além disso, eventual ordem de indisponibilização exige identificação clara e específica de cada conteúdo (art. 19, § 1º, da Lei nº 12.965/2014), o que a inicial não faz em relação ao “Vídeo 07”, sem data e sem captura.</w:t>
      </w:r>
    </w:p>
    <w:p>
      <w:pPr>
        <w:spacing w:after="60" w:line="360"/>
        <w:ind w:firstLine="850"/>
        <w:jc w:val="both"/>
      </w:pPr>
      <w:r>
        <w:t xml:space="preserve">Quanto à abstenção futura, a ordem pretendida, por ser genérica e indeterminada, implicaria controle prévio do conteúdo de manifestações ainda inexistentes de um parlamentar no exercício do mandato, em afronta aos arts. 5º, IV e IX, 29, VIII, e 220, §§ 1º e 2º, da Constituição Federal e à orientação firmada pelo Supremo Tribunal Federal na ADPF 130. O ordenamento já prevê a responsabilização a posteriori por eventual abuso, não havendo espaço para a imposição antecipada de multa sobre o conteúdo de discursos futuros.</w:t>
      </w:r>
    </w:p>
    <w:p>
      <w:pPr>
        <w:keepNext/>
        <w:tabs>
          <w:tab w:val="left" w:pos="700"/>
        </w:tabs>
        <w:spacing w:after="160" w:before="240" w:line="360"/>
        <w:ind w:left="700" w:hanging="400"/>
      </w:pPr>
      <w:r>
        <w:rPr>
          <w:b/>
          <w:bCs/>
          <w:i/>
          <w:iCs/>
        </w:rPr>
        <w:t xml:space="preserve">f.	</w:t>
      </w:r>
      <w:r>
        <w:rPr>
          <w:b/>
          <w:bCs/>
          <w:i/>
          <w:iCs/>
        </w:rPr>
        <w:t xml:space="preserve">Da inexistência do dever de indenizar e da impugnação ao valor pretendido:</w:t>
      </w:r>
    </w:p>
    <w:p>
      <w:pPr>
        <w:spacing w:after="60" w:line="360"/>
        <w:ind w:firstLine="850"/>
        <w:jc w:val="both"/>
      </w:pPr>
      <w:r>
        <w:t xml:space="preserve">O método bifásico de quantificação do dano moral somente se aplica depois de reconhecido o dever de indenizar. Ele não serve para suprir a ausência de ato ilícito, afastar a imunidade parlamentar ou presumir a responsabilidade civil.</w:t>
      </w:r>
    </w:p>
    <w:p>
      <w:pPr>
        <w:spacing w:after="60" w:line="360"/>
        <w:ind w:firstLine="850"/>
        <w:jc w:val="both"/>
      </w:pPr>
      <w:r>
        <w:t xml:space="preserve">No presente caso, faltam os pressupostos antecedentes indispensáveis:</w:t>
      </w:r>
    </w:p>
    <w:p>
      <w:pPr>
        <w:pBdr>
          <w:top w:val="single" w:color="9AA0A6" w:sz="4" w:space="6"/>
        </w:pBdr>
        <w:spacing w:after="0" w:before="160" w:line="240"/>
        <w:ind w:left="2270" w:right="570"/>
        <w:jc w:val="both"/>
      </w:pPr>
      <w:r>
        <w:rPr>
          <w:i w:val="false"/>
          <w:iCs w:val="false"/>
          <w:sz w:val="18"/>
          <w:szCs w:val="18"/>
        </w:rPr>
        <w:t xml:space="preserve">1.  não foi demonstrado que as manifestações, consideradas integralmente, constituíram afirmações criminosas categóricas;</w:t>
      </w:r>
    </w:p>
    <w:p>
      <w:pPr>
        <w:spacing w:after="0" w:before="0" w:line="240"/>
        <w:ind w:left="2270" w:right="570"/>
        <w:jc w:val="both"/>
      </w:pPr>
      <w:r>
        <w:rPr>
          <w:i w:val="false"/>
          <w:iCs w:val="false"/>
          <w:sz w:val="18"/>
          <w:szCs w:val="18"/>
        </w:rPr>
        <w:t xml:space="preserve">2.  a maior parte das falas foi proferida na tribuna da Câmara Municipal, em sessão legislativa;</w:t>
      </w:r>
    </w:p>
    <w:p>
      <w:pPr>
        <w:spacing w:after="0" w:before="0" w:line="240"/>
        <w:ind w:left="2270" w:right="570"/>
        <w:jc w:val="both"/>
      </w:pPr>
      <w:r>
        <w:rPr>
          <w:i w:val="false"/>
          <w:iCs w:val="false"/>
          <w:sz w:val="18"/>
          <w:szCs w:val="18"/>
        </w:rPr>
        <w:t xml:space="preserve">3.  os temas discutidos guardam pertinência com a fiscalização municipal;</w:t>
      </w:r>
    </w:p>
    <w:p>
      <w:pPr>
        <w:spacing w:after="0" w:before="0" w:line="240"/>
        <w:ind w:left="2270" w:right="570"/>
        <w:jc w:val="both"/>
      </w:pPr>
      <w:r>
        <w:rPr>
          <w:i w:val="false"/>
          <w:iCs w:val="false"/>
          <w:sz w:val="18"/>
          <w:szCs w:val="18"/>
        </w:rPr>
        <w:t xml:space="preserve">4.  existia base factual objetiva e contemporânea para os questionamentos;</w:t>
      </w:r>
    </w:p>
    <w:p>
      <w:pPr>
        <w:spacing w:after="0" w:before="0" w:line="240"/>
        <w:ind w:left="2270" w:right="570"/>
        <w:jc w:val="both"/>
      </w:pPr>
      <w:r>
        <w:rPr>
          <w:i w:val="false"/>
          <w:iCs w:val="false"/>
          <w:sz w:val="18"/>
          <w:szCs w:val="18"/>
        </w:rPr>
        <w:t xml:space="preserve">5.  o arquivamento do inquérito ocorreu posteriormente às falas;</w:t>
      </w:r>
    </w:p>
    <w:p>
      <w:pPr>
        <w:spacing w:after="0" w:before="0" w:line="240"/>
        <w:ind w:left="2270" w:right="570"/>
        <w:jc w:val="both"/>
      </w:pPr>
      <w:r>
        <w:rPr>
          <w:i w:val="false"/>
          <w:iCs w:val="false"/>
          <w:sz w:val="18"/>
          <w:szCs w:val="18"/>
        </w:rPr>
        <w:t xml:space="preserve">6.  não há demonstração de que o Réu conhecesse previamente a origem lícita dos valores;</w:t>
      </w:r>
    </w:p>
    <w:p>
      <w:pPr>
        <w:spacing w:after="0" w:before="0" w:line="240"/>
        <w:ind w:left="2270" w:right="570"/>
        <w:jc w:val="both"/>
      </w:pPr>
      <w:r>
        <w:rPr>
          <w:i w:val="false"/>
          <w:iCs w:val="false"/>
          <w:sz w:val="18"/>
          <w:szCs w:val="18"/>
        </w:rPr>
        <w:t xml:space="preserve">7.  a divulgação em rede social não afasta, por si só, a imunidade material;</w:t>
      </w:r>
    </w:p>
    <w:p>
      <w:pPr>
        <w:pBdr>
          <w:bottom w:val="single" w:color="9AA0A6" w:sz="4" w:space="6"/>
        </w:pBdr>
        <w:spacing w:after="200" w:before="0" w:line="240"/>
        <w:ind w:left="2270" w:right="570"/>
        <w:jc w:val="both"/>
      </w:pPr>
      <w:r>
        <w:rPr>
          <w:i w:val="false"/>
          <w:iCs w:val="false"/>
          <w:sz w:val="18"/>
          <w:szCs w:val="18"/>
        </w:rPr>
        <w:t xml:space="preserve">8.  as alegadas lesões próprias de familiares não podem ser indenizadas em favor do Autor.</w:t>
      </w:r>
    </w:p>
    <w:p>
      <w:pPr>
        <w:spacing w:after="60" w:line="360"/>
        <w:ind w:firstLine="850"/>
        <w:jc w:val="both"/>
      </w:pPr>
      <w:r>
        <w:t xml:space="preserve">A inicial qualifica como “dolo intenso e confessado” a passagem na qual o Réu afirmou que poderia estar cometendo injúria. Entretanto, a expressão deve ser interpretada dentro da sequência integral do discurso. Isoladamente, ela não representa confissão de falsidade ou intenção de ofender, podendo, ao contrário, revelar cautela do orador diante de fatos ainda não esclarecidos e consciência da necessidade de apuração.</w:t>
      </w:r>
    </w:p>
    <w:p>
      <w:pPr>
        <w:spacing w:after="60" w:line="360"/>
        <w:ind w:firstLine="850"/>
        <w:jc w:val="both"/>
      </w:pPr>
      <w:r>
        <w:t xml:space="preserve">Igualmente não se pode presumir a repercussão danosa apenas pelo fato de os vídeos terem sido publicados na internet. Alcance potencial não se confunde com alcance efetivo, e a inicial não demonstra, de forma individualizada, a correspondência entre cada arquivo, link, data, publicação, trecho transcrito e repercussão alegada.</w:t>
      </w:r>
    </w:p>
    <w:p>
      <w:pPr>
        <w:spacing w:after="60" w:line="360"/>
        <w:ind w:firstLine="850"/>
        <w:jc w:val="both"/>
      </w:pPr>
      <w:r>
        <w:t xml:space="preserve">O montante de R$ 60.000,00 foi construído a partir de qualificações unilaterais (“gravíssimas”, “dolo intenso”, “absoluta temeridade” e “quase inédita”) sem demonstração concreta da extensão do dano. A condição de Chefe do Executivo não autoriza elevar automaticamente a indenização; ao contrário, evidencia a sujeição do Autor a controle político e escrutínio público mais rigorosos.</w:t>
      </w:r>
    </w:p>
    <w:p>
      <w:pPr>
        <w:spacing w:after="60" w:line="360"/>
        <w:ind w:firstLine="850"/>
        <w:jc w:val="both"/>
      </w:pPr>
      <w:r>
        <w:t xml:space="preserve">Assim, o pedido indenizatório deve ser integralmente rejeitado. Apenas subsidiariamente, caso se reconheça algum excesso específico, eventual reparação deverá restringir-se à manifestação individualizada considerada ilícita e não protegida pela imunidade, sem generalização para todos os vídeos, observando-se proporcionalidade, extensão efetivamente comprovada do dano, contexto político, ausência de condenação anterior e vedação ao enriquecimento sem causa (art. 944, parágrafo único, do Código Civil), com fixação em patamar módico.</w:t>
      </w:r>
    </w:p>
    <w:p>
      <w:pPr>
        <w:keepNext/>
        <w:tabs>
          <w:tab w:val="left" w:pos="700"/>
        </w:tabs>
        <w:spacing w:after="160" w:before="240" w:line="360"/>
        <w:ind w:left="700" w:hanging="400"/>
      </w:pPr>
      <w:r>
        <w:rPr>
          <w:b/>
          <w:bCs/>
          <w:i/>
          <w:iCs/>
        </w:rPr>
        <w:t xml:space="preserve">g.	</w:t>
      </w:r>
      <w:r>
        <w:rPr>
          <w:b/>
          <w:bCs/>
          <w:i/>
          <w:iCs/>
        </w:rPr>
        <w:t xml:space="preserve">Da impossibilidade de retratação compulsória nos termos formulados:</w:t>
      </w:r>
    </w:p>
    <w:p>
      <w:pPr>
        <w:spacing w:after="60" w:line="360"/>
        <w:ind w:firstLine="850"/>
        <w:jc w:val="both"/>
      </w:pPr>
      <w:r>
        <w:t xml:space="preserve">A retratação pretendida não constitui consequência automática do art. 944 do Código Civil nem do direito de resposta previsto no art. 5º, V, da Constituição Federal.</w:t>
      </w:r>
    </w:p>
    <w:p>
      <w:pPr>
        <w:spacing w:after="60" w:line="360"/>
        <w:ind w:firstLine="850"/>
        <w:jc w:val="both"/>
      </w:pPr>
      <w:r>
        <w:t xml:space="preserve">O pedido obriga o Réu a reconhecer genericamente a “inveracidade das imputações” e a “licitude dos valores”, sem distinguir: quais falas seriam efetivamente falsas; quais constituíram perguntas ou hipóteses; quais estavam relacionadas ao numerário; quais versavam sobre empenhos, contratos e despesas diferentes; e quais manifestações estariam protegidas pela imunidade parlamentar.</w:t>
      </w:r>
    </w:p>
    <w:p>
      <w:pPr>
        <w:spacing w:after="60" w:line="360"/>
        <w:ind w:firstLine="850"/>
        <w:jc w:val="both"/>
      </w:pPr>
      <w:r>
        <w:t xml:space="preserve">Não se pode compelir o Réu a confessar falsidade de todo o conteúdo quando o arquivamento se limitou à origem do numerário investigado. A providência produziria declaração muito mais ampla do que a própria conclusão alcançada no inquérito.</w:t>
      </w:r>
    </w:p>
    <w:p>
      <w:pPr>
        <w:spacing w:after="60" w:line="360"/>
        <w:ind w:firstLine="850"/>
        <w:jc w:val="both"/>
      </w:pPr>
      <w:r>
        <w:t xml:space="preserve">A imposição de publicação por período equivalente ao tempo em que os vídeos permaneceram disponíveis também se mostra indeterminada e desproporcional, pois a inicial não delimita com segurança o período de cada postagem nem demonstra que todas permaneceram acessíveis pelo mesmo tempo.</w:t>
      </w:r>
    </w:p>
    <w:p>
      <w:pPr>
        <w:spacing w:after="60" w:line="360"/>
        <w:ind w:firstLine="850"/>
        <w:jc w:val="both"/>
      </w:pPr>
      <w:r>
        <w:t xml:space="preserve">Além disso, a retratação compulsória pressupõe reconhecimento judicial definitivo da ilicitude, o que não ocorreu. Ao contrário, a tutela de remoção foi indeferida diante da ausência de demonstração suficiente do excesso e do risco de restrição indevida à atividade parlamentar.</w:t>
      </w:r>
    </w:p>
    <w:p>
      <w:pPr>
        <w:spacing w:after="60" w:line="360"/>
        <w:ind w:firstLine="850"/>
        <w:jc w:val="both"/>
      </w:pPr>
      <w:r>
        <w:t xml:space="preserve">Consequentemente, a improcedência do pedido indenizatório conduz igualmente à rejeição da retratação. Subsidiariamente, qualquer providência dessa natureza somente poderia alcançar conteúdo precisamente individualizado e definitivamente reconhecido como ilícito, limitando-se à divulgação do resultado do arquivamento do inquérito quanto ao numerário apreendido, jamais impor reconhecimento genérico de falsidade ou proibição ampla de crítica política futura.</w:t>
      </w:r>
    </w:p>
    <w:p>
      <w:pPr>
        <w:shd w:fill="123BB8" w:color="auto" w:val="clear"/>
        <w:tabs>
          <w:tab w:val="left" w:pos="1000"/>
        </w:tabs>
        <w:spacing w:after="240" w:before="360" w:line="360"/>
        <w:ind w:left="0"/>
      </w:pPr>
      <w:r>
        <w:rPr>
          <w:b/>
          <w:bCs/>
          <w:i/>
          <w:iCs/>
          <w:color w:val="FFFFFF"/>
        </w:rPr>
        <w:t xml:space="preserve">	Dos pedidos.</w:t>
      </w:r>
    </w:p>
    <w:p>
      <w:pPr>
        <w:spacing w:after="60" w:line="360"/>
        <w:ind w:firstLine="850"/>
        <w:jc w:val="both"/>
      </w:pPr>
      <w:r>
        <w:t xml:space="preserve">Ante o exposto, requer a Vossa Excelência:</w:t>
      </w:r>
    </w:p>
    <w:p>
      <w:pPr>
        <w:tabs>
          <w:tab w:val="left" w:pos="1000"/>
        </w:tabs>
        <w:spacing w:after="60" w:line="360"/>
        <w:ind w:left="1000" w:hanging="400"/>
        <w:jc w:val="both"/>
      </w:pPr>
      <w:r>
        <w:t xml:space="preserve">A.	</w:t>
      </w:r>
      <w:r>
        <w:t xml:space="preserve">o reconhecimento da </w:t>
      </w:r>
      <w:r>
        <w:rPr>
          <w:b/>
          <w:bCs/>
          <w:u w:val="single"/>
          <w:shd w:fill="CFE2F3" w:color="auto" w:val="clear"/>
        </w:rPr>
        <w:t xml:space="preserve">tempestividade</w:t>
      </w:r>
      <w:r>
        <w:t xml:space="preserve"> da presente contestação, nos termos da decisão de ID 100909958 e do art. 231, I, do CPC, ou, subsidiariamente, o reconhecimento de justa causa (art. 223 do CPC);</w:t>
      </w:r>
    </w:p>
    <w:p>
      <w:pPr>
        <w:tabs>
          <w:tab w:val="left" w:pos="1000"/>
        </w:tabs>
        <w:spacing w:after="60" w:line="360"/>
        <w:ind w:left="1000" w:hanging="400"/>
        <w:jc w:val="both"/>
      </w:pPr>
      <w:r>
        <w:t xml:space="preserve">B.	</w:t>
      </w:r>
      <w:r>
        <w:t xml:space="preserve">o reconhecimento da </w:t>
      </w:r>
      <w:r>
        <w:rPr>
          <w:b/>
          <w:bCs/>
          <w:u w:val="single"/>
          <w:shd w:fill="CFE2F3" w:color="auto" w:val="clear"/>
        </w:rPr>
        <w:t xml:space="preserve">ilegitimidade ativa</w:t>
      </w:r>
      <w:r>
        <w:t xml:space="preserve"> do Autor quanto às pretensões fundadas em alegada ofensa a familiares e terceiros, com extinção do feito sem resolução do mérito nessa parte (art. 485, VI, do CPC);</w:t>
      </w:r>
    </w:p>
    <w:p>
      <w:pPr>
        <w:tabs>
          <w:tab w:val="left" w:pos="1000"/>
        </w:tabs>
        <w:spacing w:after="60" w:line="360"/>
        <w:ind w:left="1000" w:hanging="400"/>
        <w:jc w:val="both"/>
      </w:pPr>
      <w:r>
        <w:t xml:space="preserve">C.	</w:t>
      </w:r>
      <w:r>
        <w:t xml:space="preserve">o indeferimento da inicial quanto ao pedido genérico de abstenção de “novas manifestações [...] por qualquer meio” (art. 330, § 1º, II, do CPC) ou, subsidiariamente, sua rejeição no mérito;</w:t>
      </w:r>
    </w:p>
    <w:p>
      <w:pPr>
        <w:tabs>
          <w:tab w:val="left" w:pos="1000"/>
        </w:tabs>
        <w:spacing w:after="60" w:line="360"/>
        <w:ind w:left="1000" w:hanging="400"/>
        <w:jc w:val="both"/>
      </w:pPr>
      <w:r>
        <w:t xml:space="preserve">D.	</w:t>
      </w:r>
      <w:r>
        <w:t xml:space="preserve">a designação de </w:t>
      </w:r>
      <w:r>
        <w:rPr>
          <w:b/>
          <w:bCs/>
          <w:u w:val="single"/>
          <w:shd w:fill="CFE2F3" w:color="auto" w:val="clear"/>
        </w:rPr>
        <w:t xml:space="preserve">audiência de conciliação</w:t>
      </w:r>
      <w:r>
        <w:t xml:space="preserve">, nos termos dos arts. 21 e 22 da Lei nº 9.099/1995;</w:t>
      </w:r>
    </w:p>
    <w:p>
      <w:pPr>
        <w:tabs>
          <w:tab w:val="left" w:pos="1000"/>
        </w:tabs>
        <w:spacing w:after="60" w:line="360"/>
        <w:ind w:left="1000" w:hanging="400"/>
        <w:jc w:val="both"/>
      </w:pPr>
      <w:r>
        <w:t xml:space="preserve">E.	</w:t>
      </w:r>
      <w:r>
        <w:t xml:space="preserve">no mérito, o reconhecimento da </w:t>
      </w:r>
      <w:r>
        <w:rPr>
          <w:b/>
          <w:bCs/>
          <w:u w:val="single"/>
          <w:shd w:fill="CFE2F3" w:color="auto" w:val="clear"/>
        </w:rPr>
        <w:t xml:space="preserve">total improcedência</w:t>
      </w:r>
      <w:r>
        <w:t xml:space="preserve"> dos pedidos de remoção de conteúdo, abstenção, retratação e indenização por danos morais, diante da incidência da imunidade parlamentar material (art. 29, VIII, da CF) e da inexistência de ato ilícito;</w:t>
      </w:r>
    </w:p>
    <w:p>
      <w:pPr>
        <w:tabs>
          <w:tab w:val="left" w:pos="1000"/>
        </w:tabs>
        <w:spacing w:after="60" w:line="360"/>
        <w:ind w:left="1000" w:hanging="400"/>
        <w:jc w:val="both"/>
      </w:pPr>
      <w:r>
        <w:t xml:space="preserve">F.	</w:t>
      </w:r>
      <w:r>
        <w:t xml:space="preserve">subsidiariamente, caso se reconheça excesso em manifestação específica: (i) a limitação de eventual condenação à manifestação individualizada considerada ilícita e não abrangida pela imunidade; (ii) a fixação de indenização em patamar módico, observada a vedação ao enriquecimento sem causa; e (iii) a limitação de eventual retratação ao conteúdo individualizado, sem reconhecimento genérico de falsidade;</w:t>
      </w:r>
    </w:p>
    <w:p>
      <w:pPr>
        <w:tabs>
          <w:tab w:val="left" w:pos="1000"/>
        </w:tabs>
        <w:spacing w:after="60" w:line="360"/>
        <w:ind w:left="1000" w:hanging="400"/>
        <w:jc w:val="both"/>
      </w:pPr>
      <w:r>
        <w:t xml:space="preserve">G.	</w:t>
      </w:r>
      <w:r>
        <w:t xml:space="preserve">a requisição à Câmara Municipal de Miguel Alves das atas e das gravações integrais das sessões legislativas realizadas em 27/02/2026, 13/03/2026, 27/03/2026 e 09/05/2026 (art. 438, I, do CPC);</w:t>
      </w:r>
    </w:p>
    <w:p>
      <w:pPr>
        <w:tabs>
          <w:tab w:val="left" w:pos="1000"/>
        </w:tabs>
        <w:spacing w:after="60" w:line="360"/>
        <w:ind w:left="1000" w:hanging="400"/>
        <w:jc w:val="both"/>
      </w:pPr>
      <w:r>
        <w:t xml:space="preserve">H.	</w:t>
      </w:r>
      <w:r>
        <w:t xml:space="preserve">a intimação do Autor para que indique, de forma individualizada, a correspondência entre cada transcrição, URL, data e mídia juntada, prevalecendo, em caso de divergência, o teor integral das gravações.</w:t>
      </w:r>
    </w:p>
    <w:p>
      <w:pPr>
        <w:spacing w:after="0"/>
      </w:pPr>
    </w:p>
    <w:p>
      <w:pPr>
        <w:spacing w:after="60" w:line="360"/>
        <w:ind w:firstLine="850"/>
        <w:jc w:val="both"/>
      </w:pPr>
      <w:r>
        <w:t xml:space="preserve">Protesta o requerido pela produção de todos os meios de prova admitidos em direito, em especial a prova documental acostada a esta contestação, a requisição de documentos acima indicada, o depoimento pessoal do Autor e a prova testemunhal, cujo rol será oportunamente apresentado, observado o limite do art. 34 da Lei nº 9.099/1995.</w:t>
      </w:r>
    </w:p>
    <w:p>
      <w:pPr>
        <w:spacing w:after="0"/>
      </w:pPr>
    </w:p>
    <w:p>
      <w:pPr>
        <w:spacing w:after="60" w:line="360"/>
        <w:ind w:firstLine="0"/>
        <w:jc w:val="both"/>
      </w:pPr>
      <w:r>
        <w:t xml:space="preserve">Rol de documentos:</w:t>
      </w:r>
    </w:p>
    <w:p>
      <w:pPr>
        <w:spacing w:after="0" w:line="300"/>
        <w:ind w:left="850"/>
      </w:pPr>
      <w:r>
        <w:rPr>
          <w:b/>
          <w:bCs/>
          <w:sz w:val="22"/>
          <w:szCs w:val="22"/>
          <w:shd w:fill="FFF200" w:color="auto" w:val="clear"/>
        </w:rPr>
        <w:t xml:space="preserve">[Doc. 01 – Procuração (ID 105179160);]</w:t>
      </w:r>
    </w:p>
    <w:p>
      <w:pPr>
        <w:spacing w:after="0" w:line="300"/>
        <w:ind w:left="850"/>
      </w:pPr>
      <w:r>
        <w:rPr>
          <w:b/>
          <w:bCs/>
          <w:sz w:val="22"/>
          <w:szCs w:val="22"/>
          <w:shd w:fill="FFF200" w:color="auto" w:val="clear"/>
        </w:rPr>
        <w:t xml:space="preserve">[Doc. 02 – Comprovação do feriado municipal de 29/09/2026 (Lei Municipal nº 775/2013 / calendário do TJPI);]</w:t>
      </w:r>
    </w:p>
    <w:p>
      <w:pPr>
        <w:spacing w:after="0" w:line="300"/>
        <w:ind w:left="850"/>
      </w:pPr>
      <w:r>
        <w:rPr>
          <w:b/>
          <w:bCs/>
          <w:sz w:val="22"/>
          <w:szCs w:val="22"/>
          <w:shd w:fill="FFF200" w:color="auto" w:val="clear"/>
        </w:rPr>
        <w:t xml:space="preserve">[Doc. 03 – Captura do painel de expedientes do PJe com o prazo da citação;]</w:t>
      </w:r>
    </w:p>
    <w:p>
      <w:pPr>
        <w:spacing w:after="0" w:line="300"/>
        <w:ind w:left="850"/>
      </w:pPr>
      <w:r>
        <w:rPr>
          <w:b/>
          <w:bCs/>
          <w:sz w:val="22"/>
          <w:szCs w:val="22"/>
          <w:shd w:fill="FFF200" w:color="auto" w:val="clear"/>
        </w:rPr>
        <w:t xml:space="preserve">[Doc. 04 – Requerimento de 27/03/2026 e ata da respectiva sessão;]</w:t>
      </w:r>
    </w:p>
    <w:p>
      <w:pPr>
        <w:spacing w:after="0" w:line="300"/>
        <w:ind w:left="850"/>
      </w:pPr>
      <w:r>
        <w:rPr>
          <w:b/>
          <w:bCs/>
          <w:sz w:val="22"/>
          <w:szCs w:val="22"/>
          <w:shd w:fill="FFF200" w:color="auto" w:val="clear"/>
        </w:rPr>
        <w:t xml:space="preserve">[Doc. 05 – Protocolos das representações aos órgãos de controle externo;]</w:t>
      </w:r>
    </w:p>
    <w:p>
      <w:pPr>
        <w:spacing w:after="0" w:line="300"/>
        <w:ind w:left="850"/>
      </w:pPr>
      <w:r>
        <w:rPr>
          <w:b/>
          <w:bCs/>
          <w:sz w:val="22"/>
          <w:szCs w:val="22"/>
          <w:shd w:fill="FFF200" w:color="auto" w:val="clear"/>
        </w:rPr>
        <w:t xml:space="preserve">[Doc. 06 – Balancetes e notas de empenho nº 239 e 370;]</w:t>
      </w:r>
    </w:p>
    <w:p>
      <w:pPr>
        <w:spacing w:after="0" w:line="300"/>
        <w:ind w:left="850"/>
      </w:pPr>
      <w:r>
        <w:rPr>
          <w:b/>
          <w:bCs/>
          <w:sz w:val="22"/>
          <w:szCs w:val="22"/>
          <w:shd w:fill="FFF200" w:color="auto" w:val="clear"/>
        </w:rPr>
        <w:t xml:space="preserve">[Doc. 07 – Registros de pagamento dos aluguéis mencionados;]</w:t>
      </w:r>
    </w:p>
    <w:p>
      <w:pPr>
        <w:spacing w:after="0" w:line="300"/>
        <w:ind w:left="850"/>
      </w:pPr>
      <w:r>
        <w:rPr>
          <w:b/>
          <w:bCs/>
          <w:sz w:val="22"/>
          <w:szCs w:val="22"/>
          <w:shd w:fill="FFF200" w:color="auto" w:val="clear"/>
        </w:rPr>
        <w:t xml:space="preserve">[Doc. 08 – Notícias e registros públicos sobre a apreensão do numerário.]</w:t>
      </w:r>
    </w:p>
    <w:p>
      <w:pPr>
        <w:spacing w:after="0"/>
      </w:pPr>
    </w:p>
    <w:p>
      <w:pPr>
        <w:spacing w:after="0" w:line="360"/>
        <w:jc w:val="center"/>
      </w:pPr>
      <w:r>
        <w:t xml:space="preserve">Nestes termos,</w:t>
      </w:r>
    </w:p>
    <w:p>
      <w:pPr>
        <w:spacing w:after="0" w:line="360"/>
        <w:jc w:val="center"/>
      </w:pPr>
      <w:r>
        <w:t xml:space="preserve">Pede deferimento.</w:t>
      </w:r>
    </w:p>
    <w:p>
      <w:pPr>
        <w:spacing w:after="0"/>
      </w:pPr>
    </w:p>
    <w:p>
      <w:pPr>
        <w:spacing w:after="0" w:line="360"/>
        <w:jc w:val="center"/>
      </w:pPr>
      <w:r>
        <w:t xml:space="preserve">Miguel Alves-PI, datado eletronicamente.</w:t>
      </w:r>
    </w:p>
    <w:p>
      <w:pPr>
        <w:spacing w:after="0"/>
      </w:pPr>
    </w:p>
    <w:p>
      <w:pPr>
        <w:spacing w:after="0" w:line="360"/>
        <w:jc w:val="center"/>
      </w:pPr>
      <w:r>
        <w:rPr>
          <w:b/>
          <w:bCs/>
        </w:rPr>
        <w:t xml:space="preserve">ANTÔNIO DE PÁDUA SANTOS NETO</w:t>
      </w:r>
    </w:p>
    <w:p>
      <w:pPr>
        <w:spacing w:after="0" w:line="360"/>
        <w:jc w:val="center"/>
      </w:pPr>
      <w:r>
        <w:rPr>
          <w:b/>
          <w:bCs/>
        </w:rPr>
        <w:t xml:space="preserve">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 Ely Sandro Vaz e Silva</dc:title>
  <dc:creator>Antônio de Pádua Santos Neto</dc:creator>
  <cp:lastModifiedBy>Un-named</cp:lastModifiedBy>
  <cp:revision>1</cp:revision>
  <dcterms:created xsi:type="dcterms:W3CDTF">2026-10-02T14:56:39.925Z</dcterms:created>
  <dcterms:modified xsi:type="dcterms:W3CDTF">2026-10-02T14:56:39.925Z</dcterms:modified>
</cp:coreProperties>
</file>

<file path=docProps/custom.xml><?xml version="1.0" encoding="utf-8"?>
<Properties xmlns="http://schemas.openxmlformats.org/officeDocument/2006/custom-properties" xmlns:vt="http://schemas.openxmlformats.org/officeDocument/2006/docPropsVTypes"/>
</file>