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AO(À) SENHOR(A) SECRETÁRIO(A) RESPONSÁVEL DO MUNICÍPIO DE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pedido de interdição temporária de via e de autorização de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REQUERER</w:t>
      </w:r>
      <w:r>
        <w:t xml:space="preserve">, nos termos dos arts. 24 e 95 do Código de Trânsito Brasileiro, do art. 30, I, da Constituição Federal e dos arts. 89 e 114 do Código de Posturas do Município (Lei Municipal nº 592/1995), autorização e apoio para a interdição temporária de via e para a realização de carreata, em razão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 (Plus Code R493+M8), com palco na pista, som e apresentação de bandas;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Interdição requerida:</w:t>
      </w:r>
      <w:r>
        <w:t xml:space="preserve"> Avenida Marcos Furtado, em frente ao estádio, a partir das 12h00 de hoje, 29/10/2026, até a retirada do palco, às 14h00 de 31/10/2026, abrangendo montagem, evento e desmontagem; subsidiariamente, interdição parcial, com corredor livre permanente para veículos de emergência;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Secretaria e com a Polícia Militar,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segurança privada contratada e policiamento ostensivo solicitado à Polícia Militar;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Sinalização e divulgação:</w:t>
      </w:r>
      <w:r>
        <w:t xml:space="preserve"> a cargo do Requerente (art. 95, § 1º, do CTB), com sinalização vermelha de dia e luminosa à noite (art. 89, parágrafo único, do Código de Posturas) e ampla divulgação dos desvios à população;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Contato:</w:t>
      </w:r>
      <w:r>
        <w:t xml:space="preserve"> (86) 9 7400-9869 (advogado) e paduanetojus@gmail.com.</w:t>
      </w:r>
    </w:p>
    <w:p>
      <w:pPr>
        <w:spacing w:after="60" w:line="360"/>
        <w:ind w:firstLine="850"/>
        <w:jc w:val="both"/>
      </w:pPr>
      <w:r>
        <w:t xml:space="preserve">Por se tratar de trecho urbano de rodovia estadual, a autorização para o fechamento foi requerida também ao DER/PI (art. 21 do CTB). Solicita, assim, a autorização da carreata nas vias municipais e da interdição no que couber ao Município – inclusive diretamente, caso haja convênio de delegação com o Estado (art. 25 do CTB) –, o apoio de agentes e de material de sinalização para o bloqueio e os desvios, e a apreciação em </w:t>
      </w:r>
      <w:r>
        <w:rPr>
          <w:b/>
          <w:bCs/>
        </w:rPr>
        <w:t xml:space="preserve">regime de urgência</w:t>
      </w:r>
      <w:r>
        <w:t xml:space="preserve">, com decisão ainda na manhã de hoje, 29/10/2026,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29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interdição ao Município - evento 30-10-2026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