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ind w:firstLine="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EXCELENTÍSSIMO SENHOR DOUTOR JUIZ DE DIREITO DA VARA ÚNICA DA COMARCA DE MIGUEL ALVES-PI.</w:t>
      </w:r>
    </w:p>
    <w:p>
      <w:pPr>
        <w:spacing w:after="0"/>
      </w:pPr>
    </w:p>
    <w:p>
      <w:pPr>
        <w:spacing w:after="60" w:line="360"/>
        <w:ind w:firstLine="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Processo nº 0801581-45.2026.8.18.0061</w:t>
      </w:r>
    </w:p>
    <w:p>
      <w:pPr>
        <w:spacing w:after="0"/>
      </w:pPr>
    </w:p>
    <w:p>
      <w:pPr>
        <w:spacing w:after="60" w:line="360"/>
        <w:ind w:firstLine="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CICERO DA SILVA, inscrito no CPF sob o nº 053.884.853-74, com endereço na Mata Fria, SN, Casa, Matadouro, Miguel Alves/PI, CEP 64130-000, por meio de seu advogado, ANTÔNIO DE PÁDUA SANTOS NETO, advogado, inscrito nos quadros da OAB-PI sob o nº 21.320, constituído mediante procuração em anexo, cujo endereço físico está situado na Rua Rio Grande do Sul, nº 1641, Bairro São Miguel, Miguel Alves-PI, CEP nº: 64.130-000 e eletrônico: paduanetojus@gmail.com, à presença de Vossa Excelência, apresentar defesa sob a forma de C O N T E S T A Ç Ã O, nos autos da AÇÃO DE BUSCA E APREENSÃO em epígrafe, ajuizada por BANCO ITAÚ UNIBANCO HOLDING S/A, nos termos da legislação processual em vigor, com base nos fundamentos fáticos e jurídicos a seguir aduzidos.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rFonts w:ascii="Lora Medium" w:cs="Lora Medium" w:eastAsia="Lora Medium" w:hAnsi="Lora Medium"/>
          <w:b/>
          <w:bCs/>
          <w:i/>
          <w:iCs/>
          <w:color w:val="FFFFFF"/>
          <w:sz w:val="24"/>
          <w:szCs w:val="24"/>
        </w:rPr>
        <w:t xml:space="preserve">	Síntese da demanda.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O autor afirma que as partes celebraram, em 16/11/2023, a Cédula de Crédito Bancário nº 648892693/30410, para pagamento em 48 parcelas mensais de R$ 2.451,48, garantida por alienação fiduciária do veículo FIAT/Strada Volcano CD 1.3, placa SLR7E65, e que o requerido deixou de pagar a parcela nº 22, vencida em 16/09/2025, o que teria acarretado o vencimento antecipado da dívida, estimada em R$ 33.128,08 (ID 104144950).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Com a inicial, juntou notificação extrajudicial postada em 20/04/2026 que </w:t>
      </w:r>
      <w:r>
        <w:rPr>
          <w:rFonts w:ascii="Lora Medium" w:cs="Lora Medium" w:eastAsia="Lora Medium" w:hAnsi="Lora Medium"/>
          <w:b/>
          <w:bCs/>
          <w:sz w:val="24"/>
          <w:szCs w:val="24"/>
          <w:u w:val="single"/>
          <w:shd w:fill="CFE2F3" w:color="auto" w:val="clear"/>
        </w:rPr>
        <w:t xml:space="preserve">não foi entregue ao destinatário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: o rastreamento registra “objeto não localizado no fluxo postal”, e o aviso de recebimento retornou com a anotação “Outros – Entrega Bloqueada”, sem nenhuma tentativa de entrega (ID 104144958).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Por essa razão, o Juízo </w:t>
      </w:r>
      <w:r>
        <w:rPr>
          <w:rFonts w:ascii="Lora Medium" w:cs="Lora Medium" w:eastAsia="Lora Medium" w:hAnsi="Lora Medium"/>
          <w:b/>
          <w:bCs/>
          <w:sz w:val="24"/>
          <w:szCs w:val="24"/>
          <w:u w:val="single"/>
          <w:shd w:fill="CFE2F3" w:color="auto" w:val="clear"/>
        </w:rPr>
        <w:t xml:space="preserve">indeferiu a liminar de busca e apreensão, por ausência de demonstração válida da constituição em mora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, e determinou a intimação do autor para emendar a inicial, no prazo improrrogável de 15 dias, comprovando a regular constituição em mora no endereço contratual, sob pena de indeferimento (ID 104149902).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O autor não emendou a inicial. Limitou-se a pedir reconsideração (ID 104512573) e a interpor o Agravo de Instrumento nº 0765096-35.2026.8.18.0000 (ID 105513979), tendo este Juízo mantido a decisão agravada (ID 106501397).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Em síntese, é o que consta dos autos.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rFonts w:ascii="Lora Medium" w:cs="Lora Medium" w:eastAsia="Lora Medium" w:hAnsi="Lora Medium"/>
          <w:b/>
          <w:bCs/>
          <w:i/>
          <w:iCs/>
          <w:color w:val="FFFFFF"/>
          <w:sz w:val="24"/>
          <w:szCs w:val="24"/>
        </w:rPr>
        <w:t xml:space="preserve">	Preliminares.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rFonts w:ascii="Lora Medium" w:cs="Lora Medium" w:eastAsia="Lora Medium" w:hAnsi="Lora Medium"/>
          <w:b/>
          <w:bCs/>
          <w:i/>
          <w:iCs/>
          <w:sz w:val="24"/>
          <w:szCs w:val="24"/>
        </w:rPr>
        <w:t xml:space="preserve">a.	Da tempestividade: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O requerido ainda não foi citado. Comparece espontaneamente aos autos, o que supre a citação, e apresenta, no mesmo ato, a presente contestação (arts. 239, § 1º, e 335 do CPC), sendo, portanto, tempestiva.</w:t>
      </w:r>
    </w:p>
    <w:p>
      <w:pPr>
        <w:pBdr>
          <w:top w:val="single" w:color="9AA0A6" w:sz="4" w:space="6"/>
        </w:pBdr>
        <w:spacing w:after="0" w:before="160" w:line="240"/>
        <w:ind w:left="2270" w:right="570"/>
        <w:jc w:val="both"/>
      </w:pPr>
      <w:r>
        <w:rPr>
          <w:rFonts w:ascii="Lora Medium" w:cs="Lora Medium" w:eastAsia="Lora Medium" w:hAnsi="Lora Medium"/>
          <w:b/>
          <w:bCs/>
          <w:i/>
          <w:iCs/>
          <w:sz w:val="18"/>
          <w:szCs w:val="18"/>
        </w:rPr>
        <w:t xml:space="preserve">Art. 239. (...)</w:t>
      </w:r>
    </w:p>
    <w:p>
      <w:pPr>
        <w:pBdr>
          <w:bottom w:val="single" w:color="9AA0A6" w:sz="4" w:space="6"/>
        </w:pBdr>
        <w:spacing w:after="200" w:before="0" w:line="240"/>
        <w:ind w:left="2270" w:right="570"/>
        <w:jc w:val="both"/>
      </w:pPr>
      <w:r>
        <w:rPr>
          <w:rFonts w:ascii="Lora Medium" w:cs="Lora Medium" w:eastAsia="Lora Medium" w:hAnsi="Lora Medium"/>
          <w:b/>
          <w:bCs/>
          <w:i/>
          <w:iCs/>
          <w:sz w:val="18"/>
          <w:szCs w:val="18"/>
        </w:rPr>
        <w:t xml:space="preserve">§ 1º O comparecimento espontâneo do réu ou do executado supre a falta ou a nulidade da citação, fluindo a partir desta data o prazo para apresentação de contestação ou de embargos à execução.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rFonts w:ascii="Lora Medium" w:cs="Lora Medium" w:eastAsia="Lora Medium" w:hAnsi="Lora Medium"/>
          <w:b/>
          <w:bCs/>
          <w:i/>
          <w:iCs/>
          <w:sz w:val="24"/>
          <w:szCs w:val="24"/>
        </w:rPr>
        <w:t xml:space="preserve">b.	Da gratuidade da justiça: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O requerido declara não possuir condições de arcar com as custas processuais e os honorários advocatícios sem prejuízo do próprio sustento e do de sua família, conforme declaração anexa, razão pela qual requer a concessão dos benefícios da gratuidade da justiça (arts. 98 e 99, § 3º, do CPC).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rFonts w:ascii="Lora Medium" w:cs="Lora Medium" w:eastAsia="Lora Medium" w:hAnsi="Lora Medium"/>
          <w:b/>
          <w:bCs/>
          <w:i/>
          <w:iCs/>
          <w:sz w:val="24"/>
          <w:szCs w:val="24"/>
        </w:rPr>
        <w:t xml:space="preserve">c.	Do Juízo 100% Digital: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Em atenção à ressalva constante da decisão de ID 104149902, o requerido informa que não se opõe à tramitação do feito sob o rito do Juízo 100% Digital, requerendo que as intimações sejam dirigidas ao seu advogado, inclusive pelo endereço eletrônico paduanetojus@gmail.com.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rFonts w:ascii="Lora Medium" w:cs="Lora Medium" w:eastAsia="Lora Medium" w:hAnsi="Lora Medium"/>
          <w:b/>
          <w:bCs/>
          <w:i/>
          <w:iCs/>
          <w:sz w:val="24"/>
          <w:szCs w:val="24"/>
        </w:rPr>
        <w:t xml:space="preserve">d.	Da ausência de comprovação da mora – falta de pressuposto da ação: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A comprovação da mora é requisito indispensável ao ajuizamento e ao processamento da ação de busca e apreensão fundada em alienação fiduciária, nos termos do art. 2º, § 2º, e do art. 3º do Decreto-Lei nº 911/1969, conforme pacificado pelo Superior Tribunal de Justiça:</w:t>
      </w:r>
    </w:p>
    <w:p>
      <w:pPr>
        <w:pBdr>
          <w:top w:val="single" w:color="9AA0A6" w:sz="4" w:space="6"/>
          <w:bottom w:val="single" w:color="9AA0A6" w:sz="4" w:space="6"/>
        </w:pBdr>
        <w:spacing w:after="200" w:before="160" w:line="240"/>
        <w:ind w:left="2270" w:right="570"/>
        <w:jc w:val="both"/>
      </w:pPr>
      <w:r>
        <w:rPr>
          <w:rFonts w:ascii="Lora Medium" w:cs="Lora Medium" w:eastAsia="Lora Medium" w:hAnsi="Lora Medium"/>
          <w:b/>
          <w:bCs/>
          <w:i/>
          <w:iCs/>
          <w:sz w:val="18"/>
          <w:szCs w:val="18"/>
        </w:rPr>
        <w:t xml:space="preserve">Súmula 72 do STJ: A comprovação da mora é imprescindível à busca e apreensão do bem alienado fiduciariamente.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No caso, a única notificação apresentada </w:t>
      </w:r>
      <w:r>
        <w:rPr>
          <w:rFonts w:ascii="Lora Medium" w:cs="Lora Medium" w:eastAsia="Lora Medium" w:hAnsi="Lora Medium"/>
          <w:b/>
          <w:bCs/>
          <w:sz w:val="24"/>
          <w:szCs w:val="24"/>
          <w:u w:val="single"/>
          <w:shd w:fill="CFE2F3" w:color="auto" w:val="clear"/>
        </w:rPr>
        <w:t xml:space="preserve">nunca chegou ao endereço do requerido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. O objeto postal se perdeu no fluxo interno dos Correios (“objeto não localizado no fluxo postal”), e o aviso de recebimento retornou com a anotação “Entrega Bloqueada”, </w:t>
      </w:r>
      <w:r>
        <w:rPr>
          <w:rFonts w:ascii="Lora Medium" w:cs="Lora Medium" w:eastAsia="Lora Medium" w:hAnsi="Lora Medium"/>
          <w:b/>
          <w:bCs/>
          <w:sz w:val="24"/>
          <w:szCs w:val="24"/>
          <w:u w:val="single"/>
          <w:shd w:fill="CFE2F3" w:color="auto" w:val="clear"/>
        </w:rPr>
        <w:t xml:space="preserve">sem registro de qualquer tentativa de entrega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 (ID 104144958, págs. 2 e 3).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O Tema 1.132 do STJ dispensa a prova do recebimento quando a notificação é enviada ao endereço do contrato, mas pressupõe que a correspondência tenha efetivamente seguido ao destino. Como bem distinguiu este Juízo, a hipótese dos autos é diversa: o objeto postal sequer concluiu seu percurso logístico, o que afasta a presunção de entrega e impede concluir que o devedor foi cientificado da mora (ID 104149902, pág. 3).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Registre-se que o próprio autor, ao pedir reconsideração, invocou precedentes relativos a notificações devolvidas com a anotação “não procurado” (ID 104512573), situação que não corresponde à dos autos, e, no agravo, afirmou que a carta retornou com a informação “outros”, sem enfrentar o extravio do objeto (ID 105513992).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Ausente a comprovação da mora, falta pressuposto de constituição e de desenvolvimento válido e regular do processo, impondo-se a </w:t>
      </w:r>
      <w:r>
        <w:rPr>
          <w:rFonts w:ascii="Lora Medium" w:cs="Lora Medium" w:eastAsia="Lora Medium" w:hAnsi="Lora Medium"/>
          <w:b/>
          <w:bCs/>
          <w:sz w:val="24"/>
          <w:szCs w:val="24"/>
          <w:u w:val="single"/>
          <w:shd w:fill="CFE2F3" w:color="auto" w:val="clear"/>
        </w:rPr>
        <w:t xml:space="preserve">extinção do feito sem resolução do mérito, nos termos do art. 485, IV, do CPC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rFonts w:ascii="Lora Medium" w:cs="Lora Medium" w:eastAsia="Lora Medium" w:hAnsi="Lora Medium"/>
          <w:b/>
          <w:bCs/>
          <w:i/>
          <w:iCs/>
          <w:sz w:val="24"/>
          <w:szCs w:val="24"/>
        </w:rPr>
        <w:t xml:space="preserve">e.	Do não atendimento da determinação de emenda – indeferimento da inicial: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Intimado para, no prazo improrrogável de 15 dias, emendar a inicial comprovando a regular constituição em mora, sob pena de indeferimento (ID 104149902), o autor </w:t>
      </w:r>
      <w:r>
        <w:rPr>
          <w:rFonts w:ascii="Lora Medium" w:cs="Lora Medium" w:eastAsia="Lora Medium" w:hAnsi="Lora Medium"/>
          <w:b/>
          <w:bCs/>
          <w:sz w:val="24"/>
          <w:szCs w:val="24"/>
          <w:u w:val="single"/>
          <w:shd w:fill="CFE2F3" w:color="auto" w:val="clear"/>
        </w:rPr>
        <w:t xml:space="preserve">não juntou nova notificação nem qualquer outro documento apto a comprovar a mora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. Tomou ciência da decisão, no máximo, em 10/09/2026, quando pediu sua reconsideração (ID 104512573), de modo que o prazo se esgotou sem cumprimento da diligência.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A interposição de agravo de instrumento não suspende a eficácia da decisão recorrida nem o prazo nela fixado (art. 995 do CPC), e não há notícia de concessão de efeito suspensivo. Aplica-se, assim, o parágrafo único do art. 321 do CPC:</w:t>
      </w:r>
    </w:p>
    <w:p>
      <w:pPr>
        <w:pBdr>
          <w:top w:val="single" w:color="9AA0A6" w:sz="4" w:space="6"/>
          <w:bottom w:val="single" w:color="9AA0A6" w:sz="4" w:space="6"/>
        </w:pBdr>
        <w:spacing w:after="200" w:before="160" w:line="240"/>
        <w:ind w:left="2270" w:right="570"/>
        <w:jc w:val="both"/>
      </w:pPr>
      <w:r>
        <w:rPr>
          <w:rFonts w:ascii="Lora Medium" w:cs="Lora Medium" w:eastAsia="Lora Medium" w:hAnsi="Lora Medium"/>
          <w:b/>
          <w:bCs/>
          <w:i/>
          <w:iCs/>
          <w:sz w:val="18"/>
          <w:szCs w:val="18"/>
        </w:rPr>
        <w:t xml:space="preserve">Art. 321. (...) Parágrafo único. Se o autor não cumprir a diligência, o juiz indeferirá a petição inicial.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Requer-se, portanto, o </w:t>
      </w:r>
      <w:r>
        <w:rPr>
          <w:rFonts w:ascii="Lora Medium" w:cs="Lora Medium" w:eastAsia="Lora Medium" w:hAnsi="Lora Medium"/>
          <w:b/>
          <w:bCs/>
          <w:sz w:val="24"/>
          <w:szCs w:val="24"/>
          <w:u w:val="single"/>
          <w:shd w:fill="CFE2F3" w:color="auto" w:val="clear"/>
        </w:rPr>
        <w:t xml:space="preserve">indeferimento da petição inicial e a extinção do processo sem resolução do mérito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, nos termos dos arts. 321, parágrafo único, e 485, I, do CPC.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rFonts w:ascii="Lora Medium" w:cs="Lora Medium" w:eastAsia="Lora Medium" w:hAnsi="Lora Medium"/>
          <w:b/>
          <w:bCs/>
          <w:i/>
          <w:iCs/>
          <w:color w:val="FFFFFF"/>
          <w:sz w:val="24"/>
          <w:szCs w:val="24"/>
        </w:rPr>
        <w:t xml:space="preserve">	Dos fatos: o pagamento da parcela que o autor diz estar em aberto.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Mais do que a falta de notificação válida, há um fato que o autor omitiu na inicial: </w:t>
      </w:r>
      <w:r>
        <w:rPr>
          <w:rFonts w:ascii="Lora Medium" w:cs="Lora Medium" w:eastAsia="Lora Medium" w:hAnsi="Lora Medium"/>
          <w:b/>
          <w:bCs/>
          <w:sz w:val="24"/>
          <w:szCs w:val="24"/>
          <w:u w:val="single"/>
          <w:shd w:fill="CFE2F3" w:color="auto" w:val="clear"/>
        </w:rPr>
        <w:t xml:space="preserve">em 16/09/2025, exatamente no dia do vencimento da parcela nº 22, o requerido pagou ao Banco Itaucard S.A. a quantia de R$ 2.451,48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, valor exato da prestação mensal, às 13h47, por débito em sua conta poupança no Banco do Brasil [Doc. 03].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O requerido paga as prestações por meio de carnê físico, com uma folha para cada mês. Por equívoco na escolha da folha, utilizou o boleto de vencimento em 16/09/2026 (parcela nº 34), e não o de 16/09/2025 (parcela nº 22). Os dois boletos têm o mesmo dia e o mesmo mês de vencimento e o mesmo valor, e diferem apenas no ano.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O próprio extrato de financiamento juntado pelo autor confirma o fato: registra a </w:t>
      </w:r>
      <w:r>
        <w:rPr>
          <w:rFonts w:ascii="Lora Medium" w:cs="Lora Medium" w:eastAsia="Lora Medium" w:hAnsi="Lora Medium"/>
          <w:b/>
          <w:bCs/>
          <w:sz w:val="24"/>
          <w:szCs w:val="24"/>
          <w:u w:val="single"/>
          <w:shd w:fill="CFE2F3" w:color="auto" w:val="clear"/>
        </w:rPr>
        <w:t xml:space="preserve">parcela nº 34, de vencimento em 16/09/2026, como paga em 16/09/2025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 (ID 104144960, pág. 1). Ou seja, o valor ingressou no caixa do credor na data do vencimento da parcela nº 22, e o banco o apropriou como antecipação de uma prestação que só venceria doze meses depois.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O requerido </w:t>
      </w:r>
      <w:r>
        <w:rPr>
          <w:rFonts w:ascii="Lora Medium" w:cs="Lora Medium" w:eastAsia="Lora Medium" w:hAnsi="Lora Medium"/>
          <w:b/>
          <w:bCs/>
          <w:sz w:val="24"/>
          <w:szCs w:val="24"/>
          <w:u w:val="single"/>
          <w:shd w:fill="CFE2F3" w:color="auto" w:val="clear"/>
        </w:rPr>
        <w:t xml:space="preserve">nunca foi comunicado desse lançamento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. Ao contrário, seguiu pagando pontualmente todas as prestações seguintes, como demonstra o mesmo extrato (parcelas nº 23 a 33), e pagou, em 16/10/2026, já depois do ajuizamento desta ação, a </w:t>
      </w:r>
      <w:r>
        <w:rPr>
          <w:rFonts w:ascii="Lora Medium" w:cs="Lora Medium" w:eastAsia="Lora Medium" w:hAnsi="Lora Medium"/>
          <w:b/>
          <w:bCs/>
          <w:sz w:val="24"/>
          <w:szCs w:val="24"/>
          <w:u w:val="single"/>
          <w:shd w:fill="CFE2F3" w:color="auto" w:val="clear"/>
        </w:rPr>
        <w:t xml:space="preserve">parcela nº 35, que o autor recebeu normalmente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 [Doc. 05].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O quadro, portanto, é este: quando foi expedida a notificação (abril/2026) e quando a ação foi ajuizada (03/09/2026), o credor havia recebido exatamente o número de prestações vencidas, 33 de 33. O suposto inadimplemento resulta apenas da apropriação do pagamento de 16/09/2025 em prestação futura.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O requerido somente tomou conhecimento do equívoco em 23/10/2026. No mesmo dia, procurou quitar a parcela nº 22, mas </w:t>
      </w:r>
      <w:r>
        <w:rPr>
          <w:rFonts w:ascii="Lora Medium" w:cs="Lora Medium" w:eastAsia="Lora Medium" w:hAnsi="Lora Medium"/>
          <w:b/>
          <w:bCs/>
          <w:sz w:val="24"/>
          <w:szCs w:val="24"/>
          <w:u w:val="single"/>
          <w:shd w:fill="CFE2F3" w:color="auto" w:val="clear"/>
        </w:rPr>
        <w:t xml:space="preserve">o boleto correspondente não é processado e os canais oficiais do banco informam não haver boleto disponível nem contrato a renegociar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 [Docs. 07 e 08]. O credor, que cobra a dívida em juízo, não oferece meio para recebê-la.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Em sua conta poupança, o requerido mantinha, no período, saldo muito superior ao valor da parcela [Doc. 04], o que afasta qualquer suposição de que tenha deixado de pagar por falta de recursos.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rFonts w:ascii="Lora Medium" w:cs="Lora Medium" w:eastAsia="Lora Medium" w:hAnsi="Lora Medium"/>
          <w:b/>
          <w:bCs/>
          <w:i/>
          <w:iCs/>
          <w:color w:val="FFFFFF"/>
          <w:sz w:val="24"/>
          <w:szCs w:val="24"/>
        </w:rPr>
        <w:t xml:space="preserve">	Do mérito.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rFonts w:ascii="Lora Medium" w:cs="Lora Medium" w:eastAsia="Lora Medium" w:hAnsi="Lora Medium"/>
          <w:b/>
          <w:bCs/>
          <w:i/>
          <w:iCs/>
          <w:sz w:val="24"/>
          <w:szCs w:val="24"/>
        </w:rPr>
        <w:t xml:space="preserve">a.	Da inexistência de mora imputável ao devedor: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A mora do devedor pressupõe fato ou omissão a ele imputável:</w:t>
      </w:r>
    </w:p>
    <w:p>
      <w:pPr>
        <w:pBdr>
          <w:top w:val="single" w:color="9AA0A6" w:sz="4" w:space="6"/>
          <w:bottom w:val="single" w:color="9AA0A6" w:sz="4" w:space="6"/>
        </w:pBdr>
        <w:spacing w:after="200" w:before="160" w:line="240"/>
        <w:ind w:left="2270" w:right="570"/>
        <w:jc w:val="both"/>
      </w:pPr>
      <w:r>
        <w:rPr>
          <w:rFonts w:ascii="Lora Medium" w:cs="Lora Medium" w:eastAsia="Lora Medium" w:hAnsi="Lora Medium"/>
          <w:b/>
          <w:bCs/>
          <w:i/>
          <w:iCs/>
          <w:sz w:val="18"/>
          <w:szCs w:val="18"/>
        </w:rPr>
        <w:t xml:space="preserve">Art. 396 do Código Civil. Não havendo fato ou omissão imputável ao devedor, não incorre este em mora.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Não se pode imputar mora a quem, </w:t>
      </w:r>
      <w:r>
        <w:rPr>
          <w:rFonts w:ascii="Lora Medium" w:cs="Lora Medium" w:eastAsia="Lora Medium" w:hAnsi="Lora Medium"/>
          <w:b/>
          <w:bCs/>
          <w:sz w:val="24"/>
          <w:szCs w:val="24"/>
          <w:u w:val="single"/>
          <w:shd w:fill="CFE2F3" w:color="auto" w:val="clear"/>
        </w:rPr>
        <w:t xml:space="preserve">no dia do vencimento, transferiu ao credor o valor exato da prestação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, por erro escusável na escolha de uma folha do carnê emitido pelo próprio credor, e que, desde então, manteve o pagamento pontual de todas as demais parcelas. O credor não sofreu nenhum prejuízo: ao contrário, recebeu antecipadamente, desde 16/09/2025, valor que só lhe seria devido em 16/09/2026.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A mora do art. 2º, § 2º, do Decreto-Lei nº 911/1969 decorre do simples vencimento do prazo sem pagamento. Aqui, houve pagamento no vencimento, ao credor e no valor da prestação; a divergência está apenas na parcela a que o credor imputou o valor recebido. Não há, assim, o inadimplemento que autoriza o vencimento antecipado e a busca e apreensão.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rFonts w:ascii="Lora Medium" w:cs="Lora Medium" w:eastAsia="Lora Medium" w:hAnsi="Lora Medium"/>
          <w:b/>
          <w:bCs/>
          <w:i/>
          <w:iCs/>
          <w:sz w:val="24"/>
          <w:szCs w:val="24"/>
        </w:rPr>
        <w:t xml:space="preserve">b.	Da boa-fé objetiva e do dever de informação do credor: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A relação é de consumo (Súmula 297 do STJ), e ao fornecedor incumbe prestar informação adequada e clara sobre o serviço (art. 6º, III, do CDC). Ambas as partes devem guardar, na execução do contrato, os princípios de probidade e boa-fé (art. 422 do Código Civil).</w:t>
      </w:r>
    </w:p>
    <w:p>
      <w:pPr>
        <w:pBdr>
          <w:top w:val="single" w:color="9AA0A6" w:sz="4" w:space="6"/>
          <w:bottom w:val="single" w:color="9AA0A6" w:sz="4" w:space="6"/>
        </w:pBdr>
        <w:spacing w:after="200" w:before="160" w:line="240"/>
        <w:ind w:left="2270" w:right="570"/>
        <w:jc w:val="both"/>
      </w:pPr>
      <w:r>
        <w:rPr>
          <w:rFonts w:ascii="Lora Medium" w:cs="Lora Medium" w:eastAsia="Lora Medium" w:hAnsi="Lora Medium"/>
          <w:b/>
          <w:bCs/>
          <w:i/>
          <w:iCs/>
          <w:sz w:val="18"/>
          <w:szCs w:val="18"/>
        </w:rPr>
        <w:t xml:space="preserve">Art. 422 do Código Civil. Os contratantes são obrigados a guardar, assim na conclusão do contrato, como em sua execução, os princípios de probidade e boa-fé.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O credor recebeu, no dia do vencimento de uma prestação, pagamento destinado a uma prestação que só venceria um ano depois, e </w:t>
      </w:r>
      <w:r>
        <w:rPr>
          <w:rFonts w:ascii="Lora Medium" w:cs="Lora Medium" w:eastAsia="Lora Medium" w:hAnsi="Lora Medium"/>
          <w:b/>
          <w:bCs/>
          <w:sz w:val="24"/>
          <w:szCs w:val="24"/>
          <w:u w:val="single"/>
          <w:shd w:fill="CFE2F3" w:color="auto" w:val="clear"/>
        </w:rPr>
        <w:t xml:space="preserve">não comunicou o fato ao cliente em nenhum momento ao longo de mais de doze meses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. Preferiu manter a parcela nº 22 como vencida, fazer incidir encargos moratórios sobre ela (R$ 802,52 e multa de R$ 49,03, conforme ID 104144960), anotar o nome do requerido em cadastro de inadimplentes [Doc. 06] e ajuizar ação para cobrar, de uma só vez, R$ 33.128,08 e retomar o veículo.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Uma simples comunicação teria resolvido a situação em setembro de 2025. O silêncio do credor diante de um erro evidente, do qual ele próprio se beneficiava, é incompatível com os deveres de cooperação e de informação que decorrem da boa-fé objetiva.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rFonts w:ascii="Lora Medium" w:cs="Lora Medium" w:eastAsia="Lora Medium" w:hAnsi="Lora Medium"/>
          <w:b/>
          <w:bCs/>
          <w:i/>
          <w:iCs/>
          <w:sz w:val="24"/>
          <w:szCs w:val="24"/>
        </w:rPr>
        <w:t xml:space="preserve">c.	Do comportamento contraditório do credor: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O autor sustenta na inicial que todo o contrato se venceu antecipadamente. No entanto, </w:t>
      </w:r>
      <w:r>
        <w:rPr>
          <w:rFonts w:ascii="Lora Medium" w:cs="Lora Medium" w:eastAsia="Lora Medium" w:hAnsi="Lora Medium"/>
          <w:b/>
          <w:bCs/>
          <w:sz w:val="24"/>
          <w:szCs w:val="24"/>
          <w:u w:val="single"/>
          <w:shd w:fill="CFE2F3" w:color="auto" w:val="clear"/>
        </w:rPr>
        <w:t xml:space="preserve">continuou a receber as prestações mensais, inclusive a parcela nº 35, paga em 16/10/2026, depois do ajuizamento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. Trata o contrato como vigente para receber as prestações e como vencido para cobrar o saldo integral e apreender o bem.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Essa conduta contraditória (venire contra factum proprium) é vedada pela boa-fé objetiva e reforça a conclusão de que não houve inadimplemento apto a justificar o vencimento antecipado da dívida.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rFonts w:ascii="Lora Medium" w:cs="Lora Medium" w:eastAsia="Lora Medium" w:hAnsi="Lora Medium"/>
          <w:b/>
          <w:bCs/>
          <w:i/>
          <w:iCs/>
          <w:sz w:val="24"/>
          <w:szCs w:val="24"/>
        </w:rPr>
        <w:t xml:space="preserve">d.	Da recusa do credor em receber e do depósito judicial: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Ao tomar conhecimento do equívoco, o requerido tentou pagar a parcela nº 22 e não conseguiu, pois o credor não disponibiliza boleto ou outro meio de pagamento. Configura-se, a partir daí, a mora do credor:</w:t>
      </w:r>
    </w:p>
    <w:p>
      <w:pPr>
        <w:pBdr>
          <w:top w:val="single" w:color="9AA0A6" w:sz="4" w:space="6"/>
          <w:bottom w:val="single" w:color="9AA0A6" w:sz="4" w:space="6"/>
        </w:pBdr>
        <w:spacing w:after="200" w:before="160" w:line="240"/>
        <w:ind w:left="2270" w:right="570"/>
        <w:jc w:val="both"/>
      </w:pPr>
      <w:r>
        <w:rPr>
          <w:rFonts w:ascii="Lora Medium" w:cs="Lora Medium" w:eastAsia="Lora Medium" w:hAnsi="Lora Medium"/>
          <w:b/>
          <w:bCs/>
          <w:i/>
          <w:iCs/>
          <w:sz w:val="18"/>
          <w:szCs w:val="18"/>
        </w:rPr>
        <w:t xml:space="preserve">Art. 394 do Código Civil. Considera-se em mora o devedor que não efetuar o pagamento e o credor que não quiser recebê-lo no tempo, lugar e forma que a lei ou a convenção estabelecer.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Diante da recusa, o requerido </w:t>
      </w:r>
      <w:r>
        <w:rPr>
          <w:rFonts w:ascii="Lora Medium" w:cs="Lora Medium" w:eastAsia="Lora Medium" w:hAnsi="Lora Medium"/>
          <w:b/>
          <w:bCs/>
          <w:sz w:val="24"/>
          <w:szCs w:val="24"/>
          <w:u w:val="single"/>
          <w:shd w:fill="CFE2F3" w:color="auto" w:val="clear"/>
        </w:rPr>
        <w:t xml:space="preserve">deposita judicialmente o valor de R$ 2.451,48, correspondente à parcela nº 22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 [Doc. 09], valor que deverá ser levantado pelo autor, com a consequente quitação da prestação. Caso Vossa Excelência entenda devidos encargos sobre a parcela, o requerido se compromete a complementar o depósito no prazo que for fixado.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Com o depósito, não remanesce nenhuma prestação vencida e não paga, ficando demonstrada a boa-fé do requerido e a inexistência de qualquer risco ao crédito do autor, que segue garantido pela alienação fiduciária e vem sendo pago mensalmente.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rFonts w:ascii="Lora Medium" w:cs="Lora Medium" w:eastAsia="Lora Medium" w:hAnsi="Lora Medium"/>
          <w:b/>
          <w:bCs/>
          <w:i/>
          <w:iCs/>
          <w:sz w:val="24"/>
          <w:szCs w:val="24"/>
        </w:rPr>
        <w:t xml:space="preserve">e.	Da apropriação do pagamento e da inversão do ônus da prova: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O extrato do autor atribui à parcela nº 34 o valor de R$ 1.975,72 (ID 104144960), embora o requerido tenha pago R$ 2.451,48 por aquele boleto. </w:t>
      </w:r>
      <w:r>
        <w:rPr>
          <w:rFonts w:ascii="Lora Medium" w:cs="Lora Medium" w:eastAsia="Lora Medium" w:hAnsi="Lora Medium"/>
          <w:b/>
          <w:bCs/>
          <w:sz w:val="24"/>
          <w:szCs w:val="24"/>
          <w:u w:val="single"/>
          <w:shd w:fill="CFE2F3" w:color="auto" w:val="clear"/>
        </w:rPr>
        <w:t xml:space="preserve">Há, portanto, diferença de R$ 475,76 cuja destinação não foi esclarecida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: ou corresponde a crédito do requerido, ou a juros não descontados na antecipação, em afronta à cláusula 10 da Cédula de Crédito Bancário (ID 104144957) e ao art. 52, § 2º, do CDC.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Os registros de apropriação dos pagamentos estão sob o controle exclusivo do autor. Presentes a verossimilhança das alegações, comprovadas documentalmente, e a hipossuficiência técnica do consumidor, requer-se a inversão do ônus da prova (art. 6º, VIII, do CDC) e a intimação do autor para apresentar o histórico analítico de apropriação dos pagamentos do contrato, com a destinação integral do valor pago em 16/09/2025 (art. 396 do CPC).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rFonts w:ascii="Lora Medium" w:cs="Lora Medium" w:eastAsia="Lora Medium" w:hAnsi="Lora Medium"/>
          <w:b/>
          <w:bCs/>
          <w:i/>
          <w:iCs/>
          <w:color w:val="FFFFFF"/>
          <w:sz w:val="24"/>
          <w:szCs w:val="24"/>
        </w:rPr>
        <w:t xml:space="preserve">	Dos pedidos.</w:t>
      </w:r>
    </w:p>
    <w:p>
      <w:pPr>
        <w:spacing w:after="6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Ante o exposto, requer o requerido:</w:t>
      </w:r>
    </w:p>
    <w:p>
      <w:pPr>
        <w:tabs>
          <w:tab w:val="left" w:pos="700"/>
        </w:tabs>
        <w:spacing w:after="60" w:line="360"/>
        <w:ind w:left="700" w:hanging="40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A.	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a concessão dos benefícios da gratuidade da justiça;</w:t>
      </w:r>
    </w:p>
    <w:p>
      <w:pPr>
        <w:tabs>
          <w:tab w:val="left" w:pos="700"/>
        </w:tabs>
        <w:spacing w:after="60" w:line="360"/>
        <w:ind w:left="700" w:hanging="40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B.	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o indeferimento da petição inicial, por não atendimento da determinação de emenda, com a extinção do processo sem resolução do mérito, nos termos dos arts. 321, parágrafo único, e 485, I, do CPC;</w:t>
      </w:r>
    </w:p>
    <w:p>
      <w:pPr>
        <w:tabs>
          <w:tab w:val="left" w:pos="700"/>
        </w:tabs>
        <w:spacing w:after="60" w:line="360"/>
        <w:ind w:left="700" w:hanging="40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C.	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subsidiariamente, a extinção do processo sem resolução do mérito, por ausência de comprovação da mora, pressuposto da ação de busca e apreensão (Súmula 72 do STJ e art. 485, IV, do CPC);</w:t>
      </w:r>
    </w:p>
    <w:p>
      <w:pPr>
        <w:tabs>
          <w:tab w:val="left" w:pos="700"/>
        </w:tabs>
        <w:spacing w:after="60" w:line="360"/>
        <w:ind w:left="700" w:hanging="40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D.	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no mérito, caso superadas as preliminares, a improcedência dos pedidos, com o reconhecimento da inexistência de mora imputável ao requerido e da ineficácia do vencimento antecipado da dívida;</w:t>
      </w:r>
    </w:p>
    <w:p>
      <w:pPr>
        <w:tabs>
          <w:tab w:val="left" w:pos="700"/>
        </w:tabs>
        <w:spacing w:after="60" w:line="360"/>
        <w:ind w:left="700" w:hanging="40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E.	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a manutenção do indeferimento da liminar de busca e apreensão;</w:t>
      </w:r>
    </w:p>
    <w:p>
      <w:pPr>
        <w:tabs>
          <w:tab w:val="left" w:pos="700"/>
        </w:tabs>
        <w:spacing w:after="60" w:line="360"/>
        <w:ind w:left="700" w:hanging="40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F.	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o recebimento do depósito judicial de R$ 2.451,48, correspondente à parcela nº 22, com a intimação do autor para seu levantamento, valendo como quitação da referida prestação, e, caso entendidos devidos encargos, a fixação de prazo para complementação;</w:t>
      </w:r>
    </w:p>
    <w:p>
      <w:pPr>
        <w:tabs>
          <w:tab w:val="left" w:pos="700"/>
        </w:tabs>
        <w:spacing w:after="60" w:line="360"/>
        <w:ind w:left="700" w:hanging="40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G.	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a inversão do ônus da prova e a intimação do autor para exibir o histórico analítico de apropriação dos pagamentos do contrato, esclarecendo a destinação integral do valor de R$ 2.451,48 pago em 16/09/2025;</w:t>
      </w:r>
    </w:p>
    <w:p>
      <w:pPr>
        <w:tabs>
          <w:tab w:val="left" w:pos="700"/>
        </w:tabs>
        <w:spacing w:after="60" w:line="360"/>
        <w:ind w:left="700" w:hanging="40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H.	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a determinação para que o autor, após o levantamento do depósito, exclua o apontamento do nome do requerido nos cadastros de proteção ao crédito relativo à parcela nº 22;</w:t>
      </w:r>
    </w:p>
    <w:p>
      <w:pPr>
        <w:tabs>
          <w:tab w:val="left" w:pos="700"/>
        </w:tabs>
        <w:spacing w:after="60" w:line="360"/>
        <w:ind w:left="700" w:hanging="40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I.	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a condenação do autor ao pagamento das custas processuais e dos honorários advocatícios, nos termos do art. 85, § 2º, do CPC;</w:t>
      </w:r>
    </w:p>
    <w:p>
      <w:pPr>
        <w:tabs>
          <w:tab w:val="left" w:pos="700"/>
        </w:tabs>
        <w:spacing w:after="60" w:line="360"/>
        <w:ind w:left="700" w:hanging="40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J.	</w:t>
      </w: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a comunicação desta contestação e dos documentos que a instruem ao Relator do Agravo de Instrumento nº 0765096-35.2026.8.18.0000.</w:t>
      </w:r>
    </w:p>
    <w:p>
      <w:pPr>
        <w:spacing w:after="60" w:before="120" w:line="360"/>
        <w:ind w:firstLine="85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Protesta o requerido pela produção de todos os meios de prova admitidos em direito, em especial a prova documental acostada a esta contestação, a exibição de documentos acima requerida e o depoimento pessoal do representante legal do autor.</w:t>
      </w:r>
    </w:p>
    <w:p>
      <w:pPr>
        <w:spacing w:after="0"/>
      </w:pPr>
    </w:p>
    <w:p>
      <w:pPr>
        <w:keepNext/>
        <w:spacing w:after="60" w:line="360"/>
        <w:ind w:firstLine="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Rol de documentos:</w:t>
      </w:r>
    </w:p>
    <w:p>
      <w:pPr>
        <w:spacing w:after="0" w:line="360"/>
        <w:ind w:firstLine="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[Doc. 01 – Procuração;]</w:t>
      </w:r>
    </w:p>
    <w:p>
      <w:pPr>
        <w:spacing w:after="0" w:line="360"/>
        <w:ind w:firstLine="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[Doc. 02 – Declaração de hipossuficiência econômica;]</w:t>
      </w:r>
    </w:p>
    <w:p>
      <w:pPr>
        <w:spacing w:after="0" w:line="360"/>
        <w:ind w:firstLine="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[Doc. 03 – Comprovante de pagamento de 16/09/2025 – R$ 2.451,48 (Banco do Brasil);]</w:t>
      </w:r>
    </w:p>
    <w:p>
      <w:pPr>
        <w:spacing w:after="0" w:line="360"/>
        <w:ind w:firstLine="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[Doc. 04 – Extratos da conta poupança de agosto e setembro de 2025;]</w:t>
      </w:r>
    </w:p>
    <w:p>
      <w:pPr>
        <w:spacing w:after="0" w:line="360"/>
        <w:ind w:firstLine="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[Doc. 05 – Comprovante de pagamento de 16/10/2026 – parcela nº 35 – R$ 2.451,48 (Banco do Brasil);]</w:t>
      </w:r>
    </w:p>
    <w:p>
      <w:pPr>
        <w:spacing w:after="0" w:line="360"/>
        <w:ind w:firstLine="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[Doc. 06 – Consulta Serasa – apontamento referente à parcela de 16/09/2025;]</w:t>
      </w:r>
    </w:p>
    <w:p>
      <w:pPr>
        <w:spacing w:after="0" w:line="360"/>
        <w:ind w:firstLine="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[Doc. 07 – Capturas do canal oficial Itaú Renegociação (ausência de boleto disponível);]</w:t>
      </w:r>
    </w:p>
    <w:p>
      <w:pPr>
        <w:spacing w:after="0" w:line="360"/>
        <w:ind w:firstLine="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[Doc. 08 – Prova da tentativa de pagamento da parcela nº 22 em 23/10/2026 (gravação de tela / protocolo de atendimento);]</w:t>
      </w:r>
    </w:p>
    <w:p>
      <w:pPr>
        <w:spacing w:after="0" w:line="360"/>
        <w:ind w:firstLine="0"/>
        <w:jc w:val="both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[Doc. 09 – Guia e comprovante de depósito judicial – R$ 2.451,48.]</w:t>
      </w:r>
    </w:p>
    <w:p>
      <w:pPr>
        <w:keepNext/>
        <w:spacing w:after="0" w:line="360"/>
        <w:jc w:val="center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/>
      </w:r>
    </w:p>
    <w:p>
      <w:pPr>
        <w:keepNext/>
        <w:spacing w:after="0" w:line="360"/>
        <w:jc w:val="center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Nestes termos,</w:t>
      </w:r>
    </w:p>
    <w:p>
      <w:pPr>
        <w:keepNext/>
        <w:spacing w:after="0" w:line="360"/>
        <w:jc w:val="center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Pede deferimento.</w:t>
      </w:r>
    </w:p>
    <w:p>
      <w:pPr>
        <w:keepNext/>
        <w:spacing w:after="0" w:line="360"/>
        <w:jc w:val="center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/>
      </w:r>
    </w:p>
    <w:p>
      <w:pPr>
        <w:keepNext/>
        <w:spacing w:after="0" w:line="360"/>
        <w:jc w:val="center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Miguel Alves-PI, datado eletronicamente.</w:t>
      </w:r>
    </w:p>
    <w:p>
      <w:pPr>
        <w:keepNext/>
        <w:spacing w:after="0" w:line="360"/>
        <w:jc w:val="center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/>
      </w:r>
    </w:p>
    <w:p>
      <w:pPr>
        <w:keepNext/>
        <w:spacing w:after="0" w:line="360"/>
        <w:jc w:val="center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ANTÔNIO DE PÁDUA SANTOS NETO</w:t>
      </w:r>
    </w:p>
    <w:p>
      <w:pPr>
        <w:spacing w:after="0" w:line="360"/>
        <w:jc w:val="center"/>
      </w:pPr>
      <w:r>
        <w:rPr>
          <w:rFonts w:ascii="Lora Medium" w:cs="Lora Medium" w:eastAsia="Lora Medium" w:hAnsi="Lora Medium"/>
          <w:b/>
          <w:bCs/>
          <w:sz w:val="24"/>
          <w:szCs w:val="24"/>
        </w:rPr>
        <w:t xml:space="preserve">ADVOGADO - OAB/PI 21.320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rFonts w:ascii="Lora Medium" w:cs="Lora Medium" w:eastAsia="Lora Medium" w:hAnsi="Lora Medium"/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 Medium" w:cs="Lora Medium" w:eastAsia="Lora Medium" w:hAnsi="Lora Medium"/>
        <w:b/>
        <w:bCs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2026-10-27T02:41:26.049Z</dcterms:created>
  <dcterms:modified xsi:type="dcterms:W3CDTF">2026-10-27T02:41:26.049Z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