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musical. O palco será instalado na pista da avenida, em frente ao estádio, com as caixas de som voltadas para o estádio, e montado pela empresa fornecedora da estrutura;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16h30 de 30/10/2026, com o início do bloqueio da via,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início às 17h00, percurso pelas vias públicas da cidade e encerramento no local do evento, com participação livre de veículos, sem número previamente definido;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não há como estimar com precisão, por se tratar de celebração aberta e de adesão espontânea. Para fins de planejamento, considera-se que o público poderá superar 250 pessoas, razão pela qual o Requerente observa as exigências do art. 1º, § 2º, I e II,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pelas vias públicas da cidade, com apoio de agentes de trânsito e da Polícia Militar. O Requerente se compromete a seguir o trajeto que vier a ser definido ou ajustado pelo órgão de trânsito e pela Polícia Militar, caso entendam necessário, sem interdição das vias percorridas, que serão utilizadas em deslocamento contínuo.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a segurança do evento e da carreata ficará a cargo das forças de segurança pública, previamente comunicadas, com o recolhimento da taxa de segurança pública, cuja guia se requer. Tratando-se de evento gratuito e sem fins lucrativos, promovido por pessoa física, não há contratação de segurança privada. Caso a Administração a entenda indispensável, requer-se que a exigência seja fixada como condicionante, e não como motivo de indeferimento;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o laudo técnico e a Anotação de Responsabilidade Técnica (ART) do palco e das instalações elétricas serão apresentados pela empresa responsável pela montagem até as </w:t>
      </w:r>
      <w:r>
        <w:rPr>
          <w:b/>
          <w:bCs/>
          <w:shd w:fill="FFF200" w:color="auto" w:val="clear"/>
        </w:rPr>
        <w:t xml:space="preserve">[18h00]</w:t>
      </w:r>
      <w:r>
        <w:t xml:space="preserve"> de 30/10/2026, antes da liberação do local ao público. Requer-se que o alvará seja expedido com essa condicionante, de modo que a exigência seja cumprida sem inviabilizar o evento;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o croqui é exigido “quando for o caso” (art. 2º, § 1º), para localizar arquibancadas, camarotes, banheiros e barracas. O evento não terá arquibancadas, camarotes ou barracas, e a disposição do local está descrita nos itens “b” a “d” do tópico I. Caso a Administração entenda necessário, o croqui será apresentado no prazo que for fixado.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16h30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pelas vias públicas da cidade, observado o trajeto que vier a ser definido ou ajustado pelo órgão de trânsito e pela Polícia Militar,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Comunicação prévia à Polícia Militar, com protocolo.]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