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a audiência for cancelada pelo juízo antes do ato, a tese de extinção cai (TJPR distingue exatamente esse caso).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bookmarkEnd w:id="20"/>
    <w:bookmarkStart w:id="22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1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bookmarkEnd w:id="21"/>
    <w:bookmarkEnd w:id="22"/>
    <w:bookmarkStart w:id="23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bookmarkEnd w:id="23"/>
    <w:bookmarkStart w:id="24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4"/>
    <w:bookmarkStart w:id="25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Opcional, a critério do cliente:</w:t>
      </w:r>
      <w:r>
        <w:t xml:space="preserve"> </w:t>
      </w:r>
      <w:r>
        <w:t xml:space="preserve">levar uma posição mínima, não confessional (ex.: reconhecer o fato já admitido na contestação, de que o inquérito foi arquivado com reconhecimento da origem lícita do numerário), para esvaziar a tese de que a audiência seria</w:t>
      </w:r>
      <w:r>
        <w:t xml:space="preserve"> </w:t>
      </w:r>
      <w:r>
        <w:t xml:space="preserve">“</w:t>
      </w:r>
      <w:r>
        <w:t xml:space="preserve">pro forma</w:t>
      </w:r>
      <w:r>
        <w:t xml:space="preserve">”</w:t>
      </w:r>
      <w:r>
        <w:t xml:space="preserve"> </w:t>
      </w:r>
      <w:r>
        <w:t xml:space="preserve">sem proposta concreta. Não é retratação.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1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5"/>
    <w:bookmarkStart w:id="26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26"/>
    <w:bookmarkEnd w:id="27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2026-10-22T13:37:01Z</dcterms:created>
  <dcterms:modified xsi:type="dcterms:W3CDTF">2026-10-22T13:37:01Z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