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 w:after="60"/>
        <w:jc w:val="both"/>
      </w:pPr>
      <w:r>
        <w:rPr>
          <w:rFonts w:ascii="Lora Medium" w:hAnsi="Lora Medium" w:cs="Lora Medium" w:eastAsia="Lora Medium"/>
          <w:b/>
        </w:rPr>
        <w:t>EXCELENTÍSSIMO SENHOR DESEMBARGADOR FERNANDO LOPES E SILVA NETO, RELATOR DO AGRAVO DE INSTRUMENTO, DO EGRÉGIO TRIBUNAL DE JUSTIÇA DO ESTADO DO PIAUÍ.</w:t>
      </w:r>
    </w:p>
    <w:p/>
    <w:p>
      <w:pPr>
        <w:spacing w:line="360" w:lineRule="auto" w:after="0"/>
      </w:pPr>
      <w:r>
        <w:rPr>
          <w:rFonts w:ascii="Lora Medium" w:hAnsi="Lora Medium" w:cs="Lora Medium" w:eastAsia="Lora Medium"/>
          <w:b/>
        </w:rPr>
        <w:t>Agravo de Instrumento nº 0763031-67.2026.8.18.0000</w:t>
      </w:r>
    </w:p>
    <w:p>
      <w:pPr>
        <w:spacing w:line="360" w:lineRule="auto" w:after="0"/>
      </w:pPr>
      <w:r>
        <w:rPr>
          <w:rFonts w:ascii="Lora Medium" w:hAnsi="Lora Medium" w:cs="Lora Medium" w:eastAsia="Lora Medium"/>
        </w:rPr>
        <w:t>Processo de origem: 0800122-42.2025.8.18.0061 – Vara Única da Comarca de Miguel Alves/PI</w:t>
      </w:r>
    </w:p>
    <w:p>
      <w:pPr>
        <w:spacing w:line="360" w:lineRule="auto" w:after="0"/>
      </w:pPr>
      <w:r>
        <w:rPr>
          <w:rFonts w:ascii="Lora Medium" w:hAnsi="Lora Medium" w:cs="Lora Medium" w:eastAsia="Lora Medium"/>
        </w:rPr>
        <w:t>Agravante: BANCO PAN S.A.</w:t>
      </w:r>
    </w:p>
    <w:p>
      <w:pPr>
        <w:spacing w:line="360" w:lineRule="auto" w:after="60"/>
      </w:pPr>
      <w:r>
        <w:rPr>
          <w:rFonts w:ascii="Lora Medium" w:hAnsi="Lora Medium" w:cs="Lora Medium" w:eastAsia="Lora Medium"/>
        </w:rPr>
        <w:t>Agravada: FRANCISCA SOUSA DA SILVA (falecida em 16/07/2026)</w:t>
      </w:r>
    </w:p>
    <w:p/>
    <w:p>
      <w:pPr>
        <w:spacing w:line="360" w:lineRule="auto" w:after="60"/>
        <w:ind w:firstLine="850"/>
        <w:jc w:val="both"/>
      </w:pPr>
      <w:r>
        <w:rPr>
          <w:rFonts w:ascii="Lora Medium" w:hAnsi="Lora Medium" w:cs="Lora Medium" w:eastAsia="Lora Medium"/>
          <w:b/>
        </w:rPr>
        <w:t>MANOEL LOPES DA SILVA</w:t>
      </w:r>
      <w:r>
        <w:rPr>
          <w:rFonts w:ascii="Lora Medium" w:hAnsi="Lora Medium" w:cs="Lora Medium" w:eastAsia="Lora Medium"/>
        </w:rPr>
        <w:t xml:space="preserve">, cônjuge sobrevivente, e </w:t>
      </w:r>
      <w:r>
        <w:rPr>
          <w:rFonts w:ascii="Lora Medium" w:hAnsi="Lora Medium" w:cs="Lora Medium" w:eastAsia="Lora Medium"/>
          <w:b/>
        </w:rPr>
        <w:t>JAILENE SOUSA SILVA RODRIGUES</w:t>
      </w:r>
      <w:r>
        <w:rPr>
          <w:rFonts w:ascii="Lora Medium" w:hAnsi="Lora Medium" w:cs="Lora Medium" w:eastAsia="Lora Medium"/>
        </w:rPr>
        <w:t xml:space="preserve">, </w:t>
      </w:r>
      <w:r>
        <w:rPr>
          <w:rFonts w:ascii="Lora Medium" w:hAnsi="Lora Medium" w:cs="Lora Medium" w:eastAsia="Lora Medium"/>
          <w:b/>
        </w:rPr>
        <w:t>JOEL CARLOS SOUSA SILVA</w:t>
      </w:r>
      <w:r>
        <w:rPr>
          <w:rFonts w:ascii="Lora Medium" w:hAnsi="Lora Medium" w:cs="Lora Medium" w:eastAsia="Lora Medium"/>
        </w:rPr>
        <w:t xml:space="preserve">, </w:t>
      </w:r>
      <w:r>
        <w:rPr>
          <w:rFonts w:ascii="Lora Medium" w:hAnsi="Lora Medium" w:cs="Lora Medium" w:eastAsia="Lora Medium"/>
          <w:b/>
        </w:rPr>
        <w:t>GEAN CARLOS SOUSA SILVA</w:t>
      </w:r>
      <w:r>
        <w:rPr>
          <w:rFonts w:ascii="Lora Medium" w:hAnsi="Lora Medium" w:cs="Lora Medium" w:eastAsia="Lora Medium"/>
        </w:rPr>
        <w:t xml:space="preserve"> e </w:t>
      </w:r>
      <w:r>
        <w:rPr>
          <w:rFonts w:ascii="Lora Medium" w:hAnsi="Lora Medium" w:cs="Lora Medium" w:eastAsia="Lora Medium"/>
          <w:b/>
        </w:rPr>
        <w:t>JANAÍNA DE SOUSA SILVA</w:t>
      </w:r>
      <w:r>
        <w:rPr>
          <w:rFonts w:ascii="Lora Medium" w:hAnsi="Lora Medium" w:cs="Lora Medium" w:eastAsia="Lora Medium"/>
        </w:rPr>
        <w:t xml:space="preserve">, filhos, todos sucessores da agravada </w:t>
      </w:r>
      <w:r>
        <w:rPr>
          <w:rFonts w:ascii="Lora Medium" w:hAnsi="Lora Medium" w:cs="Lora Medium" w:eastAsia="Lora Medium"/>
          <w:b/>
        </w:rPr>
        <w:t>FRANCISCA SOUSA DA SILVA</w:t>
      </w:r>
      <w:r>
        <w:rPr>
          <w:rFonts w:ascii="Lora Medium" w:hAnsi="Lora Medium" w:cs="Lora Medium" w:eastAsia="Lora Medium"/>
        </w:rPr>
        <w:t xml:space="preserve"> e qualificados nas procurações anexas, vêm, respeitosamente, por intermédio de seu advogado, à presença de Vossa Excelência, com fundamento nos arts. 110, 221, 313, I, 314 e 687 a 692 do Código de Processo Civil, apresentar</w:t>
      </w:r>
    </w:p>
    <w:p/>
    <w:p>
      <w:pPr>
        <w:spacing w:line="360" w:lineRule="auto" w:after="60"/>
        <w:jc w:val="center"/>
      </w:pPr>
      <w:r>
        <w:rPr>
          <w:rFonts w:ascii="Lora Medium" w:hAnsi="Lora Medium" w:cs="Lora Medium" w:eastAsia="Lora Medium"/>
          <w:b/>
        </w:rPr>
        <w:t>COMUNICAÇÃO DE ÓBITO DA AGRAVADA COM PEDIDO DE HABILITAÇÃO DOS SUCESSORES E RESTITUIÇÃO DE PRAZO</w:t>
      </w:r>
    </w:p>
    <w:p/>
    <w:p>
      <w:pPr>
        <w:spacing w:line="360" w:lineRule="auto" w:after="60"/>
        <w:ind w:firstLine="850"/>
        <w:jc w:val="both"/>
      </w:pPr>
      <w:r>
        <w:rPr>
          <w:rFonts w:ascii="Lora Medium" w:hAnsi="Lora Medium" w:cs="Lora Medium" w:eastAsia="Lora Medium"/>
        </w:rPr>
        <w:t>pelos fatos e fundamentos a seguir expostos.</w:t>
      </w:r>
    </w:p>
    <w:p>
      <w:pPr>
        <w:keepNext/>
        <w:tabs>
          <w:tab w:pos="1000" w:val="left"/>
        </w:tabs>
        <w:spacing w:before="360" w:after="240" w:line="360" w:lineRule="auto"/>
        <w:ind w:left="0"/>
        <w:shd w:val="clear" w:color="auto" w:fill="123BB8"/>
      </w:pPr>
      <w:r>
        <w:rPr>
          <w:rFonts w:ascii="Lora Medium" w:hAnsi="Lora Medium" w:cs="Lora Medium" w:eastAsia="Lora Medium"/>
          <w:b/>
          <w:i/>
          <w:color w:val="FFFFFF"/>
        </w:rPr>
        <w:t>I.</w:t>
        <w:tab/>
        <w:t>DO ÓBITO DA AGRAVADA</w:t>
      </w:r>
    </w:p>
    <w:p>
      <w:pPr>
        <w:spacing w:line="360" w:lineRule="auto" w:after="60"/>
        <w:ind w:firstLine="850"/>
        <w:jc w:val="both"/>
      </w:pPr>
      <w:r>
        <w:rPr>
          <w:rFonts w:ascii="Lora Medium" w:hAnsi="Lora Medium" w:cs="Lora Medium" w:eastAsia="Lora Medium"/>
        </w:rPr>
        <w:t xml:space="preserve">A agravada, Sra. Francisca Sousa da Silva, </w:t>
      </w:r>
      <w:r>
        <w:rPr>
          <w:rFonts w:ascii="Lora Medium" w:hAnsi="Lora Medium" w:cs="Lora Medium" w:eastAsia="Lora Medium"/>
          <w:b/>
          <w:u w:val="single"/>
          <w:shd w:val="clear" w:color="auto" w:fill="CFE2F3"/>
        </w:rPr>
        <w:t>faleceu em 16 de julho de 2026</w:t>
      </w:r>
      <w:r>
        <w:rPr>
          <w:rFonts w:ascii="Lora Medium" w:hAnsi="Lora Medium" w:cs="Lora Medium" w:eastAsia="Lora Medium"/>
        </w:rPr>
        <w:t>, em Miguel Alves/PI, conforme certidão de óbito anexa (matrícula 149435 01 55 2026 4 00011 230 0004980 09). [Doc. 01]</w:t>
      </w:r>
    </w:p>
    <w:p>
      <w:pPr>
        <w:spacing w:line="360" w:lineRule="auto" w:after="60"/>
        <w:ind w:firstLine="850"/>
        <w:jc w:val="both"/>
      </w:pPr>
      <w:r>
        <w:rPr>
          <w:rFonts w:ascii="Lora Medium" w:hAnsi="Lora Medium" w:cs="Lora Medium" w:eastAsia="Lora Medium"/>
        </w:rPr>
        <w:t xml:space="preserve">O óbito ocorreu </w:t>
      </w:r>
      <w:r>
        <w:rPr>
          <w:rFonts w:ascii="Lora Medium" w:hAnsi="Lora Medium" w:cs="Lora Medium" w:eastAsia="Lora Medium"/>
          <w:b/>
          <w:u w:val="single"/>
          <w:shd w:val="clear" w:color="auto" w:fill="CFE2F3"/>
        </w:rPr>
        <w:t>antes da interposição deste agravo de instrumento</w:t>
      </w:r>
      <w:r>
        <w:rPr>
          <w:rFonts w:ascii="Lora Medium" w:hAnsi="Lora Medium" w:cs="Lora Medium" w:eastAsia="Lora Medium"/>
        </w:rPr>
        <w:t xml:space="preserve"> (20/08/2026) e antes da decisão monocrática que deferiu parcialmente a tutela recursal e determinou a intimação da agravada para contrarrazões (03/09/2026). Com a morte, extinguiu-se também o mandato outorgado ao advogado que a representava (art. 682, II, do Código Civil).</w:t>
      </w:r>
    </w:p>
    <w:p>
      <w:pPr>
        <w:spacing w:line="360" w:lineRule="auto" w:after="60"/>
        <w:ind w:firstLine="850"/>
        <w:jc w:val="both"/>
      </w:pPr>
      <w:r>
        <w:rPr>
          <w:rFonts w:ascii="Lora Medium" w:hAnsi="Lora Medium" w:cs="Lora Medium" w:eastAsia="Lora Medium"/>
        </w:rPr>
        <w:t>Desde então, portanto, a agravada não tinha como ser intimada nem como responder ao recurso. Nenhuma contrarrazão pôde ser apresentada em seu nome.</w:t>
      </w:r>
    </w:p>
    <w:p>
      <w:pPr>
        <w:spacing w:line="360" w:lineRule="auto" w:after="60"/>
        <w:ind w:firstLine="850"/>
        <w:jc w:val="both"/>
      </w:pPr>
      <w:r>
        <w:rPr>
          <w:rFonts w:ascii="Lora Medium" w:hAnsi="Lora Medium" w:cs="Lora Medium" w:eastAsia="Lora Medium"/>
        </w:rPr>
        <w:t xml:space="preserve">Registra-se, com pesar, que a Sra. Francisca, idosa e em tratamento contra o câncer, suportou por mais de dois anos e meio descontos indevidos em seu benefício previdenciário e faleceu </w:t>
      </w:r>
      <w:r>
        <w:rPr>
          <w:rFonts w:ascii="Lora Medium" w:hAnsi="Lora Medium" w:cs="Lora Medium" w:eastAsia="Lora Medium"/>
          <w:b/>
          <w:u w:val="single"/>
          <w:shd w:val="clear" w:color="auto" w:fill="CFE2F3"/>
        </w:rPr>
        <w:t>sem receber um único centavo</w:t>
      </w:r>
      <w:r>
        <w:rPr>
          <w:rFonts w:ascii="Lora Medium" w:hAnsi="Lora Medium" w:cs="Lora Medium" w:eastAsia="Lora Medium"/>
        </w:rPr>
        <w:t xml:space="preserve"> da condenação que o Poder Judiciário lhe reconheceu por sentença transitada em julgado. O valor está depositado em juízo e só não foi levantado em razão da resistência do agravante.</w:t>
      </w:r>
    </w:p>
    <w:p>
      <w:pPr>
        <w:keepNext/>
        <w:tabs>
          <w:tab w:pos="1000" w:val="left"/>
        </w:tabs>
        <w:spacing w:before="360" w:after="240" w:line="360" w:lineRule="auto"/>
        <w:ind w:left="0"/>
        <w:shd w:val="clear" w:color="auto" w:fill="123BB8"/>
      </w:pPr>
      <w:r>
        <w:rPr>
          <w:rFonts w:ascii="Lora Medium" w:hAnsi="Lora Medium" w:cs="Lora Medium" w:eastAsia="Lora Medium"/>
          <w:b/>
          <w:i/>
          <w:color w:val="FFFFFF"/>
        </w:rPr>
        <w:t>II.</w:t>
        <w:tab/>
        <w:t>DO DIREITO</w:t>
      </w:r>
    </w:p>
    <w:p>
      <w:pPr>
        <w:keepNext/>
        <w:tabs>
          <w:tab w:pos="700" w:val="left"/>
        </w:tabs>
        <w:spacing w:before="240" w:after="160" w:line="360" w:lineRule="auto"/>
        <w:ind w:left="700" w:hanging="400"/>
      </w:pPr>
      <w:r>
        <w:rPr>
          <w:rFonts w:ascii="Lora Medium" w:hAnsi="Lora Medium" w:cs="Lora Medium" w:eastAsia="Lora Medium"/>
          <w:b/>
          <w:i/>
        </w:rPr>
        <w:t>a.</w:t>
        <w:tab/>
        <w:t>Da suspensão do recurso e da restituição do prazo para contrarrazões:</w:t>
      </w:r>
    </w:p>
    <w:p>
      <w:pPr>
        <w:spacing w:line="360" w:lineRule="auto" w:after="60"/>
        <w:ind w:firstLine="850"/>
        <w:jc w:val="both"/>
      </w:pPr>
      <w:r>
        <w:rPr>
          <w:rFonts w:ascii="Lora Medium" w:hAnsi="Lora Medium" w:cs="Lora Medium" w:eastAsia="Lora Medium"/>
        </w:rPr>
        <w:t>A morte de qualquer das partes suspende o processo (art. 313, I, do CPC). Durante a suspensão, é vedada a prática de atos processuais, ressalvados apenas os urgentes (art. 314 do CPC), e os prazos em curso ficam suspensos, devendo ser restituídos por tempo igual ao que faltava para sua complementação (art. 221 do CPC).</w:t>
      </w:r>
    </w:p>
    <w:p>
      <w:pPr>
        <w:spacing w:before="160" w:after="200" w:line="240" w:lineRule="auto"/>
        <w:ind w:left="2270" w:right="570"/>
        <w:jc w:val="both"/>
        <w:pBdr>
          <w:top w:val="single" w:color="9AA0A6" w:sz="4" w:space="6"/>
        </w:pBdr>
      </w:pPr>
      <w:r>
        <w:rPr>
          <w:rFonts w:ascii="Lora Medium" w:hAnsi="Lora Medium" w:cs="Lora Medium" w:eastAsia="Lora Medium"/>
          <w:b/>
          <w:i/>
          <w:sz w:val="18"/>
        </w:rPr>
        <w:t>Art. 221.</w:t>
      </w:r>
      <w:r>
        <w:rPr>
          <w:rFonts w:ascii="Lora Medium" w:hAnsi="Lora Medium" w:cs="Lora Medium" w:eastAsia="Lora Medium"/>
          <w:i/>
          <w:sz w:val="18"/>
        </w:rPr>
        <w:t xml:space="preserve"> Suspende-se o curso do prazo por obstáculo criado em detrimento da parte ou ocorrendo qualquer das hipóteses do art. 313, devendo o prazo ser restituído por tempo igual ao que faltava para sua complementação.</w:t>
      </w:r>
    </w:p>
    <w:p>
      <w:pPr>
        <w:spacing w:line="360" w:lineRule="auto" w:after="60"/>
        <w:ind w:firstLine="850"/>
        <w:jc w:val="both"/>
      </w:pPr>
      <w:r>
        <w:rPr>
          <w:rFonts w:ascii="Lora Medium" w:hAnsi="Lora Medium" w:cs="Lora Medium" w:eastAsia="Lora Medium"/>
        </w:rPr>
        <w:t xml:space="preserve">No caso, a intimação para contrarrazões (art. 1.019, II, do CPC) foi dirigida a parte já falecida e a advogado sem mandato. Por isso, não produziu efeitos, e </w:t>
      </w:r>
      <w:r>
        <w:rPr>
          <w:rFonts w:ascii="Lora Medium" w:hAnsi="Lora Medium" w:cs="Lora Medium" w:eastAsia="Lora Medium"/>
          <w:b/>
          <w:u w:val="single"/>
          <w:shd w:val="clear" w:color="auto" w:fill="CFE2F3"/>
        </w:rPr>
        <w:t>o prazo para contrarrazões não chegou a correr</w:t>
      </w:r>
      <w:r>
        <w:rPr>
          <w:rFonts w:ascii="Lora Medium" w:hAnsi="Lora Medium" w:cs="Lora Medium" w:eastAsia="Lora Medium"/>
        </w:rPr>
        <w:t>. Ele deve ser integralmente aberto aos sucessores após a habilitação, sob pena de violação ao contraditório e à ampla defesa (arts. 9º e 10 do CPC e art. 5º, LV, da Constituição Federal).</w:t>
      </w:r>
    </w:p>
    <w:p>
      <w:pPr>
        <w:spacing w:line="360" w:lineRule="auto" w:after="60"/>
        <w:ind w:firstLine="850"/>
        <w:jc w:val="both"/>
      </w:pPr>
      <w:r>
        <w:rPr>
          <w:rFonts w:ascii="Lora Medium" w:hAnsi="Lora Medium" w:cs="Lora Medium" w:eastAsia="Lora Medium"/>
        </w:rPr>
        <w:t>Os sucessores também se reservam o direito de, nas contrarrazões, pedir a reconsideração da tutela recursal deferida, que foi concedida sem que a parte agravada pudesse se manifestar.</w:t>
      </w:r>
    </w:p>
    <w:p>
      <w:pPr>
        <w:keepNext/>
        <w:tabs>
          <w:tab w:pos="700" w:val="left"/>
        </w:tabs>
        <w:spacing w:before="240" w:after="160" w:line="360" w:lineRule="auto"/>
        <w:ind w:left="700" w:hanging="400"/>
      </w:pPr>
      <w:r>
        <w:rPr>
          <w:rFonts w:ascii="Lora Medium" w:hAnsi="Lora Medium" w:cs="Lora Medium" w:eastAsia="Lora Medium"/>
          <w:b/>
          <w:i/>
        </w:rPr>
        <w:t>b.</w:t>
        <w:tab/>
        <w:t>Da habilitação dos sucessores:</w:t>
      </w:r>
    </w:p>
    <w:p>
      <w:pPr>
        <w:spacing w:line="360" w:lineRule="auto" w:after="60"/>
        <w:ind w:firstLine="850"/>
        <w:jc w:val="both"/>
      </w:pPr>
      <w:r>
        <w:rPr>
          <w:rFonts w:ascii="Lora Medium" w:hAnsi="Lora Medium" w:cs="Lora Medium" w:eastAsia="Lora Medium"/>
        </w:rPr>
        <w:t>A habilitação deve ser feita nos autos do processo principal, “na instância em que estiver” (art. 689 do CPC). Os sucessores já requereram a habilitação perante o Juízo de origem, em 19/10/2026, nos autos nº 0800122-42.2025.8.18.0061 (</w:t>
      </w:r>
      <w:r>
        <w:rPr>
          <w:rFonts w:ascii="Lora Medium" w:hAnsi="Lora Medium" w:cs="Lora Medium" w:eastAsia="Lora Medium"/>
          <w:b/>
          <w:u w:val="single"/>
          <w:shd w:val="clear" w:color="auto" w:fill="CFE2F3"/>
        </w:rPr>
        <w:t>ID 107118300</w:t>
      </w:r>
      <w:r>
        <w:rPr>
          <w:rFonts w:ascii="Lora Medium" w:hAnsi="Lora Medium" w:cs="Lora Medium" w:eastAsia="Lora Medium"/>
        </w:rPr>
        <w:t>, com documentos nos IDs 107118301 a 107118325). [Doc. 04]</w:t>
      </w:r>
    </w:p>
    <w:p>
      <w:pPr>
        <w:spacing w:line="360" w:lineRule="auto" w:after="60"/>
        <w:ind w:firstLine="850"/>
        <w:jc w:val="both"/>
      </w:pPr>
      <w:r>
        <w:rPr>
          <w:rFonts w:ascii="Lora Medium" w:hAnsi="Lora Medium" w:cs="Lora Medium" w:eastAsia="Lora Medium"/>
        </w:rPr>
        <w:t>Como este recurso está em curso perante o Tribunal, requerem que a habilitação seja também deferida nestes autos, com base nos mesmos documentos, para que possam responder ao agravo sem esperar o desfecho do incidente na origem. A qualidade de sucessor de cada requerente está provada documentalmente:</w:t>
      </w:r>
    </w:p>
    <w:p>
      <w:pPr>
        <w:spacing w:line="360" w:lineRule="auto" w:after="120"/>
        <w:ind w:left="1134" w:hanging="567"/>
        <w:jc w:val="both"/>
      </w:pPr>
      <w:r>
        <w:rPr>
          <w:rFonts w:ascii="Lora Medium" w:hAnsi="Lora Medium" w:cs="Lora Medium" w:eastAsia="Lora Medium"/>
        </w:rPr>
        <w:t>a)</w:t>
        <w:tab/>
      </w:r>
      <w:r>
        <w:rPr>
          <w:rFonts w:ascii="Lora Medium" w:hAnsi="Lora Medium" w:cs="Lora Medium" w:eastAsia="Lora Medium"/>
          <w:b/>
        </w:rPr>
        <w:t>Manoel Lopes da Silva</w:t>
      </w:r>
      <w:r>
        <w:rPr>
          <w:rFonts w:ascii="Lora Medium" w:hAnsi="Lora Medium" w:cs="Lora Medium" w:eastAsia="Lora Medium"/>
        </w:rPr>
        <w:t xml:space="preserve"> é cônjuge sobrevivente, casado com a falecida desde 1976 sob o regime da comunhão de bens, e titular da meação (certidão de casamento) [Doc. 02];</w:t>
      </w:r>
    </w:p>
    <w:p>
      <w:pPr>
        <w:spacing w:line="360" w:lineRule="auto" w:after="120"/>
        <w:ind w:left="1134" w:hanging="567"/>
        <w:jc w:val="both"/>
      </w:pPr>
      <w:r>
        <w:rPr>
          <w:rFonts w:ascii="Lora Medium" w:hAnsi="Lora Medium" w:cs="Lora Medium" w:eastAsia="Lora Medium"/>
        </w:rPr>
        <w:t>b)</w:t>
        <w:tab/>
      </w:r>
      <w:r>
        <w:rPr>
          <w:rFonts w:ascii="Lora Medium" w:hAnsi="Lora Medium" w:cs="Lora Medium" w:eastAsia="Lora Medium"/>
          <w:b/>
        </w:rPr>
        <w:t>Jailene, Joel Carlos, Gean Carlos e Janaína</w:t>
      </w:r>
      <w:r>
        <w:rPr>
          <w:rFonts w:ascii="Lora Medium" w:hAnsi="Lora Medium" w:cs="Lora Medium" w:eastAsia="Lora Medium"/>
        </w:rPr>
        <w:t xml:space="preserve"> são os quatro filhos da falecida, todos maiores e capazes, conforme a certidão de óbito, as certidões de nascimento e os documentos de identidade [Docs. 01 e 03];</w:t>
      </w:r>
    </w:p>
    <w:p>
      <w:pPr>
        <w:spacing w:line="360" w:lineRule="auto" w:after="120"/>
        <w:ind w:left="1134" w:hanging="567"/>
        <w:jc w:val="both"/>
      </w:pPr>
      <w:r>
        <w:rPr>
          <w:rFonts w:ascii="Lora Medium" w:hAnsi="Lora Medium" w:cs="Lora Medium" w:eastAsia="Lora Medium"/>
        </w:rPr>
        <w:t>c)</w:t>
        <w:tab/>
        <w:t>a falecida não deixou testamento, e não há inventário aberto, de modo que a legitimidade é dos próprios herdeiros (art. 1.784 do CC e art. 110 do CPC).</w:t>
      </w:r>
    </w:p>
    <w:p>
      <w:pPr>
        <w:spacing w:line="360" w:lineRule="auto" w:after="60"/>
        <w:ind w:firstLine="850"/>
        <w:jc w:val="both"/>
      </w:pPr>
      <w:r>
        <w:rPr>
          <w:rFonts w:ascii="Lora Medium" w:hAnsi="Lora Medium" w:cs="Lora Medium" w:eastAsia="Lora Medium"/>
        </w:rPr>
        <w:t xml:space="preserve">O pedido comporta </w:t>
      </w:r>
      <w:r>
        <w:rPr>
          <w:rFonts w:ascii="Lora Medium" w:hAnsi="Lora Medium" w:cs="Lora Medium" w:eastAsia="Lora Medium"/>
          <w:b/>
          <w:u w:val="single"/>
          <w:shd w:val="clear" w:color="auto" w:fill="CFE2F3"/>
        </w:rPr>
        <w:t>julgamento imediato</w:t>
      </w:r>
      <w:r>
        <w:rPr>
          <w:rFonts w:ascii="Lora Medium" w:hAnsi="Lora Medium" w:cs="Lora Medium" w:eastAsia="Lora Medium"/>
        </w:rPr>
        <w:t>, por estar integralmente provado por documentos (art. 691 do CPC).</w:t>
      </w:r>
    </w:p>
    <w:p>
      <w:pPr>
        <w:keepNext/>
        <w:tabs>
          <w:tab w:pos="700" w:val="left"/>
        </w:tabs>
        <w:spacing w:before="240" w:after="160" w:line="360" w:lineRule="auto"/>
        <w:ind w:left="700" w:hanging="400"/>
      </w:pPr>
      <w:r>
        <w:rPr>
          <w:rFonts w:ascii="Lora Medium" w:hAnsi="Lora Medium" w:cs="Lora Medium" w:eastAsia="Lora Medium"/>
          <w:b/>
          <w:i/>
        </w:rPr>
        <w:t>c.</w:t>
        <w:tab/>
        <w:t>Da prioridade de tramitação:</w:t>
      </w:r>
    </w:p>
    <w:p>
      <w:pPr>
        <w:spacing w:line="360" w:lineRule="auto" w:after="60"/>
        <w:ind w:firstLine="850"/>
        <w:jc w:val="both"/>
      </w:pPr>
      <w:r>
        <w:rPr>
          <w:rFonts w:ascii="Lora Medium" w:hAnsi="Lora Medium" w:cs="Lora Medium" w:eastAsia="Lora Medium"/>
        </w:rPr>
        <w:t>A agravada era idosa e portadora de doença grave, o que lhe garantia prioridade de tramitação (art. 1.048, I, do CPC). Essa prioridade não cessa com a morte e se estende ao cônjuge sobrevivente (art. 1.048, § 3º, do CPC, e art. 71, § 2º, da Lei nº 10.741/2003), que, além disso, tem 72 anos e faz jus ao benefício por direito próprio.</w:t>
      </w:r>
    </w:p>
    <w:p>
      <w:pPr>
        <w:keepNext/>
        <w:tabs>
          <w:tab w:pos="1000" w:val="left"/>
        </w:tabs>
        <w:spacing w:before="360" w:after="240" w:line="360" w:lineRule="auto"/>
        <w:ind w:left="0"/>
        <w:shd w:val="clear" w:color="auto" w:fill="123BB8"/>
      </w:pPr>
      <w:r>
        <w:rPr>
          <w:rFonts w:ascii="Lora Medium" w:hAnsi="Lora Medium" w:cs="Lora Medium" w:eastAsia="Lora Medium"/>
          <w:b/>
          <w:i/>
          <w:color w:val="FFFFFF"/>
        </w:rPr>
        <w:t>III.</w:t>
        <w:tab/>
        <w:t>DOS PEDIDOS</w:t>
      </w:r>
    </w:p>
    <w:p>
      <w:pPr>
        <w:spacing w:line="360" w:lineRule="auto" w:after="60"/>
        <w:ind w:firstLine="850"/>
        <w:jc w:val="both"/>
      </w:pPr>
      <w:r>
        <w:rPr>
          <w:rFonts w:ascii="Lora Medium" w:hAnsi="Lora Medium" w:cs="Lora Medium" w:eastAsia="Lora Medium"/>
        </w:rPr>
        <w:t>Diante do exposto, requerem:</w:t>
      </w:r>
    </w:p>
    <w:p>
      <w:pPr>
        <w:spacing w:line="360" w:lineRule="auto" w:after="120"/>
        <w:ind w:left="1134" w:hanging="567"/>
        <w:jc w:val="both"/>
      </w:pPr>
      <w:r>
        <w:rPr>
          <w:rFonts w:ascii="Lora Medium" w:hAnsi="Lora Medium" w:cs="Lora Medium" w:eastAsia="Lora Medium"/>
        </w:rPr>
        <w:t>a)</w:t>
        <w:tab/>
        <w:t xml:space="preserve">o recebimento desta comunicação de óbito e o reconhecimento da </w:t>
      </w:r>
      <w:r>
        <w:rPr>
          <w:rFonts w:ascii="Lora Medium" w:hAnsi="Lora Medium" w:cs="Lora Medium" w:eastAsia="Lora Medium"/>
          <w:b/>
          <w:u w:val="single"/>
          <w:shd w:val="clear" w:color="auto" w:fill="CFE2F3"/>
        </w:rPr>
        <w:t>suspensão do recurso desde 16/07/2026</w:t>
      </w:r>
      <w:r>
        <w:rPr>
          <w:rFonts w:ascii="Lora Medium" w:hAnsi="Lora Medium" w:cs="Lora Medium" w:eastAsia="Lora Medium"/>
        </w:rPr>
        <w:t xml:space="preserve"> (arts. 313, I, e 314 do CPC);</w:t>
      </w:r>
    </w:p>
    <w:p>
      <w:pPr>
        <w:spacing w:line="360" w:lineRule="auto" w:after="120"/>
        <w:ind w:left="1134" w:hanging="567"/>
        <w:jc w:val="both"/>
      </w:pPr>
      <w:r>
        <w:rPr>
          <w:rFonts w:ascii="Lora Medium" w:hAnsi="Lora Medium" w:cs="Lora Medium" w:eastAsia="Lora Medium"/>
        </w:rPr>
        <w:t>b)</w:t>
        <w:tab/>
        <w:t>a intimação do agravante, BANCO PAN S.A., para se manifestar sobre o pedido de habilitação no prazo de 5 (cinco) dias (art. 690 do CPC);</w:t>
      </w:r>
    </w:p>
    <w:p>
      <w:pPr>
        <w:spacing w:line="360" w:lineRule="auto" w:after="120"/>
        <w:ind w:left="1134" w:hanging="567"/>
        <w:jc w:val="both"/>
      </w:pPr>
      <w:r>
        <w:rPr>
          <w:rFonts w:ascii="Lora Medium" w:hAnsi="Lora Medium" w:cs="Lora Medium" w:eastAsia="Lora Medium"/>
        </w:rPr>
        <w:t>c)</w:t>
        <w:tab/>
        <w:t xml:space="preserve">a </w:t>
      </w:r>
      <w:r>
        <w:rPr>
          <w:rFonts w:ascii="Lora Medium" w:hAnsi="Lora Medium" w:cs="Lora Medium" w:eastAsia="Lora Medium"/>
          <w:b/>
        </w:rPr>
        <w:t>habilitação</w:t>
      </w:r>
      <w:r>
        <w:rPr>
          <w:rFonts w:ascii="Lora Medium" w:hAnsi="Lora Medium" w:cs="Lora Medium" w:eastAsia="Lora Medium"/>
        </w:rPr>
        <w:t xml:space="preserve"> de MANOEL LOPES DA SILVA, JAILENE SOUSA SILVA RODRIGUES, JOEL CARLOS SOUSA SILVA, GEAN CARLOS SOUSA SILVA e JANAÍNA DE SOUSA SILVA como sucessores da agravada, com a retificação do polo passivo do recurso. Subsidiariamente, caso se entenda que a habilitação deve ser concluída na origem, requerem a manutenção da suspensão deste recurso até a juntada da decisão de habilitação;</w:t>
      </w:r>
    </w:p>
    <w:p>
      <w:pPr>
        <w:spacing w:line="360" w:lineRule="auto" w:after="120"/>
        <w:ind w:left="1134" w:hanging="567"/>
        <w:jc w:val="both"/>
      </w:pPr>
      <w:r>
        <w:rPr>
          <w:rFonts w:ascii="Lora Medium" w:hAnsi="Lora Medium" w:cs="Lora Medium" w:eastAsia="Lora Medium"/>
        </w:rPr>
        <w:t>d)</w:t>
        <w:tab/>
        <w:t xml:space="preserve">após a habilitação, a </w:t>
      </w:r>
      <w:r>
        <w:rPr>
          <w:rFonts w:ascii="Lora Medium" w:hAnsi="Lora Medium" w:cs="Lora Medium" w:eastAsia="Lora Medium"/>
          <w:b/>
        </w:rPr>
        <w:t>intimação dos sucessores para apresentar contrarrazões</w:t>
      </w:r>
      <w:r>
        <w:rPr>
          <w:rFonts w:ascii="Lora Medium" w:hAnsi="Lora Medium" w:cs="Lora Medium" w:eastAsia="Lora Medium"/>
        </w:rPr>
        <w:t>, com a restituição integral do prazo (arts. 221 e 1.019, II, do CPC);</w:t>
      </w:r>
    </w:p>
    <w:p>
      <w:pPr>
        <w:spacing w:line="360" w:lineRule="auto" w:after="120"/>
        <w:ind w:left="1134" w:hanging="567"/>
        <w:jc w:val="both"/>
      </w:pPr>
      <w:r>
        <w:rPr>
          <w:rFonts w:ascii="Lora Medium" w:hAnsi="Lora Medium" w:cs="Lora Medium" w:eastAsia="Lora Medium"/>
        </w:rPr>
        <w:t>e)</w:t>
        <w:tab/>
        <w:t xml:space="preserve">a concessão dos benefícios da </w:t>
      </w:r>
      <w:r>
        <w:rPr>
          <w:rFonts w:ascii="Lora Medium" w:hAnsi="Lora Medium" w:cs="Lora Medium" w:eastAsia="Lora Medium"/>
          <w:b/>
        </w:rPr>
        <w:t>justiça gratuita</w:t>
      </w:r>
      <w:r>
        <w:rPr>
          <w:rFonts w:ascii="Lora Medium" w:hAnsi="Lora Medium" w:cs="Lora Medium" w:eastAsia="Lora Medium"/>
        </w:rPr>
        <w:t xml:space="preserve"> aos sucessores, conforme declarações de hipossuficiência anexas (arts. 98 e 99 do CPC);</w:t>
      </w:r>
    </w:p>
    <w:p>
      <w:pPr>
        <w:spacing w:line="360" w:lineRule="auto" w:after="120"/>
        <w:ind w:left="1134" w:hanging="567"/>
        <w:jc w:val="both"/>
      </w:pPr>
      <w:r>
        <w:rPr>
          <w:rFonts w:ascii="Lora Medium" w:hAnsi="Lora Medium" w:cs="Lora Medium" w:eastAsia="Lora Medium"/>
        </w:rPr>
        <w:t>f)</w:t>
        <w:tab/>
        <w:t xml:space="preserve">a concessão ou manutenção da </w:t>
      </w:r>
      <w:r>
        <w:rPr>
          <w:rFonts w:ascii="Lora Medium" w:hAnsi="Lora Medium" w:cs="Lora Medium" w:eastAsia="Lora Medium"/>
          <w:b/>
        </w:rPr>
        <w:t>prioridade de tramitação</w:t>
      </w:r>
      <w:r>
        <w:rPr>
          <w:rFonts w:ascii="Lora Medium" w:hAnsi="Lora Medium" w:cs="Lora Medium" w:eastAsia="Lora Medium"/>
        </w:rPr>
        <w:t xml:space="preserve"> (art. 1.048, I e § 3º, do CPC; art. 71, § 2º, da Lei nº 10.741/2003);</w:t>
      </w:r>
    </w:p>
    <w:p>
      <w:pPr>
        <w:spacing w:line="360" w:lineRule="auto" w:after="120"/>
        <w:ind w:left="1134" w:hanging="567"/>
        <w:jc w:val="both"/>
      </w:pPr>
      <w:r>
        <w:rPr>
          <w:rFonts w:ascii="Lora Medium" w:hAnsi="Lora Medium" w:cs="Lora Medium" w:eastAsia="Lora Medium"/>
        </w:rPr>
        <w:t>g)</w:t>
        <w:tab/>
        <w:t>que todas as intimações sejam feitas em nome do advogado ANTÔNIO DE PÁDUA SANTOS NETO, OAB/PI 21.320, sob pena de nulidade.</w:t>
      </w:r>
    </w:p>
    <w:p/>
    <w:p>
      <w:pPr>
        <w:spacing w:line="360" w:lineRule="auto" w:after="60"/>
      </w:pPr>
      <w:r>
        <w:rPr>
          <w:rFonts w:ascii="Lora Medium" w:hAnsi="Lora Medium" w:cs="Lora Medium" w:eastAsia="Lora Medium"/>
          <w:b/>
        </w:rPr>
        <w:t>Documentos anexos:</w:t>
      </w:r>
    </w:p>
    <w:p>
      <w:pPr>
        <w:spacing w:line="360" w:lineRule="auto" w:after="0"/>
      </w:pPr>
      <w:r>
        <w:rPr>
          <w:rFonts w:ascii="Lora Medium" w:hAnsi="Lora Medium" w:cs="Lora Medium" w:eastAsia="Lora Medium"/>
        </w:rPr>
        <w:t>[Doc. 01 – Certidão de óbito de Francisca Sousa da Silva;]</w:t>
      </w:r>
    </w:p>
    <w:p>
      <w:pPr>
        <w:spacing w:line="360" w:lineRule="auto" w:after="0"/>
      </w:pPr>
      <w:r>
        <w:rPr>
          <w:rFonts w:ascii="Lora Medium" w:hAnsi="Lora Medium" w:cs="Lora Medium" w:eastAsia="Lora Medium"/>
        </w:rPr>
        <w:t>[Doc. 02 – Certidão de casamento de Manoel Lopes da Silva e Francisca Sousa da Silva;]</w:t>
      </w:r>
    </w:p>
    <w:p>
      <w:pPr>
        <w:spacing w:line="360" w:lineRule="auto" w:after="0"/>
      </w:pPr>
      <w:r>
        <w:rPr>
          <w:rFonts w:ascii="Lora Medium" w:hAnsi="Lora Medium" w:cs="Lora Medium" w:eastAsia="Lora Medium"/>
        </w:rPr>
        <w:t>[Doc. 03 – Kits dos sucessores: procurações, declarações de hipossuficiência, documentos de identidade, certidões de nascimento e comprovantes de residência;]</w:t>
      </w:r>
    </w:p>
    <w:p>
      <w:pPr>
        <w:spacing w:line="360" w:lineRule="auto" w:after="0"/>
      </w:pPr>
      <w:r>
        <w:rPr>
          <w:rFonts w:ascii="Lora Medium" w:hAnsi="Lora Medium" w:cs="Lora Medium" w:eastAsia="Lora Medium"/>
        </w:rPr>
        <w:t>[Doc. 04 – Petição de habilitação de herdeiros protocolada no Juízo de origem em 19/10/2026 (ID 107118300).]</w:t>
      </w:r>
    </w:p>
    <w:p/>
    <w:p>
      <w:pPr>
        <w:spacing w:line="360" w:lineRule="auto" w:after="0"/>
        <w:jc w:val="center"/>
      </w:pPr>
      <w:r>
        <w:rPr>
          <w:rFonts w:ascii="Lora Medium" w:hAnsi="Lora Medium" w:cs="Lora Medium" w:eastAsia="Lora Medium"/>
        </w:rPr>
        <w:t>Nestes termos,</w:t>
      </w:r>
    </w:p>
    <w:p>
      <w:pPr>
        <w:spacing w:line="360" w:lineRule="auto" w:after="0"/>
        <w:jc w:val="center"/>
      </w:pPr>
      <w:r>
        <w:rPr>
          <w:rFonts w:ascii="Lora Medium" w:hAnsi="Lora Medium" w:cs="Lora Medium" w:eastAsia="Lora Medium"/>
        </w:rPr>
        <w:t>Pede deferimento.</w:t>
      </w:r>
    </w:p>
    <w:p/>
    <w:p>
      <w:pPr>
        <w:spacing w:line="360" w:lineRule="auto" w:after="0"/>
        <w:jc w:val="center"/>
      </w:pPr>
      <w:r>
        <w:rPr>
          <w:rFonts w:ascii="Lora Medium" w:hAnsi="Lora Medium" w:cs="Lora Medium" w:eastAsia="Lora Medium"/>
        </w:rPr>
        <w:t>Miguel Alves-PI, datado eletronicamente.</w:t>
      </w:r>
    </w:p>
    <w:p/>
    <w:p/>
    <w:p>
      <w:pPr>
        <w:spacing w:line="360" w:lineRule="auto" w:after="0"/>
        <w:jc w:val="center"/>
      </w:pPr>
      <w:r>
        <w:rPr>
          <w:rFonts w:ascii="Lora Medium" w:hAnsi="Lora Medium" w:cs="Lora Medium" w:eastAsia="Lora Medium"/>
          <w:b/>
        </w:rPr>
        <w:t>ANTÔNIO DE PÁDUA SANTOS NETO</w:t>
      </w:r>
    </w:p>
    <w:p>
      <w:pPr>
        <w:spacing w:line="360" w:lineRule="auto" w:after="0"/>
        <w:jc w:val="center"/>
      </w:pPr>
      <w:r>
        <w:rPr>
          <w:rFonts w:ascii="Lora Medium" w:hAnsi="Lora Medium" w:cs="Lora Medium" w:eastAsia="Lora Medium"/>
        </w:rPr>
        <w:t>ADVOGADO - OAB/PI 21.320</w:t>
      </w:r>
    </w:p>
    <w:sectPr>
      <w:headerReference w:type="default" r:id="rId7"/>
      <w:footerReference w:type="default" r:id="rId8"/>
      <w:pgSz w:w="11906" w:h="16838" w:orient="portrait"/>
      <w:pgMar w:top="2330" w:right="1134" w:bottom="1500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AA0A6" w:sz="6" w:space="4"/>
      </w:pBdr>
      <w:spacing w:line="240"/>
      <w:jc w:val="center"/>
    </w:pPr>
    <w:r>
      <w:rPr>
        <w:b/>
        <w:bCs/>
        <w:i/>
        <w:iCs/>
        <w:color w:val="123BB8"/>
        <w:sz w:val="16"/>
        <w:szCs w:val="16"/>
      </w:rPr>
      <w:t xml:space="preserve">Rua Rio Grande do Sul, 1641, bairro São Miguel, CEP: 64.130-000, Miguel Alves-PI - (86) 9 7400-9869 - paduanetojus@gmail.com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drawing>
        <wp:inline distT="0" distB="0" distL="0" distR="0">
          <wp:extent cx="1809750" cy="952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952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9AA0A6" w:sz="6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ora" w:cs="Lora" w:eastAsia="Lora" w:hAnsi="Lor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c2a26ce5428c3d3d8b74c564df80a7d487fd53a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Contestação - Ely Sandro Vaz e Silva</dc:title>
  <dc:creator>Antônio de Pádua Santos Neto</dc:creator>
  <cp:lastModifiedBy>Un-named</cp:lastModifiedBy>
  <cp:revision>1</cp:revision>
  <dcterms:created xsi:type="dcterms:W3CDTF">2026-10-03T02:33:01.698Z</dcterms:created>
  <dcterms:modified xsi:type="dcterms:W3CDTF">2026-10-03T02:33:01.705Z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