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line="360"/>
      </w:pPr>
      <w:r>
        <w:rPr>
          <w:b/>
          <w:bCs/>
        </w:rPr>
        <w:t xml:space="preserve">Processo nº 0800990-83.2026.8.18.0061</w:t>
      </w:r>
    </w:p>
    <w:p>
      <w:pPr>
        <w:spacing w:after="0"/>
      </w:pPr>
    </w:p>
    <w:p>
      <w:pPr>
        <w:spacing w:after="60" w:line="360"/>
        <w:ind w:firstLine="0"/>
        <w:jc w:val="both"/>
      </w:pPr>
      <w:r>
        <w:rPr>
          <w:b/>
          <w:bCs/>
        </w:rPr>
        <w:t xml:space="preserve">ELY SANDRO VAZ E SILVA,</w:t>
      </w:r>
      <w:r>
        <w:t xml:space="preserve"> já qualificado, por meio de seu advogado, ANTÔNIO DE PÁDUA SANTOS NETO, advogado, inscrito nos quadros da OAB-PI sob o nº 21.320, constituído mediante procuração em anexo, cujo endereço físico está situado na Rua Rio Grande do Sul, nº 1641, Bairro São Miguel, Miguel Alves-PI, CEP nº: 64.130-000 e eletrônico: </w:t>
      </w:r>
      <w:r>
        <w:rPr>
          <w:i/>
          <w:iCs/>
        </w:rPr>
        <w:t xml:space="preserve">paduanetojus@gmail.com</w:t>
      </w:r>
      <w:r>
        <w:t xml:space="preserve">, à presença de Vossa Excelência, apresentar defesa sob a forma de </w:t>
      </w:r>
      <w:r>
        <w:rPr>
          <w:b/>
          <w:bCs/>
        </w:rPr>
        <w:t xml:space="preserve">C O N T E S T A Ç Ã O,</w:t>
      </w:r>
      <w:r>
        <w:t xml:space="preserve"> nos autos do processo em epígrafe, ajuizado por </w:t>
      </w:r>
      <w:r>
        <w:rPr>
          <w:b/>
          <w:bCs/>
        </w:rPr>
        <w:t xml:space="preserve">FRANCISCO ANTÔNIO REBELO DE PAIVA</w:t>
      </w:r>
      <w:r>
        <w:t xml:space="preserve">, nos termos da legislação processual em vigor, com base nos fundamentos fáticos e jurídicos a seguir aduzidos.</w:t>
      </w:r>
    </w:p>
    <w:p>
      <w:pPr>
        <w:spacing w:after="0"/>
      </w:pPr>
    </w:p>
    <w:p>
      <w:pPr>
        <w:shd w:fill="123BB8" w:color="auto" w:val="clear"/>
        <w:tabs>
          <w:tab w:val="left" w:pos="1000"/>
        </w:tabs>
        <w:spacing w:after="240" w:before="360" w:line="360"/>
        <w:ind w:left="0"/>
      </w:pPr>
      <w:r>
        <w:rPr>
          <w:b/>
          <w:bCs/>
          <w:i/>
          <w:iCs/>
          <w:color w:val="FFFFFF"/>
        </w:rPr>
        <w:t xml:space="preserve">	Preliminares.</w:t>
      </w:r>
    </w:p>
    <w:p>
      <w:pPr>
        <w:keepNext/>
        <w:tabs>
          <w:tab w:val="left" w:pos="700"/>
        </w:tabs>
        <w:spacing w:after="160" w:before="240" w:line="360"/>
        <w:ind w:left="700" w:hanging="400"/>
      </w:pPr>
      <w:r>
        <w:rPr>
          <w:b/>
          <w:bCs/>
          <w:i/>
          <w:iCs/>
        </w:rPr>
        <w:t xml:space="preserve">a.	</w:t>
      </w:r>
      <w:r>
        <w:rPr>
          <w:b/>
          <w:bCs/>
          <w:i/>
          <w:iCs/>
        </w:rPr>
        <w:t xml:space="preserve">Da tempestividade:</w:t>
      </w:r>
    </w:p>
    <w:p>
      <w:pPr>
        <w:spacing w:after="60" w:line="360"/>
        <w:ind w:firstLine="850"/>
        <w:jc w:val="both"/>
      </w:pPr>
      <w:r>
        <w:t xml:space="preserve">A decisão de ID 100909958 determinou a apresentação de contestação no prazo de 15 dias, </w:t>
      </w:r>
      <w:r>
        <w:rPr>
          <w:b/>
          <w:bCs/>
          <w:u w:val="single"/>
          <w:shd w:fill="CFE2F3" w:color="auto" w:val="clear"/>
        </w:rPr>
        <w:t xml:space="preserve">estabelecendo que seu termo inicial observaria o art. 231 do Código de Processo Civil</w:t>
      </w:r>
      <w:r>
        <w:t xml:space="preserve">. Assim, embora recebido o feito sob o rito da Lei nº 9.099/1995, a contagem deve observar a disciplina expressamente indicada pelo próprio Juízo.</w:t>
      </w:r>
    </w:p>
    <w:p>
      <w:pPr>
        <w:spacing w:after="60" w:line="360"/>
        <w:ind w:firstLine="850"/>
        <w:jc w:val="both"/>
      </w:pPr>
      <w:r>
        <w:rPr>
          <w:b/>
          <w:bCs/>
          <w:u w:val="single"/>
          <w:shd w:fill="CFE2F3" w:color="auto" w:val="clear"/>
        </w:rPr>
        <w:t xml:space="preserve">O aviso de recebimento foi juntado aos autos em 11/09/2026 (ID 104623994).</w:t>
      </w:r>
      <w:r>
        <w:t xml:space="preserve"> Excluído o dia do começo e computados apenas os dias úteis (arts. 219 e 224 do CPC e art. 12-A da Lei nº 9.099/1995), a contagem iniciou-se em 14/09/2026 e encerra-se em 05/10/2026, considerada a exclusão do feriado municipal de 29/09/2026, Dia de São Miguel Arcanjo (Lei Municipal nº 775/2013), previsto no calendário oficial do TJPI </w:t>
      </w:r>
      <w:r>
        <w:rPr>
          <w:b/>
          <w:bCs/>
          <w:shd w:fill="FFF200" w:color="auto" w:val="clear"/>
        </w:rPr>
        <w:t xml:space="preserve">[Doc. 02]</w:t>
      </w:r>
      <w:r>
        <w:t xml:space="preserve">.</w:t>
      </w:r>
    </w:p>
    <w:p>
      <w:pPr>
        <w:pBdr>
          <w:top w:val="single" w:color="9AA0A6" w:sz="4" w:space="6"/>
        </w:pBdr>
        <w:spacing w:after="0" w:before="160" w:line="240"/>
        <w:ind w:left="2270" w:right="570"/>
        <w:jc w:val="both"/>
      </w:pPr>
      <w:r>
        <w:rPr>
          <w:b/>
          <w:bCs/>
          <w:i/>
          <w:iCs/>
          <w:sz w:val="18"/>
          <w:szCs w:val="18"/>
        </w:rPr>
        <w:t xml:space="preserve">Art. 231.</w:t>
      </w:r>
      <w:r>
        <w:rPr>
          <w:i/>
          <w:iCs/>
          <w:sz w:val="18"/>
          <w:szCs w:val="18"/>
        </w:rPr>
        <w:t xml:space="preserve"> </w:t>
      </w:r>
      <w:r>
        <w:rPr>
          <w:b/>
          <w:bCs/>
          <w:i/>
          <w:iCs/>
          <w:sz w:val="18"/>
          <w:szCs w:val="18"/>
          <w:u w:val="single"/>
          <w:shd w:fill="CFE2F3" w:color="auto" w:val="clear"/>
        </w:rPr>
        <w:t xml:space="preserve">Salvo disposição em sentido diverso</w:t>
      </w:r>
      <w:r>
        <w:rPr>
          <w:i/>
          <w:iCs/>
          <w:sz w:val="18"/>
          <w:szCs w:val="18"/>
        </w:rPr>
        <w:t xml:space="preserve">, considera-se dia do começo do prazo:</w:t>
      </w:r>
    </w:p>
    <w:p>
      <w:pPr>
        <w:pBdr>
          <w:bottom w:val="single" w:color="9AA0A6" w:sz="4" w:space="6"/>
        </w:pBdr>
        <w:spacing w:after="200" w:before="0" w:line="240"/>
        <w:ind w:left="2270" w:right="570"/>
        <w:jc w:val="both"/>
      </w:pPr>
      <w:r>
        <w:rPr>
          <w:b/>
          <w:bCs/>
          <w:i/>
          <w:iCs/>
          <w:sz w:val="18"/>
          <w:szCs w:val="18"/>
          <w:u w:val="single"/>
          <w:shd w:fill="CFE2F3" w:color="auto" w:val="clear"/>
        </w:rPr>
        <w:t xml:space="preserve">I - a data de juntada aos autos do aviso de recebimento, quando a citação ou a intimação for pelo correio;</w:t>
      </w:r>
    </w:p>
    <w:p>
      <w:pPr>
        <w:spacing w:after="60" w:line="360"/>
        <w:ind w:firstLine="850"/>
        <w:jc w:val="both"/>
      </w:pPr>
      <w:r>
        <w:t xml:space="preserve">Não se desconhece o Enunciado nº 13 do FONAJE, segundo o qual, nos Juizados Especiais, os prazos contam-se da ciência do ato, e não da juntada do comprovante. Ocorre que o próprio art. 231 do CPC ressalva a “disposição em sentido diverso” e, no caso, </w:t>
      </w:r>
      <w:r>
        <w:rPr>
          <w:b/>
          <w:bCs/>
          <w:u w:val="single"/>
          <w:shd w:fill="CFE2F3" w:color="auto" w:val="clear"/>
        </w:rPr>
        <w:t xml:space="preserve">essa disposição é a própria decisão citatória</w:t>
      </w:r>
      <w:r>
        <w:t xml:space="preserve">, que fixou de forma expressa o art. 231 do CPC como critério do termo inicial. Orientação genérica de enunciado não prevalece sobre comando judicial específico dirigido à parte, cuja observância é resguardada pelos princípios da boa-fé, da segurança jurídica e da proteção da confiança (arts. 5º e 6º do CPC). No mesmo sentido, o expediente de citação registrado no PJe indica o prazo acima </w:t>
      </w:r>
      <w:r>
        <w:rPr>
          <w:b/>
          <w:bCs/>
          <w:shd w:fill="FFF200" w:color="auto" w:val="clear"/>
        </w:rPr>
        <w:t xml:space="preserve">[Doc. 03 – captura do painel de expedientes do PJe; conferir antes de juntar]</w:t>
      </w:r>
      <w:r>
        <w:t xml:space="preserve">.</w:t>
      </w:r>
    </w:p>
    <w:p>
      <w:pPr>
        <w:spacing w:after="60" w:line="360"/>
        <w:ind w:firstLine="850"/>
        <w:jc w:val="both"/>
      </w:pPr>
      <w:r>
        <w:t xml:space="preserve">Subsidiariamente, caso se entenda aplicável termo inicial diverso, requer-se o reconhecimento de justa causa, nos termos do art. 223, §§ 1º e 2º, do CPC, com o recebimento da defesa, conforme orientação da Corte Especial do STJ:</w:t>
      </w:r>
    </w:p>
    <w:p>
      <w:pPr>
        <w:pBdr>
          <w:top w:val="single" w:color="9AA0A6" w:sz="4" w:space="6"/>
          <w:bottom w:val="single" w:color="9AA0A6" w:sz="4" w:space="6"/>
        </w:pBdr>
        <w:spacing w:after="200" w:before="160" w:line="240"/>
        <w:ind w:left="2270" w:right="570"/>
        <w:jc w:val="both"/>
      </w:pPr>
      <w:r>
        <w:rPr>
          <w:i w:val="false"/>
          <w:iCs w:val="false"/>
          <w:sz w:val="18"/>
          <w:szCs w:val="18"/>
        </w:rPr>
        <w:t xml:space="preserve">EMBARGOS DE DIVERGÊNCIA EM AGRAVO EM RECURSO ESPECIAL. PRAZO RECURSAL. INFORMAÇÃO CONSTANTE DO SISTEMA ELETRÔNICO DO TRIBUNAL DE ORIGEM. (...) </w:t>
      </w:r>
      <w:r>
        <w:rPr>
          <w:b/>
          <w:bCs/>
          <w:i w:val="false"/>
          <w:iCs w:val="false"/>
          <w:sz w:val="18"/>
          <w:szCs w:val="18"/>
          <w:u w:val="single"/>
          <w:shd w:fill="CFE2F3" w:color="auto" w:val="clear"/>
        </w:rPr>
        <w:t xml:space="preserve">MITIGAÇÃO. PRINCÍPIOS DA CONFIANÇA E DA BOA-FÉ. EMBARGOS DE DIVERGÊNCIA ACOLHIDOS</w:t>
      </w:r>
      <w:r>
        <w:rPr>
          <w:i w:val="false"/>
          <w:iCs w:val="false"/>
          <w:sz w:val="18"/>
          <w:szCs w:val="18"/>
        </w:rPr>
        <w:t xml:space="preserve">. (...) 2. Embora seja ônus do advogado a prática dos atos processuais segundo as formas e prazos previstos em lei, o Código de Processo Civil abre a possibilidade de a parte indicar motivo justo para o seu eventual descumprimento, a fim de mitigar a exigência. (...) </w:t>
      </w:r>
      <w:r>
        <w:rPr>
          <w:b/>
          <w:bCs/>
          <w:i w:val="false"/>
          <w:iCs w:val="false"/>
          <w:sz w:val="18"/>
          <w:szCs w:val="18"/>
          <w:u w:val="single"/>
          <w:shd w:fill="CFE2F3" w:color="auto" w:val="clear"/>
        </w:rPr>
        <w:t xml:space="preserve">3. A falha induzida por informação equivocada prestada por sistema eletrônico de tribunal deve ser levada em consideração, em homenagem aos princípios da boa-fé e da confiança, para a aferição da tempestividade do recurso.</w:t>
      </w:r>
      <w:r>
        <w:rPr>
          <w:i w:val="false"/>
          <w:iCs w:val="false"/>
          <w:sz w:val="18"/>
          <w:szCs w:val="18"/>
        </w:rPr>
        <w:t xml:space="preserve"> (...) (STJ - EAREsp: 1759860 PI 2020/0240127-7, Relator.: Ministra LAURITA VAZ, Data de Julgamento: 16/03/2022, CE - CORTE ESPECIAL, Data de Publicação: DJe 21/03/2022) (grifo nosso)</w:t>
      </w:r>
    </w:p>
    <w:p>
      <w:pPr>
        <w:spacing w:after="60" w:line="360"/>
        <w:ind w:firstLine="850"/>
        <w:jc w:val="both"/>
      </w:pPr>
      <w:r>
        <w:t xml:space="preserve">No presente caso, a orientação consta da própria decisão que determinou a citação, situação ainda mais segura do que a informação constante de sistema eletrônico.</w:t>
      </w:r>
    </w:p>
    <w:p>
      <w:pPr>
        <w:spacing w:after="60" w:line="360"/>
        <w:ind w:firstLine="850"/>
        <w:jc w:val="both"/>
      </w:pPr>
      <w:r>
        <w:t xml:space="preserve">Por fim, apenas em atenção à eventualidade, a presunção de veracidade decorrente da revelia é relativa e não incide sobre alegações em contradição com a prova dos autos (art. 345, IV, do CPC), nem sobre matéria de direito. A incidência da imunidade parlamentar material é questão constitucional aferível a partir das próprias mídias e transcrições juntadas pelo Autor, tendo este Juízo já registrado a ausência de probabilidade do direito invocado (ID 100909958).</w:t>
      </w:r>
    </w:p>
    <w:p>
      <w:pPr>
        <w:spacing w:after="60" w:line="360"/>
        <w:ind w:firstLine="850"/>
        <w:jc w:val="both"/>
      </w:pPr>
      <w:r>
        <w:t xml:space="preserve">Requer-se, portanto, o reconhecimento da tempestividade e o regular recebimento da presente contestação.</w:t>
      </w:r>
    </w:p>
    <w:p>
      <w:pPr>
        <w:keepNext/>
        <w:tabs>
          <w:tab w:val="left" w:pos="700"/>
        </w:tabs>
        <w:spacing w:after="160" w:before="240" w:line="360"/>
        <w:ind w:left="700" w:hanging="400"/>
      </w:pPr>
      <w:r>
        <w:rPr>
          <w:b/>
          <w:bCs/>
          <w:i/>
          <w:iCs/>
        </w:rPr>
        <w:t xml:space="preserve">b.	</w:t>
      </w:r>
      <w:r>
        <w:rPr>
          <w:b/>
          <w:bCs/>
          <w:i/>
          <w:iCs/>
        </w:rPr>
        <w:t xml:space="preserve">Da ilegitimidade ativa quanto às pretensões relativas a familiares e terceiros:</w:t>
      </w:r>
    </w:p>
    <w:p>
      <w:pPr>
        <w:spacing w:after="60" w:line="360"/>
        <w:ind w:firstLine="850"/>
        <w:jc w:val="both"/>
      </w:pPr>
      <w:r>
        <w:t xml:space="preserve">A inicial postula reparação, retratação e abstenção em favor do Autor “e seus familiares”, fundando parte da pretensão em supostas ofensas ao irmão do Autor (secretário municipal de Finanças), ao seu filho, à primeira-dama e a primo (“professor Denis”). Contudo, </w:t>
      </w:r>
      <w:r>
        <w:rPr>
          <w:b/>
          <w:bCs/>
          <w:u w:val="single"/>
          <w:shd w:fill="CFE2F3" w:color="auto" w:val="clear"/>
        </w:rPr>
        <w:t xml:space="preserve">ninguém poderá pleitear direito alheio em nome próprio, salvo quando autorizado pelo ordenamento jurídico (art. 18 do CPC)</w:t>
      </w:r>
      <w:r>
        <w:t xml:space="preserve">. Os direitos da personalidade são personalíssimos, os familiares mencionados não integram o polo ativo e o próprio Autor afirma litigar “na defesa de sua honra e imagem pessoais”.</w:t>
      </w:r>
    </w:p>
    <w:p>
      <w:pPr>
        <w:spacing w:after="60" w:line="360"/>
        <w:ind w:firstLine="850"/>
        <w:jc w:val="both"/>
      </w:pPr>
      <w:r>
        <w:t xml:space="preserve">Requer-se, assim, o reconhecimento da ilegitimidade ativa quanto às pretensões fundadas em alegada ofensa a terceiros, com extinção do feito sem resolução do mérito nessa parte (art. 485, VI, do CPC), excluindo-se do pedido de abstenção a expressão “e seus familiares” e desconsiderando-se, para fins de responsabilidade e quantificação, as manifestações dirigidas exclusivamente a terceiros.</w:t>
      </w:r>
    </w:p>
    <w:p>
      <w:pPr>
        <w:keepNext/>
        <w:tabs>
          <w:tab w:val="left" w:pos="700"/>
        </w:tabs>
        <w:spacing w:after="160" w:before="240" w:line="360"/>
        <w:ind w:left="700" w:hanging="400"/>
      </w:pPr>
      <w:r>
        <w:rPr>
          <w:b/>
          <w:bCs/>
          <w:i/>
          <w:iCs/>
        </w:rPr>
        <w:t xml:space="preserve">c.	</w:t>
      </w:r>
      <w:r>
        <w:rPr>
          <w:b/>
          <w:bCs/>
          <w:i/>
          <w:iCs/>
        </w:rPr>
        <w:t xml:space="preserve">Da inépcia parcial: pedido genérico e indeterminado de abstenção futura:</w:t>
      </w:r>
    </w:p>
    <w:p>
      <w:pPr>
        <w:spacing w:after="60" w:line="360"/>
        <w:ind w:firstLine="850"/>
        <w:jc w:val="both"/>
      </w:pPr>
      <w:r>
        <w:t xml:space="preserve">O Autor pede que o Réu seja proibido de “proferir novas manifestações caluniosas, difamatórias ou injuriosas contra o Autor e seus familiares, </w:t>
      </w:r>
      <w:r>
        <w:rPr>
          <w:b/>
          <w:bCs/>
          <w:u w:val="single"/>
          <w:shd w:fill="CFE2F3" w:color="auto" w:val="clear"/>
        </w:rPr>
        <w:t xml:space="preserve">por qualquer meio</w:t>
      </w:r>
      <w:r>
        <w:t xml:space="preserve">”, sob pena de multa. O pedido é indeterminado (arts. 322 e 324 do CPC), pois não identifica conteúdo algum e transfere ao momento da execução da multa a definição do que seria, no futuro, ilícito, sujeitando vereador em exercício a sanção por manifestações ainda inexistentes. Trata-se de tutela inibitória genérica equivalente a censura prévia, vedada pelos arts. 5º, IX, e 220, § 2º, da Constituição Federal, conforme assentado pelo STF na ADPF 130.</w:t>
      </w:r>
    </w:p>
    <w:p>
      <w:pPr>
        <w:spacing w:after="60" w:line="360"/>
        <w:ind w:firstLine="850"/>
        <w:jc w:val="both"/>
      </w:pPr>
      <w:r>
        <w:t xml:space="preserve">Requer-se o indeferimento da inicial quanto a esse pedido (art. 330, § 1º, II, do CPC) ou, subsidiariamente, sua rejeição no mérito.</w:t>
      </w:r>
    </w:p>
    <w:p>
      <w:pPr>
        <w:keepNext/>
        <w:tabs>
          <w:tab w:val="left" w:pos="700"/>
        </w:tabs>
        <w:spacing w:after="160" w:before="240" w:line="360"/>
        <w:ind w:left="700" w:hanging="400"/>
      </w:pPr>
      <w:r>
        <w:rPr>
          <w:b/>
          <w:bCs/>
          <w:i/>
          <w:iCs/>
        </w:rPr>
        <w:t xml:space="preserve">d.	</w:t>
      </w:r>
      <w:r>
        <w:rPr>
          <w:b/>
          <w:bCs/>
          <w:i/>
          <w:iCs/>
        </w:rPr>
        <w:t xml:space="preserve">Da realização de audiência de conciliação:</w:t>
      </w:r>
    </w:p>
    <w:p>
      <w:pPr>
        <w:spacing w:after="60" w:line="360"/>
        <w:ind w:firstLine="850"/>
        <w:jc w:val="both"/>
      </w:pPr>
      <w:r>
        <w:t xml:space="preserve">Recebido o feito sob o rito da Lei nº 9.099/1995, a audiência de conciliação constitui etapa legalmente prevista (arts. 21 e 22). O requerido manifesta </w:t>
      </w:r>
      <w:r>
        <w:rPr>
          <w:b/>
          <w:bCs/>
          <w:u w:val="single"/>
          <w:shd w:fill="CFE2F3" w:color="auto" w:val="clear"/>
        </w:rPr>
        <w:t xml:space="preserve">interesse</w:t>
      </w:r>
      <w:r>
        <w:t xml:space="preserve"> na sua designação, sem prejuízo da autocomposição a qualquer tempo (art. 3º, § 3º, do CPC).</w:t>
      </w:r>
    </w:p>
    <w:p>
      <w:pPr>
        <w:shd w:fill="123BB8" w:color="auto" w:val="clear"/>
        <w:tabs>
          <w:tab w:val="left" w:pos="1000"/>
        </w:tabs>
        <w:spacing w:after="240" w:before="360" w:line="360"/>
        <w:ind w:left="0"/>
      </w:pPr>
      <w:r>
        <w:rPr>
          <w:b/>
          <w:bCs/>
          <w:i/>
          <w:iCs/>
          <w:color w:val="FFFFFF"/>
        </w:rPr>
        <w:t xml:space="preserve">	Síntese dos fatos</w:t>
      </w:r>
    </w:p>
    <w:p>
      <w:pPr>
        <w:spacing w:after="60" w:line="360"/>
        <w:ind w:firstLine="850"/>
        <w:jc w:val="both"/>
      </w:pPr>
      <w:r>
        <w:t xml:space="preserve">O Autor, atual Prefeito de Miguel Alves/PI, pretende converter manifestações de fiscalização da gestão municipal em fundamento para responsabilização civil de vereador de oposição. Para tanto, reúne sete vídeos publicados entre fevereiro e maio de 2026 e lhes atribui caráter exclusivamente ofensivo, imputando ao Réu calúnia, difamação e injúria a partir de trechos selecionados sobre a apreensão de numerário em poder do secretário municipal de Finanças, divergências entre valores empenhados e pagos, pagamentos de aluguel e o patrimônio da família do Autor.</w:t>
      </w:r>
    </w:p>
    <w:p>
      <w:pPr>
        <w:spacing w:after="60" w:line="360"/>
        <w:ind w:firstLine="850"/>
        <w:jc w:val="both"/>
      </w:pPr>
      <w:r>
        <w:t xml:space="preserve">A inicial omite, contudo, dado essencial, extraído das próprias transcrições que juntou: </w:t>
      </w:r>
      <w:r>
        <w:rPr>
          <w:b/>
          <w:bCs/>
          <w:u w:val="single"/>
          <w:shd w:fill="CFE2F3" w:color="auto" w:val="clear"/>
        </w:rPr>
        <w:t xml:space="preserve">a maior parte dos vídeos reproduz discursos proferidos na tribuna da Câmara Municipal, durante sessões legislativas</w:t>
      </w:r>
      <w:r>
        <w:t xml:space="preserve">, inclusive a leitura de requerimento de informações submetido ao Plenário, posteriormente divulgados nas redes sociais do parlamentar.</w:t>
      </w:r>
    </w:p>
    <w:p>
      <w:pPr>
        <w:spacing w:after="60" w:line="360"/>
        <w:ind w:firstLine="850"/>
        <w:jc w:val="both"/>
      </w:pPr>
      <w:r>
        <w:t xml:space="preserve">Para sustentar a falsidade de todas as manifestações, o Autor invoca o arquivamento do Inquérito Policial nº 0816146-68.2026.8.18.0140, que reconheceu a origem lícita dos R$ 147.300,00 apreendidos. Esse arquivamento, porém, data de 24/06/2026, posterior a todas as falas, e restringe-se ao numerário, sem examinar os demais pagamentos questionados.</w:t>
      </w:r>
    </w:p>
    <w:p>
      <w:pPr>
        <w:spacing w:after="60" w:line="360"/>
        <w:ind w:firstLine="850"/>
        <w:jc w:val="both"/>
      </w:pPr>
      <w:r>
        <w:t xml:space="preserve">Este Juízo, na decisão de ID 100909958, indeferiu a tutela de urgência por ausência de probabilidade do direito, com fundamento na imunidade parlamentar material. Conforme se demonstrará, as manifestações estão vinculadas ao exercício da função fiscalizadora e amparadas pela imunidade, razão pela qual os pedidos devem ser julgados improcedentes.</w:t>
      </w:r>
    </w:p>
    <w:p>
      <w:pPr>
        <w:shd w:fill="123BB8" w:color="auto" w:val="clear"/>
        <w:tabs>
          <w:tab w:val="left" w:pos="1000"/>
        </w:tabs>
        <w:spacing w:after="240" w:before="360" w:line="360"/>
        <w:ind w:left="0"/>
      </w:pPr>
      <w:r>
        <w:rPr>
          <w:b/>
          <w:bCs/>
          <w:i/>
          <w:iCs/>
          <w:color w:val="FFFFFF"/>
        </w:rPr>
        <w:t xml:space="preserve">	Da impugnação fática:</w:t>
      </w:r>
    </w:p>
    <w:p>
      <w:pPr>
        <w:keepNext/>
        <w:tabs>
          <w:tab w:val="left" w:pos="700"/>
        </w:tabs>
        <w:spacing w:after="160" w:before="240" w:line="360"/>
        <w:ind w:left="700" w:hanging="400"/>
      </w:pPr>
      <w:r>
        <w:rPr>
          <w:b/>
          <w:bCs/>
          <w:i/>
          <w:iCs/>
        </w:rPr>
        <w:t xml:space="preserve">a.	</w:t>
      </w:r>
      <w:r>
        <w:rPr>
          <w:b/>
          <w:bCs/>
          <w:i/>
          <w:iCs/>
        </w:rPr>
        <w:t xml:space="preserve">Do local e do contexto de cada manifestação: discursos proferidos na tribuna da Câmara Municipal:</w:t>
      </w:r>
    </w:p>
    <w:p>
      <w:pPr>
        <w:spacing w:after="60" w:line="360"/>
        <w:ind w:firstLine="850"/>
        <w:jc w:val="both"/>
      </w:pPr>
      <w:r>
        <w:t xml:space="preserve">A inicial não estabelece correspondência entre cada vídeo, sua data, sua URL e a respectiva transcrição. Cabe à defesa demonstrar o que ela omitiu: </w:t>
      </w:r>
      <w:r>
        <w:rPr>
          <w:b/>
          <w:bCs/>
          <w:u w:val="single"/>
          <w:shd w:fill="CFE2F3" w:color="auto" w:val="clear"/>
        </w:rPr>
        <w:t xml:space="preserve">as próprias transcrições juntadas pelo Autor revelam que a maioria das falas foi proferida em sessão da Câmara Municipal</w:t>
      </w:r>
      <w:r>
        <w:t xml:space="preserve">, com interlocução direta com a Presidência e com os demais vereadores:</w:t>
      </w:r>
    </w:p>
    <w:tbl>
      <w:tblPr>
        <w:tblW w:type="dxa" w:w="8950"/>
        <w:tblBorders>
          <w:top w:val="single" w:color="auto" w:sz="4"/>
          <w:left w:val="single" w:color="auto" w:sz="4"/>
          <w:bottom w:val="single" w:color="auto" w:sz="4"/>
          <w:right w:val="single" w:color="auto" w:sz="4"/>
          <w:insideH w:val="single" w:color="auto" w:sz="4"/>
          <w:insideV w:val="single" w:color="auto" w:sz="4"/>
        </w:tblBorders>
      </w:tblPr>
      <w:tblGrid>
        <w:gridCol w:w="1250"/>
        <w:gridCol w:w="3150"/>
        <w:gridCol w:w="2500"/>
        <w:gridCol w:w="2050"/>
      </w:tblGrid>
      <w:tr>
        <w:trPr>
          <w:tblHeader/>
        </w:trPr>
        <w:tc>
          <w:tcPr>
            <w:tcW w:type="dxa" w:w="1250"/>
            <w:tcBorders>
              <w:top w:val="single" w:color="9AA0A6" w:sz="4"/>
              <w:left w:val="single" w:color="9AA0A6" w:sz="4"/>
              <w:bottom w:val="single" w:color="9AA0A6" w:sz="4"/>
              <w:right w:val="single" w:color="9AA0A6" w:sz="4"/>
            </w:tcBorders>
            <w:shd w:fill="123BB8" w:color="auto" w:val="clear"/>
            <w:tcMar>
              <w:top w:type="dxa" w:w="60"/>
              <w:left w:type="dxa" w:w="100"/>
              <w:bottom w:type="dxa" w:w="60"/>
              <w:right w:type="dxa" w:w="100"/>
            </w:tcMar>
            <w:vAlign w:val="center"/>
          </w:tcPr>
          <w:p>
            <w:pPr>
              <w:spacing w:line="240"/>
              <w:jc w:val="center"/>
            </w:pPr>
            <w:r>
              <w:rPr>
                <w:b/>
                <w:bCs/>
                <w:color w:val="FFFFFF"/>
                <w:sz w:val="17"/>
                <w:szCs w:val="17"/>
              </w:rPr>
              <w:t xml:space="preserve">Transcrição (ID)</w:t>
            </w:r>
          </w:p>
        </w:tc>
        <w:tc>
          <w:tcPr>
            <w:tcW w:type="dxa" w:w="3150"/>
            <w:tcBorders>
              <w:top w:val="single" w:color="9AA0A6" w:sz="4"/>
              <w:left w:val="single" w:color="9AA0A6" w:sz="4"/>
              <w:bottom w:val="single" w:color="9AA0A6" w:sz="4"/>
              <w:right w:val="single" w:color="9AA0A6" w:sz="4"/>
            </w:tcBorders>
            <w:shd w:fill="123BB8" w:color="auto" w:val="clear"/>
            <w:tcMar>
              <w:top w:type="dxa" w:w="60"/>
              <w:left w:type="dxa" w:w="100"/>
              <w:bottom w:type="dxa" w:w="60"/>
              <w:right w:type="dxa" w:w="100"/>
            </w:tcMar>
            <w:vAlign w:val="center"/>
          </w:tcPr>
          <w:p>
            <w:pPr>
              <w:spacing w:line="240"/>
              <w:jc w:val="center"/>
            </w:pPr>
            <w:r>
              <w:rPr>
                <w:b/>
                <w:bCs/>
                <w:color w:val="FFFFFF"/>
                <w:sz w:val="17"/>
                <w:szCs w:val="17"/>
              </w:rPr>
              <w:t xml:space="preserve">Elemento do próprio texto que indica o contexto</w:t>
            </w:r>
          </w:p>
        </w:tc>
        <w:tc>
          <w:tcPr>
            <w:tcW w:type="dxa" w:w="2500"/>
            <w:tcBorders>
              <w:top w:val="single" w:color="9AA0A6" w:sz="4"/>
              <w:left w:val="single" w:color="9AA0A6" w:sz="4"/>
              <w:bottom w:val="single" w:color="9AA0A6" w:sz="4"/>
              <w:right w:val="single" w:color="9AA0A6" w:sz="4"/>
            </w:tcBorders>
            <w:shd w:fill="123BB8" w:color="auto" w:val="clear"/>
            <w:tcMar>
              <w:top w:type="dxa" w:w="60"/>
              <w:left w:type="dxa" w:w="100"/>
              <w:bottom w:type="dxa" w:w="60"/>
              <w:right w:type="dxa" w:w="100"/>
            </w:tcMar>
            <w:vAlign w:val="center"/>
          </w:tcPr>
          <w:p>
            <w:pPr>
              <w:spacing w:line="240"/>
              <w:jc w:val="center"/>
            </w:pPr>
            <w:r>
              <w:rPr>
                <w:b/>
                <w:bCs/>
                <w:color w:val="FFFFFF"/>
                <w:sz w:val="17"/>
                <w:szCs w:val="17"/>
              </w:rPr>
              <w:t xml:space="preserve">Tema tratado</w:t>
            </w:r>
          </w:p>
        </w:tc>
        <w:tc>
          <w:tcPr>
            <w:tcW w:type="dxa" w:w="2050"/>
            <w:tcBorders>
              <w:top w:val="single" w:color="9AA0A6" w:sz="4"/>
              <w:left w:val="single" w:color="9AA0A6" w:sz="4"/>
              <w:bottom w:val="single" w:color="9AA0A6" w:sz="4"/>
              <w:right w:val="single" w:color="9AA0A6" w:sz="4"/>
            </w:tcBorders>
            <w:shd w:fill="123BB8" w:color="auto" w:val="clear"/>
            <w:tcMar>
              <w:top w:type="dxa" w:w="60"/>
              <w:left w:type="dxa" w:w="100"/>
              <w:bottom w:type="dxa" w:w="60"/>
              <w:right w:type="dxa" w:w="100"/>
            </w:tcMar>
            <w:vAlign w:val="center"/>
          </w:tcPr>
          <w:p>
            <w:pPr>
              <w:spacing w:line="240"/>
              <w:jc w:val="center"/>
            </w:pPr>
            <w:r>
              <w:rPr>
                <w:b/>
                <w:bCs/>
                <w:color w:val="FFFFFF"/>
                <w:sz w:val="17"/>
                <w:szCs w:val="17"/>
              </w:rPr>
              <w:t xml:space="preserve">Vínculo com o mandato</w:t>
            </w:r>
          </w:p>
        </w:tc>
      </w:tr>
      <w:tr>
        <w:trPr>
          <w:cantSplit/>
        </w:trPr>
        <w:tc>
          <w:tcPr>
            <w:tcW w:type="dxa" w:w="12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100391206</w:t>
            </w:r>
          </w:p>
        </w:tc>
        <w:tc>
          <w:tcPr>
            <w:tcW w:type="dxa" w:w="31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“tendo como embasamento os balancetes que entram naquela casa, na Câmara Municipal”; “nas últimas sessões fizemos inúmeras denúncias”</w:t>
            </w:r>
          </w:p>
        </w:tc>
        <w:tc>
          <w:tcPr>
            <w:tcW w:type="dxa" w:w="250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Empenhos nº 239 e 370; contratos de limpeza pública; compra de livros; apreensão de numerário</w:t>
            </w:r>
          </w:p>
        </w:tc>
        <w:tc>
          <w:tcPr>
            <w:tcW w:type="dxa" w:w="20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Fiscalização de despesas a partir de balancetes recebidos pela Câmara (art. 31 da CF)</w:t>
            </w:r>
          </w:p>
        </w:tc>
      </w:tr>
      <w:tr>
        <w:trPr>
          <w:cantSplit/>
        </w:trPr>
        <w:tc>
          <w:tcPr>
            <w:tcW w:type="dxa" w:w="12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100391207</w:t>
            </w:r>
          </w:p>
        </w:tc>
        <w:tc>
          <w:tcPr>
            <w:tcW w:type="dxa" w:w="31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“não para os nobres vereadores que aqui estão presentes, que eu peço as minhas vênias” — </w:t>
            </w:r>
            <w:r>
              <w:rPr>
                <w:b/>
                <w:bCs/>
                <w:sz w:val="17"/>
                <w:szCs w:val="17"/>
              </w:rPr>
              <w:t xml:space="preserve">tribuna da Câmara</w:t>
            </w:r>
          </w:p>
        </w:tc>
        <w:tc>
          <w:tcPr>
            <w:tcW w:type="dxa" w:w="250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Resposta a reportagem que o atacou; exibição da própria declaração de rendimentos e do contrato de compra do seu imóvel</w:t>
            </w:r>
          </w:p>
        </w:tc>
        <w:tc>
          <w:tcPr>
            <w:tcW w:type="dxa" w:w="20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Debate político e transparência patrimonial do próprio parlamentar</w:t>
            </w:r>
          </w:p>
        </w:tc>
      </w:tr>
      <w:tr>
        <w:trPr>
          <w:cantSplit/>
        </w:trPr>
        <w:tc>
          <w:tcPr>
            <w:tcW w:type="dxa" w:w="12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100391208</w:t>
            </w:r>
          </w:p>
        </w:tc>
        <w:tc>
          <w:tcPr>
            <w:tcW w:type="dxa" w:w="31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“Já, já, presidente” — </w:t>
            </w:r>
            <w:r>
              <w:rPr>
                <w:b/>
                <w:bCs/>
                <w:sz w:val="17"/>
                <w:szCs w:val="17"/>
              </w:rPr>
              <w:t xml:space="preserve">tribuna da Câmara</w:t>
            </w:r>
          </w:p>
        </w:tc>
        <w:tc>
          <w:tcPr>
            <w:tcW w:type="dxa" w:w="250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Compatibilidade entre a remuneração do prefeito e despesas; recursos do FUNDEB; carnaval</w:t>
            </w:r>
          </w:p>
        </w:tc>
        <w:tc>
          <w:tcPr>
            <w:tcW w:type="dxa" w:w="20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Fiscalização da gestão e da aplicação de recursos públicos</w:t>
            </w:r>
          </w:p>
        </w:tc>
      </w:tr>
      <w:tr>
        <w:trPr>
          <w:cantSplit/>
        </w:trPr>
        <w:tc>
          <w:tcPr>
            <w:tcW w:type="dxa" w:w="12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100391209</w:t>
            </w:r>
          </w:p>
        </w:tc>
        <w:tc>
          <w:tcPr>
            <w:tcW w:type="dxa" w:w="31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Leitura de requerimento em sessão de 27/03/2026: “Presidente, eu gostaria que preservasse a minha fala” — </w:t>
            </w:r>
            <w:r>
              <w:rPr>
                <w:b/>
                <w:bCs/>
                <w:sz w:val="17"/>
                <w:szCs w:val="17"/>
              </w:rPr>
              <w:t xml:space="preserve">tribuna da Câmara</w:t>
            </w:r>
          </w:p>
        </w:tc>
        <w:tc>
          <w:tcPr>
            <w:tcW w:type="dxa" w:w="250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Requerimento de informações ao Secretário de Finanças sobre a apreensão de numerário</w:t>
            </w:r>
          </w:p>
        </w:tc>
        <w:tc>
          <w:tcPr>
            <w:tcW w:type="dxa" w:w="20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Ato legislativo típico (pedido de informação submetido ao Plenário)</w:t>
            </w:r>
          </w:p>
        </w:tc>
      </w:tr>
      <w:tr>
        <w:trPr>
          <w:cantSplit/>
        </w:trPr>
        <w:tc>
          <w:tcPr>
            <w:tcW w:type="dxa" w:w="12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100391210</w:t>
            </w:r>
          </w:p>
        </w:tc>
        <w:tc>
          <w:tcPr>
            <w:tcW w:type="dxa" w:w="31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“eu quero que essa casa me entregue a declaração de bens” — </w:t>
            </w:r>
            <w:r>
              <w:rPr>
                <w:b/>
                <w:bCs/>
                <w:sz w:val="17"/>
                <w:szCs w:val="17"/>
              </w:rPr>
              <w:t xml:space="preserve">tribuna da Câmara</w:t>
            </w:r>
          </w:p>
        </w:tc>
        <w:tc>
          <w:tcPr>
            <w:tcW w:type="dxa" w:w="250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Apreensão de numerário; pedido de acesso à declaração de bens do prefeito</w:t>
            </w:r>
          </w:p>
        </w:tc>
        <w:tc>
          <w:tcPr>
            <w:tcW w:type="dxa" w:w="20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Fiscalização e requisição de documento à Casa Legislativa</w:t>
            </w:r>
          </w:p>
        </w:tc>
      </w:tr>
      <w:tr>
        <w:trPr>
          <w:cantSplit/>
        </w:trPr>
        <w:tc>
          <w:tcPr>
            <w:tcW w:type="dxa" w:w="12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100391211</w:t>
            </w:r>
          </w:p>
        </w:tc>
        <w:tc>
          <w:tcPr>
            <w:tcW w:type="dxa" w:w="31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“não sou eu, é um balancete”; “estava lá nos balancetes, que durante muito tempo a gente não teve acesso”</w:t>
            </w:r>
          </w:p>
        </w:tc>
        <w:tc>
          <w:tcPr>
            <w:tcW w:type="dxa" w:w="250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Pagamentos de aluguel do mesmo imóvel a duas pessoas distintas</w:t>
            </w:r>
          </w:p>
        </w:tc>
        <w:tc>
          <w:tcPr>
            <w:tcW w:type="dxa" w:w="2050"/>
            <w:tcBorders>
              <w:top w:val="single" w:color="9AA0A6" w:sz="4"/>
              <w:left w:val="single" w:color="9AA0A6" w:sz="4"/>
              <w:bottom w:val="single" w:color="9AA0A6" w:sz="4"/>
              <w:right w:val="single" w:color="9AA0A6" w:sz="4"/>
            </w:tcBorders>
            <w:tcMar>
              <w:top w:type="dxa" w:w="60"/>
              <w:left w:type="dxa" w:w="100"/>
              <w:bottom w:type="dxa" w:w="60"/>
              <w:right w:type="dxa" w:w="100"/>
            </w:tcMar>
            <w:vAlign w:val="center"/>
          </w:tcPr>
          <w:p>
            <w:pPr>
              <w:spacing w:line="240"/>
              <w:jc w:val="left"/>
            </w:pPr>
            <w:r>
              <w:rPr>
                <w:sz w:val="17"/>
                <w:szCs w:val="17"/>
              </w:rPr>
              <w:t xml:space="preserve">Fiscalização de despesas a partir de balancetes</w:t>
            </w:r>
          </w:p>
        </w:tc>
      </w:tr>
    </w:tbl>
    <w:p>
      <w:pPr>
        <w:spacing w:after="0"/>
      </w:pPr>
    </w:p>
    <w:p>
      <w:pPr>
        <w:spacing w:after="60" w:line="360"/>
        <w:ind w:firstLine="850"/>
        <w:jc w:val="both"/>
      </w:pPr>
      <w:r>
        <w:t xml:space="preserve">Ao menos quatro das seis transcrições retratam discursos feitos </w:t>
      </w:r>
      <w:r>
        <w:rPr>
          <w:b/>
          <w:bCs/>
          <w:u w:val="single"/>
          <w:shd w:fill="CFE2F3" w:color="auto" w:val="clear"/>
        </w:rPr>
        <w:t xml:space="preserve">no recinto da Câmara Municipal, durante a sessão legislativa</w:t>
      </w:r>
      <w:r>
        <w:t xml:space="preserve">, e as demais tratam expressamente de documentos contábeis encaminhados àquela Casa. Para afastar qualquer dúvida, requer-se a requisição à Câmara Municipal das atas e gravações integrais das sessões realizadas nas datas indicadas na inicial (27/02/2026, 13/03/2026, 27/03/2026 e 09/05/2026), nos termos do art. 438, I, do CPC.</w:t>
      </w:r>
    </w:p>
    <w:p>
      <w:pPr>
        <w:keepNext/>
        <w:tabs>
          <w:tab w:val="left" w:pos="700"/>
        </w:tabs>
        <w:spacing w:after="160" w:before="240" w:line="360"/>
        <w:ind w:left="700" w:hanging="400"/>
      </w:pPr>
      <w:r>
        <w:rPr>
          <w:b/>
          <w:bCs/>
          <w:i/>
          <w:iCs/>
        </w:rPr>
        <w:t xml:space="preserve">b.	</w:t>
      </w:r>
      <w:r>
        <w:rPr>
          <w:b/>
          <w:bCs/>
          <w:i/>
          <w:iCs/>
        </w:rPr>
        <w:t xml:space="preserve">Das manifestações sobre o numerário apreendido:</w:t>
      </w:r>
    </w:p>
    <w:p>
      <w:pPr>
        <w:spacing w:after="60" w:line="360"/>
        <w:ind w:firstLine="850"/>
        <w:jc w:val="both"/>
      </w:pPr>
      <w:r>
        <w:t xml:space="preserve">A inicial apresenta trechos dos IDs 100391209 e 100391210 como imputações definitivas de fraude e de organização criminosa. A leitura integral revela outro contexto: perguntas sobre a procedência dos valores, cobrança de esclarecimentos, pedido de acesso à declaração de bens do prefeito e o uso expresso da locução “</w:t>
      </w:r>
      <w:r>
        <w:rPr>
          <w:b/>
          <w:bCs/>
          <w:u w:val="single"/>
          <w:shd w:fill="CFE2F3" w:color="auto" w:val="clear"/>
        </w:rPr>
        <w:t xml:space="preserve">possível</w:t>
      </w:r>
      <w:r>
        <w:t xml:space="preserve"> fraude nos recursos públicos”.</w:t>
      </w:r>
    </w:p>
    <w:p>
      <w:pPr>
        <w:spacing w:after="60" w:line="360"/>
        <w:ind w:firstLine="850"/>
        <w:jc w:val="both"/>
      </w:pPr>
      <w:r>
        <w:t xml:space="preserve">Quanto à suposta “confissão”, o Autor reproduz “de repente, eu posso estar aqui fazendo uma injúria, né?” e “Mas até que me prove o contrário”, mas </w:t>
      </w:r>
      <w:r>
        <w:rPr>
          <w:b/>
          <w:bCs/>
          <w:u w:val="single"/>
          <w:shd w:fill="CFE2F3" w:color="auto" w:val="clear"/>
        </w:rPr>
        <w:t xml:space="preserve">suprime a ressalva intermediária: “E aí, sendo assim, aí a gente vai ter que se recatar, ter que se redimir”</w:t>
      </w:r>
      <w:r>
        <w:t xml:space="preserve">. O trecho revela disposição de rever a posição diante de fato ainda sob apuração, e não confissão de falsidade ou inversão do ônus da prova.</w:t>
      </w:r>
    </w:p>
    <w:p>
      <w:pPr>
        <w:spacing w:after="60" w:line="360"/>
        <w:ind w:firstLine="850"/>
        <w:jc w:val="both"/>
      </w:pPr>
      <w:r>
        <w:t xml:space="preserve">Já a referência a “sinais claros de formação de organização criminosa” integra a justificativa de </w:t>
      </w:r>
      <w:r>
        <w:rPr>
          <w:b/>
          <w:bCs/>
          <w:u w:val="single"/>
          <w:shd w:fill="CFE2F3" w:color="auto" w:val="clear"/>
        </w:rPr>
        <w:t xml:space="preserve">requerimento lido em sessão da Câmara</w:t>
      </w:r>
      <w:r>
        <w:t xml:space="preserve">, cujo objeto era oficiar o secretário municipal de Finanças para que esclarecesse a apreensão. Na mesma fala, o Réu menciona as denúncias encaminhadas aos órgãos de controle externo </w:t>
      </w:r>
      <w:r>
        <w:rPr>
          <w:b/>
          <w:bCs/>
          <w:shd w:fill="FFF200" w:color="auto" w:val="clear"/>
        </w:rPr>
        <w:t xml:space="preserve">[Doc. 05 – protocolos]</w:t>
      </w:r>
      <w:r>
        <w:t xml:space="preserve">, registra a existência de versões contraditórias e pede a aprovação do requerimento </w:t>
      </w:r>
      <w:r>
        <w:rPr>
          <w:b/>
          <w:bCs/>
          <w:u w:val="single"/>
          <w:shd w:fill="CFE2F3" w:color="auto" w:val="clear"/>
        </w:rPr>
        <w:t xml:space="preserve">“para o próprio secretário ter a oportunidade de apresentar essa documentação”</w:t>
      </w:r>
      <w:r>
        <w:t xml:space="preserve"> </w:t>
      </w:r>
      <w:r>
        <w:rPr>
          <w:b/>
          <w:bCs/>
          <w:shd w:fill="FFF200" w:color="auto" w:val="clear"/>
        </w:rPr>
        <w:t xml:space="preserve">[Doc. 04 – requerimento e ata da sessão de 27/03/2026]</w:t>
      </w:r>
      <w:r>
        <w:t xml:space="preserve">. Há, portanto, relação direta entre o pronunciamento e ato legislativo típico.</w:t>
      </w:r>
    </w:p>
    <w:p>
      <w:pPr>
        <w:keepNext/>
        <w:tabs>
          <w:tab w:val="left" w:pos="700"/>
        </w:tabs>
        <w:spacing w:after="160" w:before="240" w:line="360"/>
        <w:ind w:left="700" w:hanging="400"/>
      </w:pPr>
      <w:r>
        <w:rPr>
          <w:b/>
          <w:bCs/>
          <w:i/>
          <w:iCs/>
        </w:rPr>
        <w:t xml:space="preserve">c.	</w:t>
      </w:r>
      <w:r>
        <w:rPr>
          <w:b/>
          <w:bCs/>
          <w:i/>
          <w:iCs/>
        </w:rPr>
        <w:t xml:space="preserve">Das manifestações sobre os empenhos nº 239 e nº 370:</w:t>
      </w:r>
    </w:p>
    <w:p>
      <w:pPr>
        <w:spacing w:after="60" w:line="360"/>
        <w:ind w:firstLine="850"/>
        <w:jc w:val="both"/>
      </w:pPr>
      <w:r>
        <w:t xml:space="preserve">Na transcrição de ID 100391206, o Réu inicia esclarecendo que atua na fiscalização da administração com base nos balancetes encaminhados à Câmara e identifica os empenhos, as notas de liquidação, as notas fiscais e os valores pagos, apontando o que apresenta como divergências </w:t>
      </w:r>
      <w:r>
        <w:rPr>
          <w:b/>
          <w:bCs/>
          <w:shd w:fill="FFF200" w:color="auto" w:val="clear"/>
        </w:rPr>
        <w:t xml:space="preserve">[Doc. 06 – balancetes / notas de empenho 239 e 370]</w:t>
      </w:r>
      <w:r>
        <w:t xml:space="preserve">. A manifestação possui referência documental específica, cuja correção depende de confronto com os registros correspondentes, e o Autor, embora detenha a guarda de tais documentos como gestor, não trouxe aos autos nenhum elemento que infirme os valores apontados.</w:t>
      </w:r>
    </w:p>
    <w:p>
      <w:pPr>
        <w:spacing w:after="60" w:line="360"/>
        <w:ind w:firstLine="850"/>
        <w:jc w:val="both"/>
      </w:pPr>
      <w:r>
        <w:t xml:space="preserve">A expressão “verdadeiramente tenebrosa” qualifica a situação contábil descrita, e a referência a “sinais claros e evidentes de </w:t>
      </w:r>
      <w:r>
        <w:rPr>
          <w:b/>
          <w:bCs/>
          <w:u w:val="single"/>
          <w:shd w:fill="CFE2F3" w:color="auto" w:val="clear"/>
        </w:rPr>
        <w:t xml:space="preserve">possível</w:t>
      </w:r>
      <w:r>
        <w:t xml:space="preserve"> enriquecimento ilícito” aparece antes da exposição dos empenhos, no contexto geral da crítica à gestão, preservando o caráter de suspeita. A sequência da fala, sobre limpeza pública e aquisição de livros, confirma a finalidade fiscalizatória.</w:t>
      </w:r>
    </w:p>
    <w:p>
      <w:pPr>
        <w:keepNext/>
        <w:tabs>
          <w:tab w:val="left" w:pos="700"/>
        </w:tabs>
        <w:spacing w:after="160" w:before="240" w:line="360"/>
        <w:ind w:left="700" w:hanging="400"/>
      </w:pPr>
      <w:r>
        <w:rPr>
          <w:b/>
          <w:bCs/>
          <w:i/>
          <w:iCs/>
        </w:rPr>
        <w:t xml:space="preserve">d.	</w:t>
      </w:r>
      <w:r>
        <w:rPr>
          <w:b/>
          <w:bCs/>
          <w:i/>
          <w:iCs/>
        </w:rPr>
        <w:t xml:space="preserve">Das manifestações sobre aluguéis, patrimônio familiar e custeio de campanha:</w:t>
      </w:r>
    </w:p>
    <w:p>
      <w:pPr>
        <w:spacing w:after="60" w:line="360"/>
        <w:ind w:firstLine="850"/>
        <w:jc w:val="both"/>
      </w:pPr>
      <w:r>
        <w:t xml:space="preserve">Quanto aos aluguéis (ID 100391211), o Réu menciona registros dos balancetes referentes ao mesmo imóvel e ao mesmo valor de R$ 3.036,00, pagos em nome de pessoa física e do Centro Educacional Malta </w:t>
      </w:r>
      <w:r>
        <w:rPr>
          <w:b/>
          <w:bCs/>
          <w:shd w:fill="FFF200" w:color="auto" w:val="clear"/>
        </w:rPr>
        <w:t xml:space="preserve">[Doc. 07 – registros de pagamento]</w:t>
      </w:r>
      <w:r>
        <w:t xml:space="preserve">, e afirma existirem “fortes indícios” de “</w:t>
      </w:r>
      <w:r>
        <w:rPr>
          <w:b/>
          <w:bCs/>
          <w:u w:val="single"/>
          <w:shd w:fill="CFE2F3" w:color="auto" w:val="clear"/>
        </w:rPr>
        <w:t xml:space="preserve">possível</w:t>
      </w:r>
      <w:r>
        <w:t xml:space="preserve"> formação de quadrilha”, acrescentando: “não sou eu que estou inventando, está aqui, estava lá nos balancetes”. A fala tem objeto administrativo determinado, fundamento documental explicitado e é dirigida a terceiro que não integra a lide (art. 18 do CPC).</w:t>
      </w:r>
    </w:p>
    <w:p>
      <w:pPr>
        <w:spacing w:after="60" w:line="360"/>
        <w:ind w:firstLine="850"/>
        <w:jc w:val="both"/>
      </w:pPr>
      <w:r>
        <w:t xml:space="preserve">Quanto ao patrimônio e às despesas familiares (ID 100391208), a fala, </w:t>
      </w:r>
      <w:r>
        <w:rPr>
          <w:b/>
          <w:bCs/>
          <w:u w:val="single"/>
          <w:shd w:fill="CFE2F3" w:color="auto" w:val="clear"/>
        </w:rPr>
        <w:t xml:space="preserve">proferida da tribuna (“Já, já, presidente”)</w:t>
      </w:r>
      <w:r>
        <w:t xml:space="preserve">, compara a remuneração atribuída ao prefeito às despesas mencionadas, valendo-se das expressões “que eu saiba” e “supostamente” e da declaração expressa: </w:t>
      </w:r>
      <w:r>
        <w:rPr>
          <w:b/>
          <w:bCs/>
          <w:u w:val="single"/>
          <w:shd w:fill="CFE2F3" w:color="auto" w:val="clear"/>
        </w:rPr>
        <w:t xml:space="preserve">“Mas eu vou investigar para ter a certeza”</w:t>
      </w:r>
      <w:r>
        <w:t xml:space="preserve">. A referência aos cursos de medicina não imputa ao filho do Autor qualquer conduta ilícita, e a afirmação sobre o custeio de campanha dos primos (“só pode ser com recurso público”) vem imediatamente acompanhada de “Muito provavelmente”.</w:t>
      </w:r>
    </w:p>
    <w:p>
      <w:pPr>
        <w:spacing w:after="60" w:line="360"/>
        <w:ind w:firstLine="850"/>
        <w:jc w:val="both"/>
      </w:pPr>
      <w:r>
        <w:t xml:space="preserve">Na fala de ID 100391207, por sua vez, o Réu responde a reportagem que questionara o seu próprio patrimônio, </w:t>
      </w:r>
      <w:r>
        <w:rPr>
          <w:b/>
          <w:bCs/>
          <w:u w:val="single"/>
          <w:shd w:fill="CFE2F3" w:color="auto" w:val="clear"/>
        </w:rPr>
        <w:t xml:space="preserve">expondo publicamente sua declaração de imposto de renda e o contrato de aquisição do seu imóvel</w:t>
      </w:r>
      <w:r>
        <w:t xml:space="preserve">, o que evidencia debate sobre transparência patrimonial de agentes públicos, e não ataque gratuito à vida privada.</w:t>
      </w:r>
    </w:p>
    <w:p>
      <w:pPr>
        <w:keepNext/>
        <w:tabs>
          <w:tab w:val="left" w:pos="700"/>
        </w:tabs>
        <w:spacing w:after="160" w:before="240" w:line="360"/>
        <w:ind w:left="700" w:hanging="400"/>
      </w:pPr>
      <w:r>
        <w:rPr>
          <w:b/>
          <w:bCs/>
          <w:i/>
          <w:iCs/>
        </w:rPr>
        <w:t xml:space="preserve">e.	</w:t>
      </w:r>
      <w:r>
        <w:rPr>
          <w:b/>
          <w:bCs/>
          <w:i/>
          <w:iCs/>
        </w:rPr>
        <w:t xml:space="preserve">Da impugnação à forma de apresentação da prova (art. 436 do CPC):</w:t>
      </w:r>
    </w:p>
    <w:p>
      <w:pPr>
        <w:spacing w:after="60" w:line="360"/>
        <w:ind w:firstLine="850"/>
        <w:jc w:val="both"/>
      </w:pPr>
      <w:r>
        <w:t xml:space="preserve">Sem negar a autoria dos pronunciamentos, o Réu impugna especificamente a </w:t>
      </w:r>
      <w:r>
        <w:rPr>
          <w:b/>
          <w:bCs/>
          <w:u w:val="single"/>
          <w:shd w:fill="CFE2F3" w:color="auto" w:val="clear"/>
        </w:rPr>
        <w:t xml:space="preserve">completude e a fidedignidade</w:t>
      </w:r>
      <w:r>
        <w:t xml:space="preserve"> do material apresentado como prova do seu conteúdo (art. 436, II e III, do CPC):</w:t>
      </w:r>
    </w:p>
    <w:p>
      <w:pPr>
        <w:tabs>
          <w:tab w:val="left" w:pos="1000"/>
        </w:tabs>
        <w:spacing w:after="60" w:line="360"/>
        <w:ind w:left="1000" w:hanging="400"/>
        <w:jc w:val="both"/>
      </w:pPr>
      <w:r>
        <w:t xml:space="preserve">1.	</w:t>
      </w:r>
      <w:r>
        <w:t xml:space="preserve">o relatório Verifact (ID 100391201), produzido em 23/06/2026 sob o título “Postagens Ely Sandro – Queixa Crime”, contém apenas 2min33s de vídeo-captura para sete publicações, demonstrando a existência das postagens naquela data, e não o seu conteúdo integral;</w:t>
      </w:r>
    </w:p>
    <w:p>
      <w:pPr>
        <w:tabs>
          <w:tab w:val="left" w:pos="1000"/>
        </w:tabs>
        <w:spacing w:after="60" w:line="360"/>
        <w:ind w:left="1000" w:hanging="400"/>
        <w:jc w:val="both"/>
      </w:pPr>
      <w:r>
        <w:t xml:space="preserve">2.	</w:t>
      </w:r>
      <w:r>
        <w:t xml:space="preserve">não há captura de tela do “Vídeo 07”, que sequer tem data indicada na inicial;</w:t>
      </w:r>
    </w:p>
    <w:p>
      <w:pPr>
        <w:tabs>
          <w:tab w:val="left" w:pos="1000"/>
        </w:tabs>
        <w:spacing w:after="60" w:line="360"/>
        <w:ind w:left="1000" w:hanging="400"/>
        <w:jc w:val="both"/>
      </w:pPr>
      <w:r>
        <w:t xml:space="preserve">3.	</w:t>
      </w:r>
      <w:r>
        <w:t xml:space="preserve">as transcrições (IDs 100391206 a 100391211) foram elaboradas unilateralmente, a partir de arquivos obtidos por ferramenta de terceiros (“FDownloader”), sem cadeia de custódia, contêm erros evidentes (“família Rebeiro”, “professor Concussado Botelinco”, “Elisandro Weiss e Silva”) e não indicam a qual vídeo, URL e data correspondem;</w:t>
      </w:r>
    </w:p>
    <w:p>
      <w:pPr>
        <w:tabs>
          <w:tab w:val="left" w:pos="1000"/>
        </w:tabs>
        <w:spacing w:after="60" w:line="360"/>
        <w:ind w:left="1000" w:hanging="400"/>
        <w:jc w:val="both"/>
      </w:pPr>
      <w:r>
        <w:t xml:space="preserve">4.	</w:t>
      </w:r>
      <w:r>
        <w:t xml:space="preserve">os trechos citados na inicial foram extraídos de forma seletiva, com supressão das ressalvas que lhes conferem sentido.</w:t>
      </w:r>
    </w:p>
    <w:p>
      <w:pPr>
        <w:spacing w:after="60" w:line="360"/>
        <w:ind w:firstLine="850"/>
        <w:jc w:val="both"/>
      </w:pPr>
      <w:r>
        <w:t xml:space="preserve">Requer-se que as transcrições não sejam tomadas como reprodução fiel e integral das falas, prevalecendo, em caso de divergência, o teor integral das mídias e das gravações oficiais das sessões.</w:t>
      </w:r>
    </w:p>
    <w:p>
      <w:pPr>
        <w:shd w:fill="123BB8" w:color="auto" w:val="clear"/>
        <w:tabs>
          <w:tab w:val="left" w:pos="1000"/>
        </w:tabs>
        <w:spacing w:after="240" w:before="360" w:line="360"/>
        <w:ind w:left="0"/>
      </w:pPr>
      <w:r>
        <w:rPr>
          <w:b/>
          <w:bCs/>
          <w:i/>
          <w:iCs/>
          <w:color w:val="FFFFFF"/>
        </w:rPr>
        <w:t xml:space="preserve">	Do mérito.</w:t>
      </w:r>
    </w:p>
    <w:p>
      <w:pPr>
        <w:keepNext/>
        <w:tabs>
          <w:tab w:val="left" w:pos="700"/>
        </w:tabs>
        <w:spacing w:after="160" w:before="240" w:line="360"/>
        <w:ind w:left="700" w:hanging="400"/>
      </w:pPr>
      <w:r>
        <w:rPr>
          <w:b/>
          <w:bCs/>
          <w:i/>
          <w:iCs/>
        </w:rPr>
        <w:t xml:space="preserve">a.	</w:t>
      </w:r>
      <w:r>
        <w:rPr>
          <w:b/>
          <w:bCs/>
          <w:i/>
          <w:iCs/>
        </w:rPr>
        <w:t xml:space="preserve">Da imunidade parlamentar material, nos termos do art. 29, inciso VIII, da Constituição Federal:</w:t>
      </w:r>
    </w:p>
    <w:p>
      <w:pPr>
        <w:spacing w:after="60" w:line="360"/>
        <w:ind w:firstLine="850"/>
        <w:jc w:val="both"/>
      </w:pPr>
      <w:r>
        <w:t xml:space="preserve">A Constituição Federal de 1988, ao disciplinar a organização político-administrativa dos Municípios, assegura aos Vereadores, no art. 29, inciso VIII, a garantia da inviolabilidade por suas opiniões, palavras e votos, no exercício do mandato e na circunscrição do Município. </w:t>
      </w:r>
      <w:r>
        <w:rPr>
          <w:i/>
          <w:iCs/>
        </w:rPr>
        <w:t xml:space="preserve">In verbis</w:t>
      </w:r>
      <w:r>
        <w:t xml:space="preserve">:</w:t>
      </w:r>
    </w:p>
    <w:p>
      <w:pPr>
        <w:pBdr>
          <w:top w:val="single" w:color="9AA0A6" w:sz="4" w:space="6"/>
        </w:pBdr>
        <w:spacing w:after="0" w:before="160" w:line="240"/>
        <w:ind w:left="2270" w:right="570"/>
        <w:jc w:val="both"/>
      </w:pPr>
      <w:r>
        <w:rPr>
          <w:b/>
          <w:bCs/>
          <w:i/>
          <w:iCs/>
          <w:sz w:val="18"/>
          <w:szCs w:val="18"/>
        </w:rPr>
        <w:t xml:space="preserve">Art. 29</w:t>
      </w:r>
      <w:r>
        <w:rPr>
          <w:i/>
          <w:iCs/>
          <w:sz w:val="18"/>
          <w:szCs w:val="18"/>
        </w:rPr>
        <w:t xml:space="preserve"> [...]</w:t>
      </w:r>
    </w:p>
    <w:p>
      <w:pPr>
        <w:pBdr>
          <w:bottom w:val="single" w:color="9AA0A6" w:sz="4" w:space="6"/>
        </w:pBdr>
        <w:spacing w:after="200" w:before="0" w:line="240"/>
        <w:ind w:left="2270" w:right="570"/>
        <w:jc w:val="both"/>
      </w:pPr>
      <w:r>
        <w:rPr>
          <w:i/>
          <w:iCs/>
          <w:sz w:val="18"/>
          <w:szCs w:val="18"/>
        </w:rPr>
        <w:t xml:space="preserve">VIII - inviolabilidade dos Vereadores por suas opiniões, palavras e votos no exercício do mandato e na circunscrição do Município; (Renumerado do inciso VI, pela Emenda Constitucional nº 1, de 1992)</w:t>
      </w:r>
    </w:p>
    <w:p>
      <w:pPr>
        <w:spacing w:after="60" w:line="360"/>
        <w:ind w:firstLine="850"/>
        <w:jc w:val="both"/>
      </w:pPr>
      <w:r>
        <w:t xml:space="preserve">Trata-se de prerrogativa constitucional de natureza material, distinta e autônoma em relação a eventuais imunidades de caráter processual, cujo escopo é assegurar ao parlamentar municipal a liberdade necessária ao pleno exercício da função fiscalizadora e representativa que lhe é conferida pelo mandato eletivo, sem o temor de represálias judiciais por manifestações vinculadas à atividade parlamentar.</w:t>
      </w:r>
    </w:p>
    <w:p>
      <w:pPr>
        <w:spacing w:after="60" w:line="360"/>
        <w:ind w:firstLine="850"/>
        <w:jc w:val="both"/>
      </w:pPr>
      <w:r>
        <w:t xml:space="preserve">Nesse sentido, tem-se o seguinte precedente de observância obrigatória do Supremo Tribunal Federal:</w:t>
      </w:r>
    </w:p>
    <w:p>
      <w:pPr>
        <w:pBdr>
          <w:top w:val="single" w:color="9AA0A6" w:sz="4" w:space="6"/>
        </w:pBdr>
        <w:spacing w:after="0" w:before="160" w:line="240"/>
        <w:ind w:left="2270" w:right="570"/>
        <w:jc w:val="both"/>
      </w:pPr>
      <w:r>
        <w:rPr>
          <w:i w:val="false"/>
          <w:iCs w:val="false"/>
          <w:sz w:val="18"/>
          <w:szCs w:val="18"/>
        </w:rPr>
        <w:t xml:space="preserve">CONSTITUCIONAL. RECURSO EXTRAORDINÁRIO. INVIOLABILIDADE CIVIL DAS OPINIÕES, PALAVRAS E VOTOS DE VEREADORES. PROTEÇÃO ADICIONAL À LIBERDADE DE EXPRESSÃO. AFASTAMENTO DA REPRIMENDA JUDICIAL POR OFENSAS MANIFESTADAS NO EXERCÍCIO DO MANDATO E NA CIRCUNSCRIÇÃO DO MUNICÍPIO. PROVIMENTO DO RECURSO. 1. Vereador que, em sessão da Câmara, teria se manifestado de forma a ofender ex-vereador, afirmando que este “apoiou a corrupção [...], a ladroeira, [...] a sem-vergonhice”, sendo pessoa sem dignidade e sem moral. 2. Observância, no caso, dos limites previstos no art. 29, VIII, da Constituição: manifestação proferida no exercício do mandato e na circunscrição do Município. </w:t>
      </w:r>
      <w:r>
        <w:rPr>
          <w:b/>
          <w:bCs/>
          <w:i w:val="false"/>
          <w:iCs w:val="false"/>
          <w:sz w:val="18"/>
          <w:szCs w:val="18"/>
          <w:u w:val="single"/>
          <w:shd w:fill="CFE2F3" w:color="auto" w:val="clear"/>
        </w:rPr>
        <w:t xml:space="preserve">3. A interpretação da locução “no exercício do mandato” deve prestigiar as diferentes vertentes da atuação parlamentar, dentre as quais se destaca a fiscalização dos outros Poderes e o debate político. 4. Embora indesejáveis, as ofensas pessoais proferidas no âmbito da discussão política, respeitados os limites trazidos pela própria Constituição, não são passíveis de reprimenda judicial.</w:t>
      </w:r>
      <w:r>
        <w:rPr>
          <w:i w:val="false"/>
          <w:iCs w:val="false"/>
          <w:sz w:val="18"/>
          <w:szCs w:val="18"/>
        </w:rPr>
        <w:t xml:space="preserve"> Imunidade que se caracteriza como proteção adicional à liberdade de expressão, visando a assegurar a fluência do debate público e, em última análise, a própria democracia. 5. A ausência de controle judicial não imuniza completamente as manifestações dos parlamentares, que podem ser repreendidas pelo Legislativo. 6. Provimento do recurso, com fixação, em repercussão geral, da seguinte tese: nos limites da circunscrição do Município e havendo pertinência com o exercício do mandato, os vereadores são imunes judicialmente por suas palavras, opiniões e votos.</w:t>
      </w:r>
    </w:p>
    <w:p>
      <w:pPr>
        <w:pBdr>
          <w:bottom w:val="single" w:color="9AA0A6" w:sz="4" w:space="6"/>
        </w:pBdr>
        <w:spacing w:after="200" w:before="0" w:line="240"/>
        <w:ind w:left="2270" w:right="570"/>
        <w:jc w:val="both"/>
      </w:pPr>
      <w:r>
        <w:rPr>
          <w:i w:val="false"/>
          <w:iCs w:val="false"/>
          <w:sz w:val="18"/>
          <w:szCs w:val="18"/>
        </w:rPr>
        <w:t xml:space="preserve">(STF - RE: 600063 SP, Relator.: MARCO AURÉLIO, Data de Julgamento: 25/02/2015, Tribunal Pleno, Data de Publicação: 15/05/2015)</w:t>
      </w:r>
    </w:p>
    <w:p>
      <w:pPr>
        <w:spacing w:after="60" w:line="360"/>
        <w:ind w:firstLine="850"/>
        <w:jc w:val="both"/>
      </w:pPr>
      <w:r>
        <w:t xml:space="preserve">É dizer, o Supremo Tribunal Federal, no julgamento do Recurso Extraordinário nº 600.063 (Tema 469), fixou tese de observância obrigatória no sentido de que, nos limites da circunscrição do Município e havendo pertinência com o exercício do mandato, os Vereadores são imunes judicialmente por suas palavras, opiniões e votos. A aplicação da imunidade material exige, portanto, o preenchimento cumulativo de dois requisitos: a pertinência temática entre a manifestação e o exercício do mandato parlamentar e a circunstância de a manifestação ter sido proferida nos limites territoriais do Município. Note-se que o caso paradigma guarda notável semelhança com o presente: ofensas proferidas em sessão da Câmara, imputando a outrem apoio à “corrupção” e à “ladroeira”.</w:t>
      </w:r>
    </w:p>
    <w:p>
      <w:pPr>
        <w:spacing w:after="60" w:line="360"/>
        <w:ind w:firstLine="850"/>
        <w:jc w:val="both"/>
      </w:pPr>
      <w:r>
        <w:t xml:space="preserve">No mesmo sentido, cita-se o seguinte precedente do TJ-CE:</w:t>
      </w:r>
    </w:p>
    <w:p>
      <w:pPr>
        <w:pBdr>
          <w:top w:val="single" w:color="9AA0A6" w:sz="4" w:space="6"/>
        </w:pBdr>
        <w:spacing w:after="0" w:before="160" w:line="240"/>
        <w:ind w:left="2270" w:right="570"/>
        <w:jc w:val="both"/>
      </w:pPr>
      <w:r>
        <w:rPr>
          <w:i w:val="false"/>
          <w:iCs w:val="false"/>
          <w:sz w:val="18"/>
          <w:szCs w:val="18"/>
        </w:rPr>
        <w:t xml:space="preserve">DIREITO PROCESSUAL CIVIL E CIVIL. APELAÇÃO CÍVEL. INDENIZAÇÃO POR DANOS MORAIS. OFENSAS VERBAIS PROFERIDAS POR PARLAMENTAR. VEREADOR NO EXERCÍCIO DO MANDATO. INVIOLABILIDADE MATERIAL. IMUNIDADE PARLAMENTAR. AUSÊNCIA DE ATO ILÍCITO. SENTENÇA MANTIDA. RECURSO CONHECIDO MAS NÃO PROVIDO. 1. Além da função legislativa, o vereador tem o poder e o dever de fiscalizar a administração municipal, acompanhando o Poder Executivo na correta aplicação do dinheiro público. 2. Para o bom desempenho do múnus público, a Constituição Federal prevê em favor dos vereadores a prerrogativa da imunidade material, consoante art. 29, inciso VIII. </w:t>
      </w:r>
      <w:r>
        <w:rPr>
          <w:b/>
          <w:bCs/>
          <w:i w:val="false"/>
          <w:iCs w:val="false"/>
          <w:sz w:val="18"/>
          <w:szCs w:val="18"/>
          <w:u w:val="single"/>
          <w:shd w:fill="CFE2F3" w:color="auto" w:val="clear"/>
        </w:rPr>
        <w:t xml:space="preserve">3. Há muito vem se entendendo que a imunidade parlamentar material brasileira tem caráter absoluto, o que indica que uma vez proferidas palavras, opiniões, votos ou até agressões verbais diretas no interior das casas legislativas estas estão acobertadas pelo manto da ausência de responsabilidade do agente.</w:t>
      </w:r>
      <w:r>
        <w:rPr>
          <w:i w:val="false"/>
          <w:iCs w:val="false"/>
          <w:sz w:val="18"/>
          <w:szCs w:val="18"/>
        </w:rPr>
        <w:t xml:space="preserve"> Assim, o autor das palavras se vale de um mecanismo constitucional que tolhe a eficácia de outro, também fundamental, e de aplicabilidade erga omnes, garantido a todo brasileiro. 4. Essa atipicidade da conduta do agente é um verdadeiro corolário da inviolabilidade dos membros do Congresso (extensão aos vereadores que possuem imunidade material), destinada a viabilizar a prática independente dos mandatos legislativos dos quais são titulares. Nas palavras do Ministro Ayres Brito, "a palavra inviolabilidade significa intocabilidade, intangibilidade do parlamentar quanto ao cometimento de crime ou contravenção. Tal inviolabilidade é de natureza material e decorre da função parlamentar, porque em jogo a representatividade do povo." (STF, RE 576074 RJ, Relator Ministro LUIZ FUX, d.j. 26/04/2011). 5. Contudo, deve ser ressaltado que a aplicabilidade da imunidade material deve incidir quando as palavras e opiniões forem proferidas em decorrência da função. Não se pode tolerar que essa prerrogativa seja utilizada com o fim de conferir ao parlamentar o direito de empregar expedientes fraudulentos, artificiosos ou ardilosos, com o objetivo de alterar a verdade de informações, acobertando, assim, fato desonroso a terceiro. 6. Nessa esteira, destaca-se julgado vinculante do Supremo Tribunal Federal, o qual dispõe que a regra imunizante incide também aos parlamentares municipais, quando as palavras forem proferidas e guardem pertinência com o exercício da atividade parlamentar (...) 7. Restou, assim, fixada em sede de repercussão geral (vinculante) a seguinte tese: "nos limites da circunscrição do Município e havendo pertinência com o exercício do mandato, os vereadores são imunes judicialmente por suas palavras, opiniões e votos". No mesmo sentido precedentes do STJ e do TJCE. 8. No caso em análise, não vislumbro qualquer ato ilícito realizado pela parte apelada que pudesse gerar a indenização por danos morais pleiteada. A hipótese demonstra que o apelado, à época, ocupante do cargo de Vereador do município de Canindé/CE, ao utilizar a tribuna da respectiva Casa Legislativa, proferiu diversas ofensas à honra e à imagem do apelante, à época, também vereador. Na ocasião, o apelado teria afirmado que o apelante "responde tudo o que não presta, inclusive responde processo por assédio e que não era nem para estar pedindo voto ao povo". 9. Convém destacar que é ônus do apelante fazer prova dos atos constitutivos de seu direito, nos moldes traçados no art. 373, inciso I, do Código de Processo Civil, ao passo que compete ao apelado provar a existência de fato impeditivo, modificativo ou extintivo do direito do autor (art. 373, inciso II, do CPC/15). 10. Pelos fatos narrados, não há como vislumbrar qualquer excesso que configure abuso na liberdade do exercício das funções representativas do demandado. Nesse ponto, destaca-se que a Constituição Federal garante imunidade parlamentar aos membros do Legislativo municipal em relação às opiniões e palavras exteriorizadas no âmbito municipal. 11. Não houve comprovação de violação aos direitos da personalidade, tampouco restou evidenciada que a atuação do suposto ofensor exacerbou os limites da imunidade parlamentar. 12. Portanto, nesse caso, para a configuração do dano moral, é imprescindível que a situação concreta, além de não decorrer do exercício do mandato, não sendo assim abarcada pela imunidade parlamentar, também apresente circunstâncias fáticas que demonstrem que o ilícito teve o condão de gerar consequências que extrapolem os meros aborrecimentos e transtornos decorrentes do desentendimento, o que não ocorreu in casu. </w:t>
      </w:r>
      <w:r>
        <w:rPr>
          <w:b/>
          <w:bCs/>
          <w:i w:val="false"/>
          <w:iCs w:val="false"/>
          <w:sz w:val="18"/>
          <w:szCs w:val="18"/>
          <w:u w:val="single"/>
          <w:shd w:fill="CFE2F3" w:color="auto" w:val="clear"/>
        </w:rPr>
        <w:t xml:space="preserve">13. No presente caso, embora narre-se situação que em tese poder-se-ia considerar como fato gerador de responsabilidade civil, vê-se que a conduta narrada encontra-se albergada pela imunidade material do parlamentar, sendo, portanto, considerada causa excludente de responsabilidade civil, por indicar a ausência de ilicitude do fato.</w:t>
      </w:r>
      <w:r>
        <w:rPr>
          <w:i w:val="false"/>
          <w:iCs w:val="false"/>
          <w:sz w:val="18"/>
          <w:szCs w:val="18"/>
        </w:rPr>
        <w:t xml:space="preserve"> 14. Recurso conhecido mas não provido. (...)</w:t>
      </w:r>
    </w:p>
    <w:p>
      <w:pPr>
        <w:pBdr>
          <w:bottom w:val="single" w:color="9AA0A6" w:sz="4" w:space="6"/>
        </w:pBdr>
        <w:spacing w:after="200" w:before="0" w:line="240"/>
        <w:ind w:left="2270" w:right="570"/>
        <w:jc w:val="both"/>
      </w:pPr>
      <w:r>
        <w:rPr>
          <w:i w:val="false"/>
          <w:iCs w:val="false"/>
          <w:sz w:val="18"/>
          <w:szCs w:val="18"/>
        </w:rPr>
        <w:t xml:space="preserve">(TJ-CE - AC: 00504881420218060055 Canindé, Relator: CARLOS ALBERTO MENDES FORTE, Data de Julgamento: 02/03/2022, 2ª Câmara Direito Privado, Data de Publicação: 02/03/2022)</w:t>
      </w:r>
    </w:p>
    <w:p>
      <w:pPr>
        <w:spacing w:after="60" w:line="360"/>
        <w:ind w:firstLine="850"/>
        <w:jc w:val="both"/>
      </w:pPr>
      <w:r>
        <w:t xml:space="preserve">Apenas para corroborar, cita-se ainda o recentíssimo caso julgado pela Suprema Corte, de relatoria do Min. Gilmar Mendes, em ação indenizatória movida por Prefeito contra Vereador, hipótese idêntica à dos autos:</w:t>
      </w:r>
    </w:p>
    <w:p>
      <w:pPr>
        <w:pBdr>
          <w:top w:val="single" w:color="9AA0A6" w:sz="4" w:space="6"/>
        </w:pBdr>
        <w:spacing w:after="0" w:before="160" w:line="240"/>
        <w:ind w:left="2270" w:right="570"/>
        <w:jc w:val="both"/>
      </w:pPr>
      <w:r>
        <w:rPr>
          <w:i w:val="false"/>
          <w:iCs w:val="false"/>
          <w:sz w:val="18"/>
          <w:szCs w:val="18"/>
        </w:rPr>
        <w:t xml:space="preserve">Ementa: DIREITO CONSTITUCIONAL E CIVIL. RECURSO EXTRAORDINÁRIO. AGRAVO REGIMENTAL. IMUNIDADE PARLAMENTAR MATERIAL DE VEREADOR. MANIFESTAÇÕES VEICULADAS NA IMPRENSA. CRÍTICAS ÁCIDAS À GESTÃO MUNICIPAL. NEXO COM O EXERCÍCIO DO MANDATO. IMPROCEDÊNCIA DO PEDIDO INDENIZATÓRIO. I. CASO EM EXAME 1. Agravo regimental em recurso extraordinário interposto em ação indenizatória ajuizada por Emanuel Pinheiro, então Prefeito do Município de Cuiabá/MT, em face de Diego Guimarães, então vereador, em razão de declarações prestadas ao portal jornalístico “Leiagora”, nas quais o parlamentar, ao criticar a condução da gestão municipal, especialmente quanto ao não repasse de verbas federais destinadas a hospitais, utilizou expressões ácidas. O Tribunal de origem manteve a condenação por entender ultrapassados os limites da crítica pública e dos padrões de civilidade. II. QUESTÃO EM DISCUSSÃO 2. Há 2 questões em discussão: (i) definir se manifestações de vereador, proferidas fora do recinto da Câmara e divulgadas em meio de comunicação social, estão protegidas pela imunidade parlamentar material quando guardam pertinência com o exercício do mandato; e (ii) estabelecer se expressões duras e ácidas dirigidas ao Prefeito, no contexto de crítica à gestão pública municipal, configuram abuso desvinculado da função parlamentar ou integram o debate político e a atividade fiscalizatória do mandato. III. RAZÕES DE DECIDIR 3. A imunidade parlamentar material constitui garantia institucional destinada a resguardar o exercício livre, independente e desembaraçado da função legislativa, e não privilégio pessoal do parlamentar. </w:t>
      </w:r>
      <w:r>
        <w:rPr>
          <w:b/>
          <w:bCs/>
          <w:i w:val="false"/>
          <w:iCs w:val="false"/>
          <w:sz w:val="18"/>
          <w:szCs w:val="18"/>
          <w:u w:val="single"/>
          <w:shd w:fill="CFE2F3" w:color="auto" w:val="clear"/>
        </w:rPr>
        <w:t xml:space="preserve">4. A proteção constitucional alcança manifestações proferidas fora do recinto da Casa Legislativa, inclusive na imprensa e em mídias sociais, desde que relacionadas ao exercício do mandato.</w:t>
      </w:r>
      <w:r>
        <w:rPr>
          <w:i w:val="false"/>
          <w:iCs w:val="false"/>
          <w:sz w:val="18"/>
          <w:szCs w:val="18"/>
        </w:rPr>
        <w:t xml:space="preserve"> 5. O exercício do mandato parlamentar abrange não apenas a função legislativa típica, mas também a fiscalização dos demais Poderes e a promoção do debate político sobre temas de interesse público. 6. No caso, as declarações do vereador dizem respeito à alegada ausência de repasse de verbas federais a hospitais municipais, tema diretamente ligado à administração pública local, à saúde pública e ao dever fiscalizatório do parlamentar. 7. As expressões utilizadas, embora ásperas e indesejáveis, foram empregadas no contexto de crítica político-administrativa dirigida ao chefe do Executivo municipal, o que evidencia nexo com o exercício do mandato e com a circunscrição do Município. </w:t>
      </w:r>
      <w:r>
        <w:rPr>
          <w:b/>
          <w:bCs/>
          <w:i w:val="false"/>
          <w:iCs w:val="false"/>
          <w:sz w:val="18"/>
          <w:szCs w:val="18"/>
          <w:u w:val="single"/>
          <w:shd w:fill="CFE2F3" w:color="auto" w:val="clear"/>
        </w:rPr>
        <w:t xml:space="preserve">8. A restrição judicial a esse tipo de manifestação, quando inserida na crítica à gestão pública e no debate político, comprime indevidamente o espaço democrático de fiscalização e enfraquece a função representativa exercida pelo vereador como porta-voz da sociedade.</w:t>
      </w:r>
      <w:r>
        <w:rPr>
          <w:i w:val="false"/>
          <w:iCs w:val="false"/>
          <w:sz w:val="18"/>
          <w:szCs w:val="18"/>
        </w:rPr>
        <w:t xml:space="preserve"> 9. A jurisprudência do Supremo Tribunal Federal firma compreensão de que, presentes a pertinência temática com o mandato e a atuação na circunscrição municipal, os vereadores são imunes judicialmente por suas palavras, opiniões e votos, ainda que as manifestações tenham conteúdo ofensivo no calor do debate político. IV. DISPOSITIVO E TESE 10. Agravo regimental provido. Pedido improcedente. Tese de julgamento: 1. A imunidade parlamentar material do vereador incide sobre manifestações veiculadas fora do recinto da Câmara quando guardam pertinência com o exercício do mandato e com a fiscalização da administração pública municipal. 2. Críticas duras e expressões ácidas dirigidas a agente político, quando inseridas em debate sobre gestão pública e interesse coletivo, integram a proteção constitucional da liberdade de expressão qualificada do parlamentar.</w:t>
      </w:r>
    </w:p>
    <w:p>
      <w:pPr>
        <w:pBdr>
          <w:bottom w:val="single" w:color="9AA0A6" w:sz="4" w:space="6"/>
        </w:pBdr>
        <w:spacing w:after="200" w:before="0" w:line="240"/>
        <w:ind w:left="2270" w:right="570"/>
        <w:jc w:val="both"/>
      </w:pPr>
      <w:r>
        <w:rPr>
          <w:i w:val="false"/>
          <w:iCs w:val="false"/>
          <w:sz w:val="18"/>
          <w:szCs w:val="18"/>
        </w:rPr>
        <w:t xml:space="preserve">(STF - RE: 1509422 MT - MATO GROSSO, Relator.: Min. GILMAR MENDES, Data de Julgamento: 02/03/2026, Segunda Turma, Data de Publicação: PROCESSO ELETRÔNICO DJe-s/n DIVULG 22-04-2026 PUBLIC 23-04-2026)</w:t>
      </w:r>
    </w:p>
    <w:p>
      <w:pPr>
        <w:spacing w:after="60" w:line="360"/>
        <w:ind w:firstLine="850"/>
        <w:jc w:val="both"/>
      </w:pPr>
      <w:r>
        <w:t xml:space="preserve">No caso concreto, conforme demonstrado no quadro do item “a” da impugnação fática, a maior parte dos pronunciamentos atribuídos ao Réu foi proferida </w:t>
      </w:r>
      <w:r>
        <w:rPr>
          <w:b/>
          <w:bCs/>
          <w:u w:val="single"/>
          <w:shd w:fill="CFE2F3" w:color="auto" w:val="clear"/>
        </w:rPr>
        <w:t xml:space="preserve">da tribuna da própria Câmara Municipal de Miguel Alves, em sessão legislativa</w:t>
      </w:r>
      <w:r>
        <w:t xml:space="preserve">, no exercício de atribuição fiscalizadora típica do mandato, versando sobre temas de manifesto interesse público municipal, como a apreensão de numerário em poder do secretário municipal de Finanças, divergências entre valores empenhados e pagos, pagamentos de aluguel e a aplicação de recursos públicos.</w:t>
      </w:r>
    </w:p>
    <w:p>
      <w:pPr>
        <w:spacing w:after="60" w:line="360"/>
        <w:ind w:firstLine="850"/>
        <w:jc w:val="both"/>
      </w:pPr>
      <w:r>
        <w:t xml:space="preserve">A divulgação posterior desses discursos nas redes sociais do parlamentar não afasta a garantia, como reconhece o precedente acima e como já registrou este Juízo com apoio no AI 401.600 AgR (Rel. Min. Celso de Mello), segundo o qual a imunidade “estende seu manto protetor [...] à transmissão, para a imprensa, do conteúdo de pronunciamentos [...] produzidos nas Casas Legislativas [...] e às declarações feitas aos meios de comunicação social”. No mesmo sentido, o STJ, no REsp 2.019.764/SP, assentou que a publicação em rede social não afasta a imunidade quando o conteúdo se dirige à comunidade municipal e se relaciona ao exercício do mandato, como ocorre aqui: as manifestações foram dirigidas à população de Miguel Alves e versaram sobre a Administração Municipal.</w:t>
      </w:r>
    </w:p>
    <w:p>
      <w:pPr>
        <w:spacing w:after="60" w:line="360"/>
        <w:ind w:firstLine="850"/>
        <w:jc w:val="both"/>
      </w:pPr>
      <w:r>
        <w:t xml:space="preserve">Tampouco a menção a familiares afasta, por si, o nexo funcional. Somente referências efetivamente autônomas, sem conexão com o mandato, poderiam ser examinadas fora da imunidade, o que exige individualização e prova, e não conclusão generalizante. O próprio precedente do TJAL invocado pelo Autor condiciona o afastamento da garantia à demonstração de imputações “desprovidas de interesse público” e que “extrapolam o exercício do mandato”, demonstração que a inicial não faz.</w:t>
      </w:r>
    </w:p>
    <w:p>
      <w:pPr>
        <w:spacing w:after="60" w:line="360"/>
        <w:ind w:firstLine="850"/>
        <w:jc w:val="both"/>
      </w:pPr>
      <w:r>
        <w:t xml:space="preserve">Encontram-se presentes, portanto, os dois requisitos fixados pelo Supremo Tribunal Federal para a incidência da imunidade material, circunstância que afasta, de plano, a possibilidade de responsabilização civil do Réu por tais manifestações, sob pena de contrariedade direta à garantia constitucional insculpida no art. 29, inciso VIII, da Constituição Federal.</w:t>
      </w:r>
    </w:p>
    <w:p>
      <w:pPr>
        <w:spacing w:after="60" w:line="360"/>
        <w:ind w:firstLine="850"/>
        <w:jc w:val="both"/>
      </w:pPr>
      <w:r>
        <w:t xml:space="preserve">Não se ignora que a própria jurisprudência do Supremo Tribunal Federal reconhece que a ausência de controle judicial sobre as manifestações parlamentares não afasta a possibilidade de repreensão pelo próprio Poder Legislativo, no exercício de sua jurisdição censória </w:t>
      </w:r>
      <w:r>
        <w:rPr>
          <w:i/>
          <w:iCs/>
        </w:rPr>
        <w:t xml:space="preserve">interna corporis</w:t>
      </w:r>
      <w:r>
        <w:t xml:space="preserve">. Tal circunstância, contudo, reforça a tese defensiva: eventual excesso, se existente, sujeita-se ao controle político-disciplinar da própria Câmara Municipal, e não à reprimenda judicial pretendida pelo Autor, cabendo a este Juízo distinguir com precisão entre a crítica política legítima, protegida pela imunidade, e o eventual abuso de direito, categorias que, como se demonstrará nos itens seguintes, não se confundem no caso em exame.</w:t>
      </w:r>
    </w:p>
    <w:p>
      <w:pPr>
        <w:keepNext/>
        <w:tabs>
          <w:tab w:val="left" w:pos="700"/>
        </w:tabs>
        <w:spacing w:after="160" w:before="240" w:line="360"/>
        <w:ind w:left="700" w:hanging="400"/>
      </w:pPr>
      <w:r>
        <w:rPr>
          <w:b/>
          <w:bCs/>
          <w:i/>
          <w:iCs/>
        </w:rPr>
        <w:t xml:space="preserve">b.	</w:t>
      </w:r>
      <w:r>
        <w:rPr>
          <w:b/>
          <w:bCs/>
          <w:i/>
          <w:iCs/>
        </w:rPr>
        <w:t xml:space="preserve">Do exercício regular da função fiscalizadora do mandato parlamentar e da ausência de ato ilícito:</w:t>
      </w:r>
    </w:p>
    <w:p>
      <w:pPr>
        <w:spacing w:after="60" w:line="360"/>
        <w:ind w:firstLine="850"/>
        <w:jc w:val="both"/>
      </w:pPr>
      <w:r>
        <w:t xml:space="preserve">A Constituição Federal, em seu art. 31, estabelece que a fiscalização do Município será exercida pelo Poder Legislativo Municipal, mediante controle externo, atribuindo à Câmara de Vereadores e a cada um de seus integrantes a função constitucional de fiscalizar os atos da Administração Pública Municipal, notadamente no que se refere à regularidade de contratações, pagamentos e à correta aplicação dos recursos públicos. O exercício dessa função constitui, portanto, dever funcional do Vereador, e não mera faculdade discricionária.</w:t>
      </w:r>
    </w:p>
    <w:p>
      <w:pPr>
        <w:spacing w:after="60" w:line="360"/>
        <w:ind w:firstLine="850"/>
        <w:jc w:val="both"/>
      </w:pPr>
      <w:r>
        <w:t xml:space="preserve">No caso em exame, as próprias transcrições juntadas pelo Autor demonstram que o Réu, ao tratar da apreensão do numerário, dos empenhos nº 239 e 370 e dos pagamentos de aluguel, valeu-se predominantemente de indagações e ressalvas (“será?”, “possível”, “supostamente”, “muito provavelmente”, “mas eu vou investigar para ter a certeza”), típicas do discurso político fiscalizador, apresentou requerimento de informações ao Plenário e registrou que “denúncias formais já foram protocoladas aos órgãos de controle externo”.</w:t>
      </w:r>
    </w:p>
    <w:p>
      <w:pPr>
        <w:spacing w:after="60" w:line="360"/>
        <w:ind w:firstLine="850"/>
        <w:jc w:val="both"/>
      </w:pPr>
      <w:r>
        <w:t xml:space="preserve">Tal conduta, consistente em levar suspeitas fundadas em fatos concretos ao conhecimento dos órgãos competentes para sua apuração, é manifestamente incompatível com o dolo de caluniar, difamar ou injuriar que a inicial atribui ao Réu (“dolo intenso e confessado”). Quem submete uma suspeita à apuração institucional não se coloca na posição de quem afirma possuir verdade definitiva; ao contrário, reconhece que a confirmação ou a rejeição da hipótese compete às autoridades responsáveis.</w:t>
      </w:r>
    </w:p>
    <w:p>
      <w:pPr>
        <w:spacing w:after="60" w:line="360"/>
        <w:ind w:firstLine="850"/>
        <w:jc w:val="both"/>
      </w:pPr>
      <w:r>
        <w:t xml:space="preserve">Não se pode confundir o exercício regular e de boa-fé da atribuição fiscalizatória, ainda que contundente e por vezes indagativo, com o abuso de direito (art. 187 do Código Civil), categoria que pressupõe a afirmação categórica e temerária de fatos sabidamente inverídicos, sem lastro probatório mínimo e sem submissão da controvérsia aos órgãos de controle competentes. Os arts. 186, 187 e 927 do Código Civil não estabelecem responsabilidade por toda crítica contundente dirigida a agente político, nem dispensam a demonstração concreta do abuso em cada manifestação.</w:t>
      </w:r>
    </w:p>
    <w:p>
      <w:pPr>
        <w:spacing w:after="60" w:line="360"/>
        <w:ind w:firstLine="850"/>
        <w:jc w:val="both"/>
      </w:pPr>
      <w:r>
        <w:t xml:space="preserve">Ademais, o Autor não foi mencionado como simples particular, mas na condição de Chefe do Poder Executivo, a propósito da gestão municipal e da aplicação de recursos públicos. Quem exerce cargo eletivo submete-se a grau mais intenso de fiscalização e crítica, o que não o priva da proteção à honra, mas impede que indagações e cobranças sobre a gestão sejam convertidas em ilícitos civis apenas por terem causado desconforto ao gestor fiscalizado.</w:t>
      </w:r>
    </w:p>
    <w:p>
      <w:pPr>
        <w:spacing w:after="60" w:line="360"/>
        <w:ind w:firstLine="850"/>
        <w:jc w:val="both"/>
      </w:pPr>
      <w:r>
        <w:t xml:space="preserve">Nesse contexto, a conduta do Réu, ao suscitar publicamente questionamentos sobre a gestão e, simultaneamente, encaminhá-los aos órgãos de controle, revela boa-fé objetiva e observância dos limites do exercício regular do mandato, circunstância que reforça a incidência da imunidade material tratada no item anterior e afasta a configuração do ato ilícito imputado na inicial.</w:t>
      </w:r>
    </w:p>
    <w:p>
      <w:pPr>
        <w:keepNext/>
        <w:tabs>
          <w:tab w:val="left" w:pos="700"/>
        </w:tabs>
        <w:spacing w:after="160" w:before="240" w:line="360"/>
        <w:ind w:left="700" w:hanging="400"/>
      </w:pPr>
      <w:r>
        <w:rPr>
          <w:b/>
          <w:bCs/>
          <w:i/>
          <w:iCs/>
        </w:rPr>
        <w:t xml:space="preserve">c.	</w:t>
      </w:r>
      <w:r>
        <w:rPr>
          <w:b/>
          <w:bCs/>
          <w:i/>
          <w:iCs/>
        </w:rPr>
        <w:t xml:space="preserve">Da decisão que indeferiu a tutela de urgência:</w:t>
      </w:r>
    </w:p>
    <w:p>
      <w:pPr>
        <w:spacing w:after="60" w:line="360"/>
        <w:ind w:firstLine="850"/>
        <w:jc w:val="both"/>
      </w:pPr>
      <w:r>
        <w:t xml:space="preserve">Os mesmos fatos e o mesmo conjunto de vídeos já foram apreciados por este Juízo na decisão de ID 100909958, proferida em 23 de julho de 2026, que indeferiu o pedido de remoção compulsória dos vídeos e de abstenção de novas manifestações. A decisão fundamentou-se expressamente na imunidade material do art. 29, inciso VIII, da Constituição Federal e na tese fixada no Recurso Extraordinário nº 600.063, consignando, em trecho de especial relevância:</w:t>
      </w:r>
    </w:p>
    <w:p>
      <w:pPr>
        <w:pBdr>
          <w:top w:val="single" w:color="9AA0A6" w:sz="4" w:space="6"/>
          <w:bottom w:val="single" w:color="9AA0A6" w:sz="4" w:space="6"/>
        </w:pBdr>
        <w:spacing w:after="200" w:before="160" w:line="240"/>
        <w:ind w:left="2270" w:right="570"/>
        <w:jc w:val="both"/>
      </w:pPr>
      <w:r>
        <w:rPr>
          <w:i/>
          <w:iCs/>
          <w:sz w:val="18"/>
          <w:szCs w:val="18"/>
        </w:rPr>
        <w:t xml:space="preserve">"Os arquivos juntados aos autos não revelam, ao menos nesse momento, que o requerido tenha excedido tais limites em seus discursos no plenário da Câmara Municipal. A remoção liminar de um discurso institucionalmente proferido por um agente político, antes do julgamento final da causa, impõe uma restrição que atinge o cerne da atividade parlamentar e da liberdade de expressão política."</w:t>
      </w:r>
    </w:p>
    <w:p>
      <w:pPr>
        <w:spacing w:after="60" w:line="360"/>
        <w:ind w:firstLine="850"/>
        <w:jc w:val="both"/>
      </w:pPr>
      <w:r>
        <w:t xml:space="preserve">Embora proferida em cognição sumária e, portanto, sem efeito vinculante quanto ao mérito, a decisão constitui elemento de convicção de inegável relevância, porquanto resultou do exame das mídias questionadas com base nos mesmos critérios técnico-jurídicos que devem orientar o julgamento final quanto à incidência da imunidade parlamentar material. Requer-se, assim, que tais fundamentos sejam confirmados no julgamento do mérito.</w:t>
      </w:r>
    </w:p>
    <w:p>
      <w:pPr>
        <w:keepNext/>
        <w:tabs>
          <w:tab w:val="left" w:pos="700"/>
        </w:tabs>
        <w:spacing w:after="160" w:before="240" w:line="360"/>
        <w:ind w:left="700" w:hanging="400"/>
      </w:pPr>
      <w:r>
        <w:rPr>
          <w:b/>
          <w:bCs/>
          <w:i/>
          <w:iCs/>
        </w:rPr>
        <w:t xml:space="preserve">d.	</w:t>
      </w:r>
      <w:r>
        <w:rPr>
          <w:b/>
          <w:bCs/>
          <w:i/>
          <w:iCs/>
        </w:rPr>
        <w:t xml:space="preserve">Do arquivamento do Inquérito Policial nº 0816146-68.2026.8.18.0140:</w:t>
      </w:r>
    </w:p>
    <w:p>
      <w:pPr>
        <w:spacing w:after="60" w:line="360"/>
        <w:ind w:firstLine="850"/>
        <w:jc w:val="both"/>
      </w:pPr>
      <w:r>
        <w:t xml:space="preserve">O núcleo fático que serve de fundamento a parcela relevante das imputações contidas na inicial, notadamente a suposta origem ilícita do numerário apreendido em poder do irmão do Autor, Antônio Carlos Rebelo de Paiva Filho, secretário municipal de Finanças, foi objeto de apuração formal por meio do Inquérito Policial nº 0816146-68.2026.8.18.0140, conduzido pela Delegacia de Combate à Corrupção e à Lavagem de Dinheiro e processado perante a Central de Inquéritos de Teresina, para investigação de possível prática do crime tipificado no art. 1º da Lei nº 9.613/1998.</w:t>
      </w:r>
    </w:p>
    <w:p>
      <w:pPr>
        <w:spacing w:after="60" w:line="360"/>
        <w:ind w:firstLine="850"/>
        <w:jc w:val="both"/>
      </w:pPr>
      <w:r>
        <w:t xml:space="preserve">Ao final da investigação, a autoridade policial concluiu pela ausência de materialidade criminosa, sugerindo o arquivamento, promoção que foi acolhida pelo Ministério Público e homologada por decisão judicial de 24 de junho de 2026. A decisão reconheceu, com base em Declarações de Aptidão ao PRONAF, Cédula de Crédito Bancário e depoimentos testemunhais, a origem lícita da quantia de R$ 147.300,00, determinando sua restituição.</w:t>
      </w:r>
    </w:p>
    <w:p>
      <w:pPr>
        <w:spacing w:after="60" w:line="360"/>
        <w:ind w:firstLine="850"/>
        <w:jc w:val="both"/>
      </w:pPr>
      <w:r>
        <w:t xml:space="preserve">Cumpre observar, contudo, que a cronologia dos fatos afasta a interpretação de que o arquivamento, por si só, evidenciaria má-fé nas manifestações do Réu. As falas a ele atribuídas, proferidas entre fevereiro e maio de 2026, conforme a própria narrativa da inicial, são anteriores à decisão de arquivamento. No momento em que o Réu exerceu sua atividade fiscalizadora, a apreensão de expressivo numerário em espécie, em poder de agente público, durante blitz policial, constituía fato objetivo, público e ainda sob investigação </w:t>
      </w:r>
      <w:r>
        <w:rPr>
          <w:b/>
          <w:bCs/>
          <w:shd w:fill="FFF200" w:color="auto" w:val="clear"/>
        </w:rPr>
        <w:t xml:space="preserve">[Doc. 08 – notícias e registros da apreensão]</w:t>
      </w:r>
      <w:r>
        <w:t xml:space="preserve">, circunstância suficiente para justificar o questionamento formulado da tribuna e o encaminhamento da matéria aos órgãos de controle.</w:t>
      </w:r>
    </w:p>
    <w:p>
      <w:pPr>
        <w:spacing w:after="60" w:line="360"/>
        <w:ind w:firstLine="850"/>
        <w:jc w:val="both"/>
      </w:pPr>
      <w:r>
        <w:t xml:space="preserve">A conclusão posterior da investigação, favorável à origem lícita dos valores, não pode ser utilizada para qualificar, retroativamente, como dolosa ou caluniosa, a fiscalização exercida quando o fato ainda se encontrava em apuração e o Réu não dispunha, nem poderia dispor, do resultado do inquérito. Exigir do parlamentar a antecipação do desfecho de uma investigação, sob pena de responsabilização civil, equivaleria a esvaziar a própria função fiscalizadora, que se exerce, por definição, diante de fatos ainda incertos.</w:t>
      </w:r>
    </w:p>
    <w:p>
      <w:pPr>
        <w:spacing w:after="60" w:line="360"/>
        <w:ind w:firstLine="850"/>
        <w:jc w:val="both"/>
      </w:pPr>
      <w:r>
        <w:t xml:space="preserve">Além disso, o arquivamento tem objeto delimitado: restringe-se à origem do numerário e não constitui declaração de regularidade dos empenhos, aluguéis e demais despesas municipais questionados nos pronunciamentos. Não há, portanto, a alegada “prova oficial da falsidade” de todas as manifestações, nem fundamento para presumir dano moral </w:t>
      </w:r>
      <w:r>
        <w:rPr>
          <w:i/>
          <w:iCs/>
        </w:rPr>
        <w:t xml:space="preserve">in re ipsa</w:t>
      </w:r>
      <w:r>
        <w:t xml:space="preserve"> antes de demonstrada a própria ilicitude da conduta.</w:t>
      </w:r>
    </w:p>
    <w:p>
      <w:pPr>
        <w:spacing w:after="60" w:line="360"/>
        <w:ind w:firstLine="850"/>
        <w:jc w:val="both"/>
      </w:pPr>
      <w:r>
        <w:t xml:space="preserve">Nesse sentido, o arquivamento deve ser compreendido não como elemento que valida a acusação de calúnia, mas como resultado que confirma a eficácia dos canais institucionais de apuração. A distinção entre a improcedência de uma suspeita e a má-fé de quem a suscitou por vias institucionais legítimas, como a tribuna parlamentar e o encaminhamento aos órgãos de controle, é essencial ao correto equacionamento da controvérsia e afasta o dolo de caluniar em que o Autor funda sua pretensão.</w:t>
      </w:r>
    </w:p>
    <w:p>
      <w:pPr>
        <w:keepNext/>
        <w:tabs>
          <w:tab w:val="left" w:pos="700"/>
        </w:tabs>
        <w:spacing w:after="160" w:before="240" w:line="360"/>
        <w:ind w:left="700" w:hanging="400"/>
      </w:pPr>
      <w:r>
        <w:rPr>
          <w:b/>
          <w:bCs/>
          <w:i/>
          <w:iCs/>
        </w:rPr>
        <w:t xml:space="preserve">e.	</w:t>
      </w:r>
      <w:r>
        <w:rPr>
          <w:b/>
          <w:bCs/>
          <w:i/>
          <w:iCs/>
        </w:rPr>
        <w:t xml:space="preserve">Da vedação à censura prévia e da improcedência do pedido de remoção e de abstenção:</w:t>
      </w:r>
    </w:p>
    <w:p>
      <w:pPr>
        <w:spacing w:after="60" w:line="360"/>
        <w:ind w:firstLine="850"/>
        <w:jc w:val="both"/>
      </w:pPr>
      <w:r>
        <w:t xml:space="preserve">Quanto à remoção, sendo os vídeos, em sua maioria, reprodução de discursos proferidos na tribuna, a ordem de retirada atingiria o registro público da atividade parlamentar, restrição que este Juízo já reconheceu atingir “o cerne da atividade parlamentar e da liberdade de expressão política”. Além disso, eventual ordem de indisponibilização exige identificação clara e específica de cada conteúdo (art. 19, § 1º, da Lei nº 12.965/2014), o que a inicial não faz quanto ao “Vídeo 07”, sem data e sem captura.</w:t>
      </w:r>
    </w:p>
    <w:p>
      <w:pPr>
        <w:spacing w:after="60" w:line="360"/>
        <w:ind w:firstLine="850"/>
        <w:jc w:val="both"/>
      </w:pPr>
      <w:r>
        <w:t xml:space="preserve">Quanto à abstenção futura, a ordem pretendida, genérica e indeterminada, implicaria controle prévio de manifestações ainda inexistentes de parlamentar no exercício do mandato, em afronta aos arts. 5º, IV e IX, 29, VIII, e 220, §§ 1º e 2º, da Constituição Federal e à ADPF 130. O ordenamento prevê a responsabilização </w:t>
      </w:r>
      <w:r>
        <w:rPr>
          <w:i/>
          <w:iCs/>
        </w:rPr>
        <w:t xml:space="preserve">a posteriori</w:t>
      </w:r>
      <w:r>
        <w:t xml:space="preserve"> por eventual abuso, não havendo espaço para multa antecipada sobre o conteúdo de discursos futuros.</w:t>
      </w:r>
    </w:p>
    <w:p>
      <w:pPr>
        <w:keepNext/>
        <w:tabs>
          <w:tab w:val="left" w:pos="700"/>
        </w:tabs>
        <w:spacing w:after="160" w:before="240" w:line="360"/>
        <w:ind w:left="700" w:hanging="400"/>
      </w:pPr>
      <w:r>
        <w:rPr>
          <w:b/>
          <w:bCs/>
          <w:i/>
          <w:iCs/>
        </w:rPr>
        <w:t xml:space="preserve">f.	</w:t>
      </w:r>
      <w:r>
        <w:rPr>
          <w:b/>
          <w:bCs/>
          <w:i/>
          <w:iCs/>
        </w:rPr>
        <w:t xml:space="preserve">Da inexistência do dever de indenizar e da impugnação ao valor pretendido:</w:t>
      </w:r>
    </w:p>
    <w:p>
      <w:pPr>
        <w:spacing w:after="60" w:line="360"/>
        <w:ind w:firstLine="850"/>
        <w:jc w:val="both"/>
      </w:pPr>
      <w:r>
        <w:t xml:space="preserve">O método bifásico de quantificação do dano moral somente se aplica depois de reconhecido o dever de indenizar, o que não ocorre no caso, pelas razões expostas: incidência da imunidade material, exercício regular da função fiscalizadora, base factual contemporânea às falas, ausência de prova de que o Réu conhecesse a origem lícita dos valores e impossibilidade de indenizar, em favor do Autor, lesões próprias de terceiros.</w:t>
      </w:r>
    </w:p>
    <w:p>
      <w:pPr>
        <w:spacing w:after="60" w:line="360"/>
        <w:ind w:firstLine="850"/>
        <w:jc w:val="both"/>
      </w:pPr>
      <w:r>
        <w:t xml:space="preserve">Ainda que assim não fosse, alcance potencial na internet não se confunde com alcance efetivo, e a inicial não demonstra, de forma individualizada, a correspondência entre cada arquivo, link, data, trecho e repercussão alegada. O montante de R$ 60.000,00 foi construído a partir de qualificações unilaterais (“gravíssimas”, “dolo intenso”, “absoluta temeridade”, “quase inédita”), sem demonstração da extensão do dano, e a condição de Chefe do Executivo não autoriza elevar a indenização; ao contrário, evidencia a sujeição do Autor a escrutínio público mais rigoroso.</w:t>
      </w:r>
    </w:p>
    <w:p>
      <w:pPr>
        <w:spacing w:after="60" w:line="360"/>
        <w:ind w:firstLine="850"/>
        <w:jc w:val="both"/>
      </w:pPr>
      <w:r>
        <w:t xml:space="preserve">Assim, o pedido indenizatório deve ser integralmente rejeitado. Apenas subsidiariamente, caso se reconheça excesso em manifestação específica, eventual reparação deverá restringir-se à manifestação individualizada considerada ilícita e não protegida pela imunidade, observando-se proporcionalidade, extensão efetivamente comprovada do dano, contexto político, ausência de condenação anterior e vedação ao enriquecimento sem causa (art. 944, parágrafo único, do Código Civil), com fixação em patamar módico.</w:t>
      </w:r>
    </w:p>
    <w:p>
      <w:pPr>
        <w:keepNext/>
        <w:tabs>
          <w:tab w:val="left" w:pos="700"/>
        </w:tabs>
        <w:spacing w:after="160" w:before="240" w:line="360"/>
        <w:ind w:left="700" w:hanging="400"/>
      </w:pPr>
      <w:r>
        <w:rPr>
          <w:b/>
          <w:bCs/>
          <w:i/>
          <w:iCs/>
        </w:rPr>
        <w:t xml:space="preserve">g.	</w:t>
      </w:r>
      <w:r>
        <w:rPr>
          <w:b/>
          <w:bCs/>
          <w:i/>
          <w:iCs/>
        </w:rPr>
        <w:t xml:space="preserve">Da impossibilidade de retratação compulsória nos termos formulados:</w:t>
      </w:r>
    </w:p>
    <w:p>
      <w:pPr>
        <w:spacing w:after="60" w:line="360"/>
        <w:ind w:firstLine="850"/>
        <w:jc w:val="both"/>
      </w:pPr>
      <w:r>
        <w:t xml:space="preserve">A retratação pretendida não decorre automaticamente do art. 944 do Código Civil nem do art. 5º, V, da Constituição Federal. O pedido obriga o Réu a reconhecer genericamente a “inveracidade das imputações” e a “licitude dos valores”, sem distinguir quais falas seriam falsas, quais constituíram perguntas ou hipóteses, quais tratavam do numerário ou de outras despesas e quais estão protegidas pela imunidade. Produziria, assim, declaração muito mais ampla do que a própria conclusão do inquérito, limitada à origem do numerário.</w:t>
      </w:r>
    </w:p>
    <w:p>
      <w:pPr>
        <w:spacing w:after="60" w:line="360"/>
        <w:ind w:firstLine="850"/>
        <w:jc w:val="both"/>
      </w:pPr>
      <w:r>
        <w:t xml:space="preserve">A publicação por período equivalente ao tempo em que os vídeos permaneceram disponíveis é igualmente indeterminada, pois a inicial não delimita o período de cada postagem. Rejeitado o pedido indenizatório, deve ser rejeitada também a retratação. Subsidiariamente, qualquer providência dessa natureza deverá limitar-se a conteúdo precisamente individualizado e reconhecido como ilícito, restringindo-se à divulgação do resultado do arquivamento quanto ao numerário apreendido, jamais impondo reconhecimento genérico de falsidade ou proibição ampla de crítica política futura.</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850"/>
        <w:jc w:val="both"/>
      </w:pPr>
      <w:r>
        <w:t xml:space="preserve">Ante o exposto, requer a Vossa Excelência:</w:t>
      </w:r>
    </w:p>
    <w:p>
      <w:pPr>
        <w:tabs>
          <w:tab w:val="left" w:pos="1000"/>
        </w:tabs>
        <w:spacing w:after="60" w:line="360"/>
        <w:ind w:left="1000" w:hanging="400"/>
        <w:jc w:val="both"/>
      </w:pPr>
      <w:r>
        <w:t xml:space="preserve">A.	</w:t>
      </w:r>
      <w:r>
        <w:t xml:space="preserve">o reconhecimento da </w:t>
      </w:r>
      <w:r>
        <w:rPr>
          <w:b/>
          <w:bCs/>
          <w:u w:val="single"/>
          <w:shd w:fill="CFE2F3" w:color="auto" w:val="clear"/>
        </w:rPr>
        <w:t xml:space="preserve">tempestividade</w:t>
      </w:r>
      <w:r>
        <w:t xml:space="preserve"> da presente contestação, nos termos da decisão de ID 100909958 e do art. 231, I, do CPC, ou, subsidiariamente, o reconhecimento de justa causa (art. 223 do CPC);</w:t>
      </w:r>
    </w:p>
    <w:p>
      <w:pPr>
        <w:tabs>
          <w:tab w:val="left" w:pos="1000"/>
        </w:tabs>
        <w:spacing w:after="60" w:line="360"/>
        <w:ind w:left="1000" w:hanging="400"/>
        <w:jc w:val="both"/>
      </w:pPr>
      <w:r>
        <w:t xml:space="preserve">B.	</w:t>
      </w:r>
      <w:r>
        <w:t xml:space="preserve">o reconhecimento da </w:t>
      </w:r>
      <w:r>
        <w:rPr>
          <w:b/>
          <w:bCs/>
          <w:u w:val="single"/>
          <w:shd w:fill="CFE2F3" w:color="auto" w:val="clear"/>
        </w:rPr>
        <w:t xml:space="preserve">ilegitimidade ativa</w:t>
      </w:r>
      <w:r>
        <w:t xml:space="preserve"> do Autor quanto às pretensões fundadas em alegada ofensa a familiares e terceiros, com extinção do feito sem resolução do mérito nessa parte (art. 485, VI, do CPC);</w:t>
      </w:r>
    </w:p>
    <w:p>
      <w:pPr>
        <w:tabs>
          <w:tab w:val="left" w:pos="1000"/>
        </w:tabs>
        <w:spacing w:after="60" w:line="360"/>
        <w:ind w:left="1000" w:hanging="400"/>
        <w:jc w:val="both"/>
      </w:pPr>
      <w:r>
        <w:t xml:space="preserve">C.	</w:t>
      </w:r>
      <w:r>
        <w:t xml:space="preserve">o indeferimento da inicial quanto ao pedido genérico de abstenção de “novas manifestações [...] por qualquer meio” (art. 330, § 1º, II, do CPC) ou, subsidiariamente, sua rejeição no mérito;</w:t>
      </w:r>
    </w:p>
    <w:p>
      <w:pPr>
        <w:tabs>
          <w:tab w:val="left" w:pos="1000"/>
        </w:tabs>
        <w:spacing w:after="60" w:line="360"/>
        <w:ind w:left="1000" w:hanging="400"/>
        <w:jc w:val="both"/>
      </w:pPr>
      <w:r>
        <w:t xml:space="preserve">D.	</w:t>
      </w:r>
      <w:r>
        <w:t xml:space="preserve">a designação de </w:t>
      </w:r>
      <w:r>
        <w:rPr>
          <w:b/>
          <w:bCs/>
          <w:u w:val="single"/>
          <w:shd w:fill="CFE2F3" w:color="auto" w:val="clear"/>
        </w:rPr>
        <w:t xml:space="preserve">audiência de conciliação</w:t>
      </w:r>
      <w:r>
        <w:t xml:space="preserve">, nos termos dos arts. 21 e 22 da Lei nº 9.099/1995;</w:t>
      </w:r>
    </w:p>
    <w:p>
      <w:pPr>
        <w:tabs>
          <w:tab w:val="left" w:pos="1000"/>
        </w:tabs>
        <w:spacing w:after="60" w:line="360"/>
        <w:ind w:left="1000" w:hanging="400"/>
        <w:jc w:val="both"/>
      </w:pPr>
      <w:r>
        <w:t xml:space="preserve">E.	</w:t>
      </w:r>
      <w:r>
        <w:t xml:space="preserve">no mérito, a </w:t>
      </w:r>
      <w:r>
        <w:rPr>
          <w:b/>
          <w:bCs/>
          <w:u w:val="single"/>
          <w:shd w:fill="CFE2F3" w:color="auto" w:val="clear"/>
        </w:rPr>
        <w:t xml:space="preserve">total improcedência</w:t>
      </w:r>
      <w:r>
        <w:t xml:space="preserve"> dos pedidos de remoção de conteúdo, abstenção, retratação e indenização por danos morais, diante da incidência da imunidade parlamentar material (art. 29, VIII, da CF) e da inexistência de ato ilícito;</w:t>
      </w:r>
    </w:p>
    <w:p>
      <w:pPr>
        <w:tabs>
          <w:tab w:val="left" w:pos="1000"/>
        </w:tabs>
        <w:spacing w:after="60" w:line="360"/>
        <w:ind w:left="1000" w:hanging="400"/>
        <w:jc w:val="both"/>
      </w:pPr>
      <w:r>
        <w:t xml:space="preserve">F.	</w:t>
      </w:r>
      <w:r>
        <w:t xml:space="preserve">subsidiariamente, caso se reconheça excesso em manifestação específica: (i) a limitação de eventual condenação à manifestação individualizada considerada ilícita e não abrangida pela imunidade; (ii) a fixação de indenização em patamar módico; e (iii) a limitação de eventual retratação ao conteúdo individualizado, sem reconhecimento genérico de falsidade;</w:t>
      </w:r>
    </w:p>
    <w:p>
      <w:pPr>
        <w:tabs>
          <w:tab w:val="left" w:pos="1000"/>
        </w:tabs>
        <w:spacing w:after="60" w:line="360"/>
        <w:ind w:left="1000" w:hanging="400"/>
        <w:jc w:val="both"/>
      </w:pPr>
      <w:r>
        <w:t xml:space="preserve">G.	</w:t>
      </w:r>
      <w:r>
        <w:t xml:space="preserve">a requisição à Câmara Municipal de Miguel Alves das atas e das gravações integrais das sessões legislativas realizadas em 27/02/2026, 13/03/2026, 27/03/2026 e 09/05/2026 (art. 438, I, do CPC);</w:t>
      </w:r>
    </w:p>
    <w:p>
      <w:pPr>
        <w:tabs>
          <w:tab w:val="left" w:pos="1000"/>
        </w:tabs>
        <w:spacing w:after="60" w:line="360"/>
        <w:ind w:left="1000" w:hanging="400"/>
        <w:jc w:val="both"/>
      </w:pPr>
      <w:r>
        <w:t xml:space="preserve">H.	</w:t>
      </w:r>
      <w:r>
        <w:t xml:space="preserve">a intimação do Autor para que indique, de forma individualizada, a correspondência entre cada transcrição, URL, data e mídia juntada, prevalecendo, em caso de divergência, o teor integral das gravações.</w:t>
      </w:r>
    </w:p>
    <w:p>
      <w:pPr>
        <w:spacing w:after="0"/>
      </w:pPr>
    </w:p>
    <w:p>
      <w:pPr>
        <w:spacing w:after="60" w:line="360"/>
        <w:ind w:firstLine="850"/>
        <w:jc w:val="both"/>
      </w:pPr>
      <w:r>
        <w:t xml:space="preserve">Protesta o requerido pela produção de todos os meios de prova admitidos em direito, em especial a prova documental acostada a esta contestação, a requisição de documentos acima indicada, o depoimento pessoal do Autor e a prova testemunhal, cujo rol será oportunamente apresentado, observado o limite do art. 34 da Lei nº 9.099/1995.</w:t>
      </w:r>
    </w:p>
    <w:p>
      <w:pPr>
        <w:spacing w:after="0"/>
      </w:pP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Procuração (ID 105179160);]</w:t>
      </w:r>
    </w:p>
    <w:p>
      <w:pPr>
        <w:spacing w:after="0" w:line="300"/>
        <w:ind w:left="850"/>
      </w:pPr>
      <w:r>
        <w:rPr>
          <w:b/>
          <w:bCs/>
          <w:sz w:val="22"/>
          <w:szCs w:val="22"/>
          <w:shd w:fill="FFF200" w:color="auto" w:val="clear"/>
        </w:rPr>
        <w:t xml:space="preserve">[Doc. 02 – Comprovação do feriado municipal de 29/09/2026 (Lei Municipal nº 775/2013 / calendário do TJPI);]</w:t>
      </w:r>
    </w:p>
    <w:p>
      <w:pPr>
        <w:spacing w:after="0" w:line="300"/>
        <w:ind w:left="850"/>
      </w:pPr>
      <w:r>
        <w:rPr>
          <w:b/>
          <w:bCs/>
          <w:sz w:val="22"/>
          <w:szCs w:val="22"/>
          <w:shd w:fill="FFF200" w:color="auto" w:val="clear"/>
        </w:rPr>
        <w:t xml:space="preserve">[Doc. 03 – Captura do painel de expedientes do PJe com o prazo da citação;]</w:t>
      </w:r>
    </w:p>
    <w:p>
      <w:pPr>
        <w:spacing w:after="0" w:line="300"/>
        <w:ind w:left="850"/>
      </w:pPr>
      <w:r>
        <w:rPr>
          <w:b/>
          <w:bCs/>
          <w:sz w:val="22"/>
          <w:szCs w:val="22"/>
          <w:shd w:fill="FFF200" w:color="auto" w:val="clear"/>
        </w:rPr>
        <w:t xml:space="preserve">[Doc. 04 – Requerimento de 27/03/2026 e ata da respectiva sessão;]</w:t>
      </w:r>
    </w:p>
    <w:p>
      <w:pPr>
        <w:spacing w:after="0" w:line="300"/>
        <w:ind w:left="850"/>
      </w:pPr>
      <w:r>
        <w:rPr>
          <w:b/>
          <w:bCs/>
          <w:sz w:val="22"/>
          <w:szCs w:val="22"/>
          <w:shd w:fill="FFF200" w:color="auto" w:val="clear"/>
        </w:rPr>
        <w:t xml:space="preserve">[Doc. 05 – Protocolos das representações aos órgãos de controle externo;]</w:t>
      </w:r>
    </w:p>
    <w:p>
      <w:pPr>
        <w:spacing w:after="0" w:line="300"/>
        <w:ind w:left="850"/>
      </w:pPr>
      <w:r>
        <w:rPr>
          <w:b/>
          <w:bCs/>
          <w:sz w:val="22"/>
          <w:szCs w:val="22"/>
          <w:shd w:fill="FFF200" w:color="auto" w:val="clear"/>
        </w:rPr>
        <w:t xml:space="preserve">[Doc. 06 – Balancetes e notas de empenho nº 239 e 370;]</w:t>
      </w:r>
    </w:p>
    <w:p>
      <w:pPr>
        <w:spacing w:after="0" w:line="300"/>
        <w:ind w:left="850"/>
      </w:pPr>
      <w:r>
        <w:rPr>
          <w:b/>
          <w:bCs/>
          <w:sz w:val="22"/>
          <w:szCs w:val="22"/>
          <w:shd w:fill="FFF200" w:color="auto" w:val="clear"/>
        </w:rPr>
        <w:t xml:space="preserve">[Doc. 07 – Registros de pagamento dos aluguéis mencionados;]</w:t>
      </w:r>
    </w:p>
    <w:p>
      <w:pPr>
        <w:spacing w:after="0" w:line="300"/>
        <w:ind w:left="850"/>
      </w:pPr>
      <w:r>
        <w:rPr>
          <w:b/>
          <w:bCs/>
          <w:sz w:val="22"/>
          <w:szCs w:val="22"/>
          <w:shd w:fill="FFF200" w:color="auto" w:val="clear"/>
        </w:rPr>
        <w:t xml:space="preserve">[Doc. 08 – Notícias e registros públicos sobre a apreensão do numerário.]</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Contestação - Ely Sandro Vaz e Silva</dc:titl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