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EF5B3C"/>
          <w:sz w:val="44"/>
          <w:szCs w:val="44"/>
        </w:rPr>
        <w:t xml:space="preserve">TrAIner</w:t>
      </w:r>
    </w:p>
    <w:p>
      <w:pPr>
        <w:spacing w:after="300"/>
      </w:pPr>
      <w:r>
        <w:rPr>
          <w:b/>
          <w:bCs/>
          <w:color w:val="0E1A2B"/>
          <w:sz w:val="30"/>
          <w:szCs w:val="30"/>
        </w:rPr>
        <w:t xml:space="preserve">Autoridade de Licenciamento e Modelo Comercial — Síntese Executiva</w:t>
      </w:r>
    </w:p>
    <w:p>
      <w:pPr>
        <w:spacing w:after="120"/>
      </w:pPr>
      <w:r>
        <w:rPr>
          <w:i/>
          <w:iCs/>
          <w:color w:val="6B7280"/>
          <w:sz w:val="18"/>
          <w:szCs w:val="18"/>
        </w:rPr>
        <w:t xml:space="preserve">Período: 2026-08-04 a 2026-08-05  ·  Documento técnico completo: docs/LICENSING_AUTHORITY_AND_COMMERCIAL_MODEL_PLAN.md</w:t>
      </w:r>
    </w:p>
    <w:p>
      <w:pPr>
        <w:pStyle w:val="Heading1"/>
        <w:spacing w:after="200" w:before="400"/>
      </w:pPr>
      <w:r>
        <w:rPr>
          <w:b/>
          <w:bCs/>
          <w:color w:val="0E1A2B"/>
        </w:rPr>
        <w:t xml:space="preserve">1. O problema, em uma frase</w:t>
      </w:r>
    </w:p>
    <w:p>
      <w:pPr>
        <w:spacing w:after="120"/>
      </w:pPr>
      <w:r>
        <w:rPr>
          <w:sz w:val="21"/>
          <w:szCs w:val="21"/>
        </w:rPr>
        <w:t xml:space="preserve">Não existia uma autoridade única capaz de responder "a que este utilizador tem direito?" — existiam três implementações parciais e divergentes, e nenhuma delas era a que decidia de facto. Cada incidente de licenciamento dos últimos 60 dias (limites mal configurados, filtros sem validação, uma regressão de plano em produção) tinha esta mesma causa, não quatro causas diferentes.</w:t>
      </w:r>
    </w:p>
    <w:p>
      <w:pPr>
        <w:spacing w:after="120"/>
      </w:pPr>
      <w:r>
        <w:rPr>
          <w:sz w:val="21"/>
          <w:szCs w:val="21"/>
        </w:rPr>
        <w:t xml:space="preserve">O efeito prático: limites que irritavam quem pagava (aluno FREE bloqueado por regras já superadas) e não continham quem não pagava (o mesmo limite, contornável a partir do próprio dispositivo do cliente).</w:t>
      </w:r>
    </w:p>
    <w:p>
      <w:pPr>
        <w:pStyle w:val="Heading1"/>
        <w:spacing w:after="200" w:before="400"/>
      </w:pPr>
      <w:r>
        <w:rPr>
          <w:b/>
          <w:bCs/>
          <w:color w:val="0E1A2B"/>
        </w:rPr>
        <w:t xml:space="preserve">2. O que foi feito — 7 fases, todas concluídas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900"/>
        <w:gridCol w:w="7900"/>
        <w:gridCol w:w="2100"/>
      </w:tblGrid>
      <w:tr>
        <w:tc>
          <w:tcPr>
            <w:tcW w:type="dxa" w:w="900"/>
            <w:shd w:fill="0E1A2B" w:val="clear"/>
            <w:tcMar>
              <w:top w:type="dxa" w:w="80"/>
              <w:left w:type="dxa" w:w="120"/>
              <w:bottom w:type="dxa" w:w="80"/>
              <w:right w:type="dxa" w:w="120"/>
            </w:tcMar>
            <w:vAlign w:val="center"/>
          </w:tcPr>
          <w:p>
            <w:pPr>
              <w:jc w:val="center"/>
            </w:pPr>
            <w:r>
              <w:rPr>
                <w:b/>
                <w:bCs/>
                <w:color w:val="FFFFFF"/>
                <w:sz w:val="19"/>
                <w:szCs w:val="19"/>
              </w:rPr>
              <w:t xml:space="preserve">Fase</w:t>
            </w:r>
          </w:p>
        </w:tc>
        <w:tc>
          <w:tcPr>
            <w:tcW w:type="dxa" w:w="7900"/>
            <w:shd w:fill="0E1A2B" w:val="clear"/>
            <w:tcMar>
              <w:top w:type="dxa" w:w="80"/>
              <w:left w:type="dxa" w:w="120"/>
              <w:bottom w:type="dxa" w:w="80"/>
              <w:right w:type="dxa" w:w="120"/>
            </w:tcMar>
            <w:vAlign w:val="center"/>
          </w:tcPr>
          <w:p>
            <w:pPr>
              <w:jc w:val="left"/>
            </w:pPr>
            <w:r>
              <w:rPr>
                <w:b/>
                <w:bCs/>
                <w:color w:val="FFFFFF"/>
                <w:sz w:val="19"/>
                <w:szCs w:val="19"/>
              </w:rPr>
              <w:t xml:space="preserve">Objectivo</w:t>
            </w:r>
          </w:p>
        </w:tc>
        <w:tc>
          <w:tcPr>
            <w:tcW w:type="dxa" w:w="2100"/>
            <w:shd w:fill="0E1A2B" w:val="clear"/>
            <w:tcMar>
              <w:top w:type="dxa" w:w="80"/>
              <w:left w:type="dxa" w:w="120"/>
              <w:bottom w:type="dxa" w:w="80"/>
              <w:right w:type="dxa" w:w="120"/>
            </w:tcMar>
            <w:vAlign w:val="center"/>
          </w:tcPr>
          <w:p>
            <w:pPr>
              <w:jc w:val="center"/>
            </w:pPr>
            <w:r>
              <w:rPr>
                <w:b/>
                <w:bCs/>
                <w:color w:val="FFFFFF"/>
                <w:sz w:val="19"/>
                <w:szCs w:val="19"/>
              </w:rPr>
              <w:t xml:space="preserve">Estado</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0</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Prova de conceito do módulo de autoridade partilhado</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1</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Núcleo único de direitos (fonte da verdade)</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2</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Autoridade real no servidor para os 3 gates de IA</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3</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Cobertura de dados + guarda anti-regressão automática</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4</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Direito autónomo vs. patrocinado pelo treinador</w:t>
            </w:r>
          </w:p>
        </w:tc>
        <w:tc>
          <w:tcPr>
            <w:tcW w:type="dxa" w:w="2100"/>
            <w:tcMar>
              <w:top w:type="dxa" w:w="80"/>
              <w:left w:type="dxa" w:w="120"/>
              <w:bottom w:type="dxa" w:w="80"/>
              <w:right w:type="dxa" w:w="120"/>
            </w:tcMar>
            <w:vAlign w:val="center"/>
          </w:tcPr>
          <w:p>
            <w:pPr>
              <w:jc w:val="center"/>
            </w:pPr>
            <w:r>
              <w:rPr>
                <w:b/>
                <w:bCs/>
                <w:color w:val="EF5B3C"/>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4.1</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Check-in e métricas: o que o vínculo cobre</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5</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Carga real a influenciar a geração; fim do gate por categoria</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6</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Faixas PRO 5/15/30; higiene de promessas</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r>
        <w:tc>
          <w:tcPr>
            <w:tcW w:type="dxa" w:w="900"/>
            <w:tcMar>
              <w:top w:type="dxa" w:w="80"/>
              <w:left w:type="dxa" w:w="120"/>
              <w:bottom w:type="dxa" w:w="80"/>
              <w:right w:type="dxa" w:w="120"/>
            </w:tcMar>
            <w:vAlign w:val="center"/>
          </w:tcPr>
          <w:p>
            <w:pPr>
              <w:jc w:val="center"/>
            </w:pPr>
            <w:r>
              <w:rPr>
                <w:b/>
                <w:bCs/>
                <w:color w:val="0E1A2B"/>
                <w:sz w:val="20"/>
                <w:szCs w:val="20"/>
              </w:rPr>
              <w:t xml:space="preserve">7</w:t>
            </w:r>
          </w:p>
        </w:tc>
        <w:tc>
          <w:tcPr>
            <w:tcW w:type="dxa" w:w="7900"/>
            <w:tcMar>
              <w:top w:type="dxa" w:w="80"/>
              <w:left w:type="dxa" w:w="120"/>
              <w:bottom w:type="dxa" w:w="80"/>
              <w:right w:type="dxa" w:w="120"/>
            </w:tcMar>
            <w:vAlign w:val="center"/>
          </w:tcPr>
          <w:p>
            <w:pPr>
              <w:jc w:val="left"/>
            </w:pPr>
            <w:r>
              <w:rPr>
                <w:b w:val="false"/>
                <w:bCs w:val="false"/>
                <w:color w:val="0E1A2B"/>
                <w:sz w:val="20"/>
                <w:szCs w:val="20"/>
              </w:rPr>
              <w:t xml:space="preserve">Higiene documental + este documento</w:t>
            </w:r>
          </w:p>
        </w:tc>
        <w:tc>
          <w:tcPr>
            <w:tcW w:type="dxa" w:w="2100"/>
            <w:tcMar>
              <w:top w:type="dxa" w:w="80"/>
              <w:left w:type="dxa" w:w="120"/>
              <w:bottom w:type="dxa" w:w="80"/>
              <w:right w:type="dxa" w:w="120"/>
            </w:tcMar>
            <w:vAlign w:val="center"/>
          </w:tcPr>
          <w:p>
            <w:pPr>
              <w:jc w:val="center"/>
            </w:pPr>
            <w:r>
              <w:rPr>
                <w:b/>
                <w:bCs/>
                <w:color w:val="2E7D4F"/>
                <w:sz w:val="20"/>
                <w:szCs w:val="20"/>
              </w:rPr>
              <w:t xml:space="preserve">Concluída</w:t>
            </w:r>
          </w:p>
        </w:tc>
      </w:tr>
    </w:tbl>
    <w:p>
      <w:pPr>
        <w:spacing w:after="200" w:before="100"/>
      </w:pPr>
      <w:r>
        <w:rPr>
          <w:i/>
          <w:iCs/>
          <w:color w:val="6B7280"/>
          <w:sz w:val="17"/>
          <w:szCs w:val="17"/>
        </w:rPr>
        <w:t xml:space="preserve">* Fase 4: a correcção está em produção e testada; falta apenas observar ao vivo o cenário exacto de um aluno com múltiplos planos prescritos em simultâneo — não foi possível reproduzir esse cenário com os dados de teste disponíveis nesta janela. Verificação adiada, não pendência de código.</w:t>
      </w:r>
    </w:p>
    <w:p>
      <w:pPr>
        <w:pStyle w:val="Heading1"/>
        <w:spacing w:after="200" w:before="400"/>
      </w:pPr>
      <w:r>
        <w:rPr>
          <w:b/>
          <w:bCs/>
          <w:color w:val="0E1A2B"/>
        </w:rPr>
        <w:t xml:space="preserve">3. Decisões comerciais tomadas</w:t>
      </w:r>
    </w:p>
    <w:p>
      <w:pPr>
        <w:pStyle w:val="ListParagraph"/>
        <w:numPr>
          <w:ilvl w:val="0"/>
          <w:numId w:val="1"/>
        </w:numPr>
        <w:spacing w:after="60"/>
      </w:pPr>
      <w:r>
        <w:rPr>
          <w:sz w:val="21"/>
          <w:szCs w:val="21"/>
        </w:rPr>
        <w:t xml:space="preserve">Direito patrocinado pelo treinador (Fase 4): um aluno com treinador activo passa a ter execução completa de planos, check-in completo e métricas operacionais cobertas pelo vínculo — nunca a geração autónoma por IA nem a voz (custo real de IA), que continuam a depender do plano do próprio aluno.</w:t>
      </w:r>
    </w:p>
    <w:p>
      <w:pPr>
        <w:pStyle w:val="ListParagraph"/>
        <w:numPr>
          <w:ilvl w:val="0"/>
          <w:numId w:val="1"/>
        </w:numPr>
        <w:spacing w:after="60"/>
      </w:pPr>
      <w:r>
        <w:rPr>
          <w:sz w:val="21"/>
          <w:szCs w:val="21"/>
        </w:rPr>
        <w:t xml:space="preserve">Modelo de carga (Fase 5): o diferencial do AI PERFORMANCE deixa de ser "quais exercícios o aluno vê" e passa a ser o modelo real de gestão de carga (ATL/CTL/TSB) — que já existia no dashboard e agora também orienta a geração.</w:t>
      </w:r>
    </w:p>
    <w:p>
      <w:pPr>
        <w:pStyle w:val="ListParagraph"/>
        <w:numPr>
          <w:ilvl w:val="0"/>
          <w:numId w:val="1"/>
        </w:numPr>
        <w:spacing w:after="60"/>
      </w:pPr>
      <w:r>
        <w:rPr>
          <w:sz w:val="21"/>
          <w:szCs w:val="21"/>
        </w:rPr>
        <w:t xml:space="preserve">ELITE mantido sem alteração de nome, preço ou estrutura — o roadmap de marketplace/white-label continua correctamente rotulado "Em breve", não removido.</w:t>
      </w:r>
    </w:p>
    <w:p>
      <w:pPr>
        <w:pStyle w:val="ListParagraph"/>
        <w:numPr>
          <w:ilvl w:val="0"/>
          <w:numId w:val="1"/>
        </w:numPr>
        <w:spacing w:after="60"/>
      </w:pPr>
      <w:r>
        <w:rPr>
          <w:sz w:val="21"/>
          <w:szCs w:val="21"/>
        </w:rPr>
        <w:t xml:space="preserve">PRO reestruturado (Fase 6): o degrau único de 50 alunos foi avaliado e substituído por três faixas — 5 / 15 / 30 — após decisão explícita de retirar um quarto degrau de 50 clientes por não representar o cliente principal do TrAIner, fortalecendo o ELITE como o próximo passo natural.</w:t>
      </w:r>
    </w:p>
    <w:p>
      <w:pPr>
        <w:pStyle w:val="Heading1"/>
        <w:spacing w:after="200" w:before="400"/>
      </w:pPr>
      <w:r>
        <w:rPr>
          <w:b/>
          <w:bCs/>
          <w:color w:val="0E1A2B"/>
        </w:rPr>
        <w:t xml:space="preserve">4. Modelo comercial actual</w:t>
      </w:r>
    </w:p>
    <w:p>
      <w:pPr>
        <w:pStyle w:val="Heading2"/>
        <w:spacing w:after="150" w:before="300"/>
      </w:pPr>
      <w:r>
        <w:rPr>
          <w:b/>
          <w:bCs/>
          <w:color w:val="EF5B3C"/>
        </w:rPr>
        <w:t xml:space="preserve">Planos de Aluno</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gridCol w:w="3200"/>
      </w:tblGrid>
      <w:tr>
        <w:tc>
          <w:tcPr>
            <w:tcW w:type="dxa" w:w="2600"/>
            <w:shd w:fill="0E1A2B" w:val="clear"/>
            <w:tcMar>
              <w:top w:type="dxa" w:w="80"/>
              <w:left w:type="dxa" w:w="120"/>
              <w:bottom w:type="dxa" w:w="80"/>
              <w:right w:type="dxa" w:w="120"/>
            </w:tcMar>
            <w:vAlign w:val="center"/>
          </w:tcPr>
          <w:p>
            <w:pPr>
              <w:jc w:val="left"/>
            </w:pPr>
            <w:r>
              <w:rPr>
                <w:b/>
                <w:bCs/>
                <w:color w:val="FFFFFF"/>
                <w:sz w:val="19"/>
                <w:szCs w:val="19"/>
              </w:rPr>
              <w:t xml:space="preserve">Plano</w:t>
            </w:r>
          </w:p>
        </w:tc>
        <w:tc>
          <w:tcPr>
            <w:tcW w:type="dxa" w:w="1800"/>
            <w:shd w:fill="0E1A2B" w:val="clear"/>
            <w:tcMar>
              <w:top w:type="dxa" w:w="80"/>
              <w:left w:type="dxa" w:w="120"/>
              <w:bottom w:type="dxa" w:w="80"/>
              <w:right w:type="dxa" w:w="120"/>
            </w:tcMar>
            <w:vAlign w:val="center"/>
          </w:tcPr>
          <w:p>
            <w:pPr>
              <w:jc w:val="center"/>
            </w:pPr>
            <w:r>
              <w:rPr>
                <w:b/>
                <w:bCs/>
                <w:color w:val="FFFFFF"/>
                <w:sz w:val="19"/>
                <w:szCs w:val="19"/>
              </w:rPr>
              <w:t xml:space="preserve">Preço/mês</w:t>
            </w:r>
          </w:p>
        </w:tc>
        <w:tc>
          <w:tcPr>
            <w:tcW w:type="dxa" w:w="4400"/>
            <w:shd w:fill="0E1A2B" w:val="clear"/>
            <w:tcMar>
              <w:top w:type="dxa" w:w="80"/>
              <w:left w:type="dxa" w:w="120"/>
              <w:bottom w:type="dxa" w:w="80"/>
              <w:right w:type="dxa" w:w="120"/>
            </w:tcMar>
            <w:vAlign w:val="center"/>
          </w:tcPr>
          <w:p>
            <w:pPr>
              <w:jc w:val="left"/>
            </w:pPr>
            <w:r>
              <w:rPr>
                <w:b/>
                <w:bCs/>
                <w:color w:val="FFFFFF"/>
                <w:sz w:val="19"/>
                <w:szCs w:val="19"/>
              </w:rPr>
              <w:t xml:space="preserve">Proposta de valor</w:t>
            </w:r>
          </w:p>
        </w:tc>
        <w:tc>
          <w:tcPr>
            <w:tcW w:type="dxa" w:w="3200"/>
            <w:shd w:fill="0E1A2B" w:val="clear"/>
            <w:tcMar>
              <w:top w:type="dxa" w:w="80"/>
              <w:left w:type="dxa" w:w="120"/>
              <w:bottom w:type="dxa" w:w="80"/>
              <w:right w:type="dxa" w:w="120"/>
            </w:tcMar>
            <w:vAlign w:val="center"/>
          </w:tcPr>
          <w:p>
            <w:pPr>
              <w:jc w:val="left"/>
            </w:pPr>
            <w:r>
              <w:rPr>
                <w:b/>
                <w:bCs/>
                <w:color w:val="FFFFFF"/>
                <w:sz w:val="19"/>
                <w:szCs w:val="19"/>
              </w:rPr>
              <w:t xml:space="preserve">Limites principais</w:t>
            </w:r>
          </w:p>
        </w:tc>
      </w:tr>
      <w:tr>
        <w:tc>
          <w:tcPr>
            <w:tcW w:type="dxa" w:w="2600"/>
            <w:tcMar>
              <w:top w:type="dxa" w:w="80"/>
              <w:left w:type="dxa" w:w="120"/>
              <w:bottom w:type="dxa" w:w="80"/>
              <w:right w:type="dxa" w:w="120"/>
            </w:tcMar>
            <w:vAlign w:val="center"/>
          </w:tcPr>
          <w:p>
            <w:pPr>
              <w:jc w:val="left"/>
            </w:pPr>
            <w:r>
              <w:rPr>
                <w:b/>
                <w:bCs/>
                <w:color w:val="0E1A2B"/>
                <w:sz w:val="20"/>
                <w:szCs w:val="20"/>
              </w:rPr>
              <w:t xml:space="preserve">FREE</w:t>
            </w:r>
          </w:p>
        </w:tc>
        <w:tc>
          <w:tcPr>
            <w:tcW w:type="dxa" w:w="1800"/>
            <w:tcMar>
              <w:top w:type="dxa" w:w="80"/>
              <w:left w:type="dxa" w:w="120"/>
              <w:bottom w:type="dxa" w:w="80"/>
              <w:right w:type="dxa" w:w="120"/>
            </w:tcMar>
            <w:vAlign w:val="center"/>
          </w:tcPr>
          <w:p>
            <w:pPr>
              <w:jc w:val="center"/>
            </w:pPr>
            <w:r>
              <w:rPr>
                <w:b w:val="false"/>
                <w:bCs w:val="false"/>
                <w:color w:val="0E1A2B"/>
                <w:sz w:val="20"/>
                <w:szCs w:val="20"/>
              </w:rPr>
              <w:t xml:space="preserve">€0</w:t>
            </w:r>
          </w:p>
        </w:tc>
        <w:tc>
          <w:tcPr>
            <w:tcW w:type="dxa" w:w="4400"/>
            <w:tcMar>
              <w:top w:type="dxa" w:w="80"/>
              <w:left w:type="dxa" w:w="120"/>
              <w:bottom w:type="dxa" w:w="80"/>
              <w:right w:type="dxa" w:w="120"/>
            </w:tcMar>
            <w:vAlign w:val="center"/>
          </w:tcPr>
          <w:p>
            <w:pPr>
              <w:jc w:val="left"/>
            </w:pPr>
            <w:r>
              <w:rPr>
                <w:b w:val="false"/>
                <w:bCs w:val="false"/>
                <w:color w:val="0E1A2B"/>
                <w:sz w:val="20"/>
                <w:szCs w:val="20"/>
              </w:rPr>
              <w:t xml:space="preserve">Treino orientado por IA, sem custo — porta de entrada.</w:t>
            </w:r>
          </w:p>
        </w:tc>
        <w:tc>
          <w:tcPr>
            <w:tcW w:type="dxa" w:w="3200"/>
            <w:tcMar>
              <w:top w:type="dxa" w:w="80"/>
              <w:left w:type="dxa" w:w="120"/>
              <w:bottom w:type="dxa" w:w="80"/>
              <w:right w:type="dxa" w:w="120"/>
            </w:tcMar>
            <w:vAlign w:val="center"/>
          </w:tcPr>
          <w:p>
            <w:pPr>
              <w:jc w:val="left"/>
            </w:pPr>
            <w:r>
              <w:rPr>
                <w:b w:val="false"/>
                <w:bCs w:val="false"/>
                <w:color w:val="0E1A2B"/>
                <w:sz w:val="20"/>
                <w:szCs w:val="20"/>
              </w:rPr>
              <w:t xml:space="preserve">1 sessão/semana · 6 exercícios · sem métricas avançadas</w:t>
            </w:r>
          </w:p>
        </w:tc>
      </w:tr>
      <w:tr>
        <w:tc>
          <w:tcPr>
            <w:tcW w:type="dxa" w:w="2600"/>
            <w:tcMar>
              <w:top w:type="dxa" w:w="80"/>
              <w:left w:type="dxa" w:w="120"/>
              <w:bottom w:type="dxa" w:w="80"/>
              <w:right w:type="dxa" w:w="120"/>
            </w:tcMar>
            <w:vAlign w:val="center"/>
          </w:tcPr>
          <w:p>
            <w:pPr>
              <w:jc w:val="left"/>
            </w:pPr>
            <w:r>
              <w:rPr>
                <w:b/>
                <w:bCs/>
                <w:color w:val="0E1A2B"/>
                <w:sz w:val="20"/>
                <w:szCs w:val="20"/>
              </w:rPr>
              <w:t xml:space="preserve">AI FITNESS</w:t>
            </w:r>
          </w:p>
        </w:tc>
        <w:tc>
          <w:tcPr>
            <w:tcW w:type="dxa" w:w="1800"/>
            <w:tcMar>
              <w:top w:type="dxa" w:w="80"/>
              <w:left w:type="dxa" w:w="120"/>
              <w:bottom w:type="dxa" w:w="80"/>
              <w:right w:type="dxa" w:w="120"/>
            </w:tcMar>
            <w:vAlign w:val="center"/>
          </w:tcPr>
          <w:p>
            <w:pPr>
              <w:jc w:val="center"/>
            </w:pPr>
            <w:r>
              <w:rPr>
                <w:b w:val="false"/>
                <w:bCs w:val="false"/>
                <w:color w:val="0E1A2B"/>
                <w:sz w:val="20"/>
                <w:szCs w:val="20"/>
              </w:rPr>
              <w:t xml:space="preserve">€9,99</w:t>
            </w:r>
          </w:p>
        </w:tc>
        <w:tc>
          <w:tcPr>
            <w:tcW w:type="dxa" w:w="4400"/>
            <w:tcMar>
              <w:top w:type="dxa" w:w="80"/>
              <w:left w:type="dxa" w:w="120"/>
              <w:bottom w:type="dxa" w:w="80"/>
              <w:right w:type="dxa" w:w="120"/>
            </w:tcMar>
            <w:vAlign w:val="center"/>
          </w:tcPr>
          <w:p>
            <w:pPr>
              <w:jc w:val="left"/>
            </w:pPr>
            <w:r>
              <w:rPr>
                <w:b w:val="false"/>
                <w:bCs w:val="false"/>
                <w:color w:val="0E1A2B"/>
                <w:sz w:val="20"/>
                <w:szCs w:val="20"/>
              </w:rPr>
              <w:t xml:space="preserve">Planos gerados e recalibrados todos os dias pela IA.</w:t>
            </w:r>
          </w:p>
        </w:tc>
        <w:tc>
          <w:tcPr>
            <w:tcW w:type="dxa" w:w="3200"/>
            <w:tcMar>
              <w:top w:type="dxa" w:w="80"/>
              <w:left w:type="dxa" w:w="120"/>
              <w:bottom w:type="dxa" w:w="80"/>
              <w:right w:type="dxa" w:w="120"/>
            </w:tcMar>
            <w:vAlign w:val="center"/>
          </w:tcPr>
          <w:p>
            <w:pPr>
              <w:jc w:val="left"/>
            </w:pPr>
            <w:r>
              <w:rPr>
                <w:b w:val="false"/>
                <w:bCs w:val="false"/>
                <w:color w:val="0E1A2B"/>
                <w:sz w:val="20"/>
                <w:szCs w:val="20"/>
              </w:rPr>
              <w:t xml:space="preserve">7 sessões/semana · sem limite de exercícios</w:t>
            </w:r>
          </w:p>
        </w:tc>
      </w:tr>
      <w:tr>
        <w:tc>
          <w:tcPr>
            <w:tcW w:type="dxa" w:w="2600"/>
            <w:tcMar>
              <w:top w:type="dxa" w:w="80"/>
              <w:left w:type="dxa" w:w="120"/>
              <w:bottom w:type="dxa" w:w="80"/>
              <w:right w:type="dxa" w:w="120"/>
            </w:tcMar>
            <w:vAlign w:val="center"/>
          </w:tcPr>
          <w:p>
            <w:pPr>
              <w:jc w:val="left"/>
            </w:pPr>
            <w:r>
              <w:rPr>
                <w:b/>
                <w:bCs/>
                <w:color w:val="0E1A2B"/>
                <w:sz w:val="20"/>
                <w:szCs w:val="20"/>
              </w:rPr>
              <w:t xml:space="preserve">AI PERFORMANCE</w:t>
            </w:r>
          </w:p>
        </w:tc>
        <w:tc>
          <w:tcPr>
            <w:tcW w:type="dxa" w:w="1800"/>
            <w:tcMar>
              <w:top w:type="dxa" w:w="80"/>
              <w:left w:type="dxa" w:w="120"/>
              <w:bottom w:type="dxa" w:w="80"/>
              <w:right w:type="dxa" w:w="120"/>
            </w:tcMar>
            <w:vAlign w:val="center"/>
          </w:tcPr>
          <w:p>
            <w:pPr>
              <w:jc w:val="center"/>
            </w:pPr>
            <w:r>
              <w:rPr>
                <w:b w:val="false"/>
                <w:bCs w:val="false"/>
                <w:color w:val="0E1A2B"/>
                <w:sz w:val="20"/>
                <w:szCs w:val="20"/>
              </w:rPr>
              <w:t xml:space="preserve">€24,99</w:t>
            </w:r>
          </w:p>
        </w:tc>
        <w:tc>
          <w:tcPr>
            <w:tcW w:type="dxa" w:w="4400"/>
            <w:tcMar>
              <w:top w:type="dxa" w:w="80"/>
              <w:left w:type="dxa" w:w="120"/>
              <w:bottom w:type="dxa" w:w="80"/>
              <w:right w:type="dxa" w:w="120"/>
            </w:tcMar>
            <w:vAlign w:val="center"/>
          </w:tcPr>
          <w:p>
            <w:pPr>
              <w:jc w:val="left"/>
            </w:pPr>
            <w:r>
              <w:rPr>
                <w:b w:val="false"/>
                <w:bCs w:val="false"/>
                <w:color w:val="0E1A2B"/>
                <w:sz w:val="20"/>
                <w:szCs w:val="20"/>
              </w:rPr>
              <w:t xml:space="preserve">Modelo de carga real (ATL/CTL/TSB) já influencia a geração — não é só relatório.</w:t>
            </w:r>
          </w:p>
        </w:tc>
        <w:tc>
          <w:tcPr>
            <w:tcW w:type="dxa" w:w="3200"/>
            <w:tcMar>
              <w:top w:type="dxa" w:w="80"/>
              <w:left w:type="dxa" w:w="120"/>
              <w:bottom w:type="dxa" w:w="80"/>
              <w:right w:type="dxa" w:w="120"/>
            </w:tcMar>
            <w:vAlign w:val="center"/>
          </w:tcPr>
          <w:p>
            <w:pPr>
              <w:jc w:val="left"/>
            </w:pPr>
            <w:r>
              <w:rPr>
                <w:b w:val="false"/>
                <w:bCs w:val="false"/>
                <w:color w:val="0E1A2B"/>
                <w:sz w:val="20"/>
                <w:szCs w:val="20"/>
              </w:rPr>
              <w:t xml:space="preserve">Sem limites · scores preditivos completos</w:t>
            </w:r>
          </w:p>
        </w:tc>
      </w:tr>
    </w:tbl>
    <w:p>
      <w:pPr>
        <w:pStyle w:val="Heading2"/>
        <w:spacing w:after="150" w:before="300"/>
      </w:pPr>
      <w:r>
        <w:rPr>
          <w:b/>
          <w:bCs/>
          <w:color w:val="EF5B3C"/>
        </w:rPr>
        <w:t xml:space="preserve">Planos de Treinador</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3400"/>
        <w:gridCol w:w="2200"/>
      </w:tblGrid>
      <w:tr>
        <w:tc>
          <w:tcPr>
            <w:tcW w:type="dxa" w:w="2400"/>
            <w:shd w:fill="0E1A2B" w:val="clear"/>
            <w:tcMar>
              <w:top w:type="dxa" w:w="80"/>
              <w:left w:type="dxa" w:w="120"/>
              <w:bottom w:type="dxa" w:w="80"/>
              <w:right w:type="dxa" w:w="120"/>
            </w:tcMar>
            <w:vAlign w:val="center"/>
          </w:tcPr>
          <w:p>
            <w:pPr>
              <w:jc w:val="left"/>
            </w:pPr>
            <w:r>
              <w:rPr>
                <w:b/>
                <w:bCs/>
                <w:color w:val="FFFFFF"/>
                <w:sz w:val="19"/>
                <w:szCs w:val="19"/>
              </w:rPr>
              <w:t xml:space="preserve">Plano</w:t>
            </w:r>
          </w:p>
        </w:tc>
        <w:tc>
          <w:tcPr>
            <w:tcW w:type="dxa" w:w="2200"/>
            <w:shd w:fill="0E1A2B" w:val="clear"/>
            <w:tcMar>
              <w:top w:type="dxa" w:w="80"/>
              <w:left w:type="dxa" w:w="120"/>
              <w:bottom w:type="dxa" w:w="80"/>
              <w:right w:type="dxa" w:w="120"/>
            </w:tcMar>
            <w:vAlign w:val="center"/>
          </w:tcPr>
          <w:p>
            <w:pPr>
              <w:jc w:val="center"/>
            </w:pPr>
            <w:r>
              <w:rPr>
                <w:b/>
                <w:bCs/>
                <w:color w:val="FFFFFF"/>
                <w:sz w:val="19"/>
                <w:szCs w:val="19"/>
              </w:rPr>
              <w:t xml:space="preserve">Preço/mês</w:t>
            </w:r>
          </w:p>
        </w:tc>
        <w:tc>
          <w:tcPr>
            <w:tcW w:type="dxa" w:w="1800"/>
            <w:shd w:fill="0E1A2B" w:val="clear"/>
            <w:tcMar>
              <w:top w:type="dxa" w:w="80"/>
              <w:left w:type="dxa" w:w="120"/>
              <w:bottom w:type="dxa" w:w="80"/>
              <w:right w:type="dxa" w:w="120"/>
            </w:tcMar>
            <w:vAlign w:val="center"/>
          </w:tcPr>
          <w:p>
            <w:pPr>
              <w:jc w:val="center"/>
            </w:pPr>
            <w:r>
              <w:rPr>
                <w:b/>
                <w:bCs/>
                <w:color w:val="FFFFFF"/>
                <w:sz w:val="19"/>
                <w:szCs w:val="19"/>
              </w:rPr>
              <w:t xml:space="preserve">Alunos</w:t>
            </w:r>
          </w:p>
        </w:tc>
        <w:tc>
          <w:tcPr>
            <w:tcW w:type="dxa" w:w="3400"/>
            <w:shd w:fill="0E1A2B" w:val="clear"/>
            <w:tcMar>
              <w:top w:type="dxa" w:w="80"/>
              <w:left w:type="dxa" w:w="120"/>
              <w:bottom w:type="dxa" w:w="80"/>
              <w:right w:type="dxa" w:w="120"/>
            </w:tcMar>
            <w:vAlign w:val="center"/>
          </w:tcPr>
          <w:p>
            <w:pPr>
              <w:jc w:val="left"/>
            </w:pPr>
            <w:r>
              <w:rPr>
                <w:b/>
                <w:bCs/>
                <w:color w:val="FFFFFF"/>
                <w:sz w:val="19"/>
                <w:szCs w:val="19"/>
              </w:rPr>
              <w:t xml:space="preserve">Proposta</w:t>
            </w:r>
          </w:p>
        </w:tc>
        <w:tc>
          <w:tcPr>
            <w:tcW w:type="dxa" w:w="2200"/>
            <w:shd w:fill="0E1A2B" w:val="clear"/>
            <w:tcMar>
              <w:top w:type="dxa" w:w="80"/>
              <w:left w:type="dxa" w:w="120"/>
              <w:bottom w:type="dxa" w:w="80"/>
              <w:right w:type="dxa" w:w="120"/>
            </w:tcMar>
            <w:vAlign w:val="center"/>
          </w:tcPr>
          <w:p>
            <w:pPr>
              <w:jc w:val="center"/>
            </w:pPr>
            <w:r>
              <w:rPr>
                <w:b/>
                <w:bCs/>
                <w:color w:val="FFFFFF"/>
                <w:sz w:val="19"/>
                <w:szCs w:val="19"/>
              </w:rPr>
              <w:t xml:space="preserve">Anual</w:t>
            </w:r>
          </w:p>
        </w:tc>
      </w:tr>
      <w:tr>
        <w:tc>
          <w:tcPr>
            <w:tcW w:type="dxa" w:w="2400"/>
            <w:tcMar>
              <w:top w:type="dxa" w:w="80"/>
              <w:left w:type="dxa" w:w="120"/>
              <w:bottom w:type="dxa" w:w="80"/>
              <w:right w:type="dxa" w:w="120"/>
            </w:tcMar>
            <w:vAlign w:val="center"/>
          </w:tcPr>
          <w:p>
            <w:pPr>
              <w:jc w:val="left"/>
            </w:pPr>
            <w:r>
              <w:rPr>
                <w:b/>
                <w:bCs/>
                <w:color w:val="0E1A2B"/>
                <w:sz w:val="20"/>
                <w:szCs w:val="20"/>
              </w:rPr>
              <w:t xml:space="preserve">TRIAL</w:t>
            </w:r>
          </w:p>
        </w:tc>
        <w:tc>
          <w:tcPr>
            <w:tcW w:type="dxa" w:w="2200"/>
            <w:tcMar>
              <w:top w:type="dxa" w:w="80"/>
              <w:left w:type="dxa" w:w="120"/>
              <w:bottom w:type="dxa" w:w="80"/>
              <w:right w:type="dxa" w:w="120"/>
            </w:tcMar>
            <w:vAlign w:val="center"/>
          </w:tcPr>
          <w:p>
            <w:pPr>
              <w:jc w:val="center"/>
            </w:pPr>
            <w:r>
              <w:rPr>
                <w:b w:val="false"/>
                <w:bCs w:val="false"/>
                <w:color w:val="0E1A2B"/>
                <w:sz w:val="20"/>
                <w:szCs w:val="20"/>
              </w:rPr>
              <w:t xml:space="preserve">€0 · 21 dias</w:t>
            </w:r>
          </w:p>
        </w:tc>
        <w:tc>
          <w:tcPr>
            <w:tcW w:type="dxa" w:w="1800"/>
            <w:tcMar>
              <w:top w:type="dxa" w:w="80"/>
              <w:left w:type="dxa" w:w="120"/>
              <w:bottom w:type="dxa" w:w="80"/>
              <w:right w:type="dxa" w:w="120"/>
            </w:tcMar>
            <w:vAlign w:val="center"/>
          </w:tcPr>
          <w:p>
            <w:pPr>
              <w:jc w:val="center"/>
            </w:pPr>
            <w:r>
              <w:rPr>
                <w:b w:val="false"/>
                <w:bCs w:val="false"/>
                <w:color w:val="0E1A2B"/>
                <w:sz w:val="20"/>
                <w:szCs w:val="20"/>
              </w:rPr>
              <w:t xml:space="preserve">3</w:t>
            </w:r>
          </w:p>
        </w:tc>
        <w:tc>
          <w:tcPr>
            <w:tcW w:type="dxa" w:w="3400"/>
            <w:tcMar>
              <w:top w:type="dxa" w:w="80"/>
              <w:left w:type="dxa" w:w="120"/>
              <w:bottom w:type="dxa" w:w="80"/>
              <w:right w:type="dxa" w:w="120"/>
            </w:tcMar>
            <w:vAlign w:val="center"/>
          </w:tcPr>
          <w:p>
            <w:pPr>
              <w:jc w:val="left"/>
            </w:pPr>
            <w:r>
              <w:rPr>
                <w:b w:val="false"/>
                <w:bCs w:val="false"/>
                <w:color w:val="0E1A2B"/>
                <w:sz w:val="20"/>
                <w:szCs w:val="20"/>
              </w:rPr>
              <w:t xml:space="preserve">Experiência PRO completa, sem custo, por tempo limitado.</w:t>
            </w:r>
          </w:p>
        </w:tc>
        <w:tc>
          <w:tcPr>
            <w:tcW w:type="dxa" w:w="2200"/>
            <w:tcMar>
              <w:top w:type="dxa" w:w="80"/>
              <w:left w:type="dxa" w:w="120"/>
              <w:bottom w:type="dxa" w:w="80"/>
              <w:right w:type="dxa" w:w="120"/>
            </w:tcMar>
            <w:vAlign w:val="center"/>
          </w:tcPr>
          <w:p>
            <w:pPr>
              <w:jc w:val="center"/>
            </w:pPr>
            <w:r>
              <w:rPr>
                <w:b w:val="false"/>
                <w:bCs w:val="false"/>
                <w:color w:val="0E1A2B"/>
                <w:sz w:val="20"/>
                <w:szCs w:val="20"/>
              </w:rPr>
              <w:t xml:space="preserve">—</w:t>
            </w:r>
          </w:p>
        </w:tc>
      </w:tr>
      <w:tr>
        <w:tc>
          <w:tcPr>
            <w:tcW w:type="dxa" w:w="2400"/>
            <w:tcMar>
              <w:top w:type="dxa" w:w="80"/>
              <w:left w:type="dxa" w:w="120"/>
              <w:bottom w:type="dxa" w:w="80"/>
              <w:right w:type="dxa" w:w="120"/>
            </w:tcMar>
            <w:vAlign w:val="center"/>
          </w:tcPr>
          <w:p>
            <w:pPr>
              <w:jc w:val="left"/>
            </w:pPr>
            <w:r>
              <w:rPr>
                <w:b/>
                <w:bCs/>
                <w:color w:val="0E1A2B"/>
                <w:sz w:val="20"/>
                <w:szCs w:val="20"/>
              </w:rPr>
              <w:t xml:space="preserve">PRO</w:t>
            </w:r>
          </w:p>
        </w:tc>
        <w:tc>
          <w:tcPr>
            <w:tcW w:type="dxa" w:w="2200"/>
            <w:tcMar>
              <w:top w:type="dxa" w:w="80"/>
              <w:left w:type="dxa" w:w="120"/>
              <w:bottom w:type="dxa" w:w="80"/>
              <w:right w:type="dxa" w:w="120"/>
            </w:tcMar>
            <w:vAlign w:val="center"/>
          </w:tcPr>
          <w:p>
            <w:pPr>
              <w:jc w:val="center"/>
            </w:pPr>
            <w:r>
              <w:rPr>
                <w:b w:val="false"/>
                <w:bCs w:val="false"/>
                <w:color w:val="0E1A2B"/>
                <w:sz w:val="20"/>
                <w:szCs w:val="20"/>
              </w:rPr>
              <w:t xml:space="preserve">€29 / €49 / €69</w:t>
            </w:r>
          </w:p>
        </w:tc>
        <w:tc>
          <w:tcPr>
            <w:tcW w:type="dxa" w:w="1800"/>
            <w:tcMar>
              <w:top w:type="dxa" w:w="80"/>
              <w:left w:type="dxa" w:w="120"/>
              <w:bottom w:type="dxa" w:w="80"/>
              <w:right w:type="dxa" w:w="120"/>
            </w:tcMar>
            <w:vAlign w:val="center"/>
          </w:tcPr>
          <w:p>
            <w:pPr>
              <w:jc w:val="center"/>
            </w:pPr>
            <w:r>
              <w:rPr>
                <w:b w:val="false"/>
                <w:bCs w:val="false"/>
                <w:color w:val="0E1A2B"/>
                <w:sz w:val="20"/>
                <w:szCs w:val="20"/>
              </w:rPr>
              <w:t xml:space="preserve">5 / 15 / 30</w:t>
            </w:r>
          </w:p>
        </w:tc>
        <w:tc>
          <w:tcPr>
            <w:tcW w:type="dxa" w:w="3400"/>
            <w:tcMar>
              <w:top w:type="dxa" w:w="80"/>
              <w:left w:type="dxa" w:w="120"/>
              <w:bottom w:type="dxa" w:w="80"/>
              <w:right w:type="dxa" w:w="120"/>
            </w:tcMar>
            <w:vAlign w:val="center"/>
          </w:tcPr>
          <w:p>
            <w:pPr>
              <w:jc w:val="left"/>
            </w:pPr>
            <w:r>
              <w:rPr>
                <w:b w:val="false"/>
                <w:bCs w:val="false"/>
                <w:color w:val="0E1A2B"/>
                <w:sz w:val="20"/>
                <w:szCs w:val="20"/>
              </w:rPr>
              <w:t xml:space="preserve">Uma única oferta com 3 faixas seleccionáveis — substitui o antigo degrau único de 50.</w:t>
            </w:r>
          </w:p>
        </w:tc>
        <w:tc>
          <w:tcPr>
            <w:tcW w:type="dxa" w:w="2200"/>
            <w:tcMar>
              <w:top w:type="dxa" w:w="80"/>
              <w:left w:type="dxa" w:w="120"/>
              <w:bottom w:type="dxa" w:w="80"/>
              <w:right w:type="dxa" w:w="120"/>
            </w:tcMar>
            <w:vAlign w:val="center"/>
          </w:tcPr>
          <w:p>
            <w:pPr>
              <w:jc w:val="center"/>
            </w:pPr>
            <w:r>
              <w:rPr>
                <w:b w:val="false"/>
                <w:bCs w:val="false"/>
                <w:color w:val="0E1A2B"/>
                <w:sz w:val="20"/>
                <w:szCs w:val="20"/>
              </w:rPr>
              <w:t xml:space="preserve">10×mensal = 12 meses</w:t>
            </w:r>
          </w:p>
        </w:tc>
      </w:tr>
      <w:tr>
        <w:tc>
          <w:tcPr>
            <w:tcW w:type="dxa" w:w="2400"/>
            <w:tcMar>
              <w:top w:type="dxa" w:w="80"/>
              <w:left w:type="dxa" w:w="120"/>
              <w:bottom w:type="dxa" w:w="80"/>
              <w:right w:type="dxa" w:w="120"/>
            </w:tcMar>
            <w:vAlign w:val="center"/>
          </w:tcPr>
          <w:p>
            <w:pPr>
              <w:jc w:val="left"/>
            </w:pPr>
            <w:r>
              <w:rPr>
                <w:b/>
                <w:bCs/>
                <w:color w:val="0E1A2B"/>
                <w:sz w:val="20"/>
                <w:szCs w:val="20"/>
              </w:rPr>
              <w:t xml:space="preserve">ELITE</w:t>
            </w:r>
          </w:p>
        </w:tc>
        <w:tc>
          <w:tcPr>
            <w:tcW w:type="dxa" w:w="2200"/>
            <w:tcMar>
              <w:top w:type="dxa" w:w="80"/>
              <w:left w:type="dxa" w:w="120"/>
              <w:bottom w:type="dxa" w:w="80"/>
              <w:right w:type="dxa" w:w="120"/>
            </w:tcMar>
            <w:vAlign w:val="center"/>
          </w:tcPr>
          <w:p>
            <w:pPr>
              <w:jc w:val="center"/>
            </w:pPr>
            <w:r>
              <w:rPr>
                <w:b w:val="false"/>
                <w:bCs w:val="false"/>
                <w:color w:val="0E1A2B"/>
                <w:sz w:val="20"/>
                <w:szCs w:val="20"/>
              </w:rPr>
              <w:t xml:space="preserve">€99</w:t>
            </w:r>
          </w:p>
        </w:tc>
        <w:tc>
          <w:tcPr>
            <w:tcW w:type="dxa" w:w="1800"/>
            <w:tcMar>
              <w:top w:type="dxa" w:w="80"/>
              <w:left w:type="dxa" w:w="120"/>
              <w:bottom w:type="dxa" w:w="80"/>
              <w:right w:type="dxa" w:w="120"/>
            </w:tcMar>
            <w:vAlign w:val="center"/>
          </w:tcPr>
          <w:p>
            <w:pPr>
              <w:jc w:val="center"/>
            </w:pPr>
            <w:r>
              <w:rPr>
                <w:b w:val="false"/>
                <w:bCs w:val="false"/>
                <w:color w:val="0E1A2B"/>
                <w:sz w:val="20"/>
                <w:szCs w:val="20"/>
              </w:rPr>
              <w:t xml:space="preserve">Ilimitado</w:t>
            </w:r>
          </w:p>
        </w:tc>
        <w:tc>
          <w:tcPr>
            <w:tcW w:type="dxa" w:w="3400"/>
            <w:tcMar>
              <w:top w:type="dxa" w:w="80"/>
              <w:left w:type="dxa" w:w="120"/>
              <w:bottom w:type="dxa" w:w="80"/>
              <w:right w:type="dxa" w:w="120"/>
            </w:tcMar>
            <w:vAlign w:val="center"/>
          </w:tcPr>
          <w:p>
            <w:pPr>
              <w:jc w:val="left"/>
            </w:pPr>
            <w:r>
              <w:rPr>
                <w:b w:val="false"/>
                <w:bCs w:val="false"/>
                <w:color w:val="0E1A2B"/>
                <w:sz w:val="20"/>
                <w:szCs w:val="20"/>
              </w:rPr>
              <w:t xml:space="preserve">Tudo do PRO + white-label e marketplace (roadmap, rotulado "Em breve").</w:t>
            </w:r>
          </w:p>
        </w:tc>
        <w:tc>
          <w:tcPr>
            <w:tcW w:type="dxa" w:w="2200"/>
            <w:tcMar>
              <w:top w:type="dxa" w:w="80"/>
              <w:left w:type="dxa" w:w="120"/>
              <w:bottom w:type="dxa" w:w="80"/>
              <w:right w:type="dxa" w:w="120"/>
            </w:tcMar>
            <w:vAlign w:val="center"/>
          </w:tcPr>
          <w:p>
            <w:pPr>
              <w:jc w:val="center"/>
            </w:pPr>
            <w:r>
              <w:rPr>
                <w:b w:val="false"/>
                <w:bCs w:val="false"/>
                <w:color w:val="0E1A2B"/>
                <w:sz w:val="20"/>
                <w:szCs w:val="20"/>
              </w:rPr>
              <w:t xml:space="preserve">Inalterado (a decidir)</w:t>
            </w:r>
          </w:p>
        </w:tc>
      </w:tr>
    </w:tbl>
    <w:p>
      <w:pPr>
        <w:spacing w:after="120"/>
      </w:pPr>
      <w:r>
        <w:rPr>
          <w:i/>
          <w:iCs/>
          <w:color w:val="6B7280"/>
          <w:sz w:val="18"/>
          <w:szCs w:val="18"/>
        </w:rPr>
        <w:t xml:space="preserve">Desconto anual (2 meses grátis, equivalente a pagar 10 mensalidades por 12 meses de acesso): aplica-se às 3 faixas PRO, exclusivamente em contratação anual antecipada, não acumulável com outras promoções. O desconto anual do ELITE mantém-se como estava — ainda não foi revisto.</w:t>
      </w:r>
    </w:p>
    <w:p>
      <w:pPr>
        <w:pStyle w:val="Heading1"/>
        <w:spacing w:after="200" w:before="400"/>
      </w:pPr>
      <w:r>
        <w:rPr>
          <w:b/>
          <w:bCs/>
          <w:color w:val="0E1A2B"/>
        </w:rPr>
        <w:t xml:space="preserve">5. Em aberto</w:t>
      </w:r>
    </w:p>
    <w:p>
      <w:pPr>
        <w:pStyle w:val="ListParagraph"/>
        <w:numPr>
          <w:ilvl w:val="0"/>
          <w:numId w:val="1"/>
        </w:numPr>
        <w:spacing w:after="60"/>
      </w:pPr>
      <w:r>
        <w:rPr>
          <w:sz w:val="21"/>
          <w:szCs w:val="21"/>
        </w:rPr>
        <w:t xml:space="preserve">Verificação ao vivo do cenário multi-plano da Fase 4 (ver nota da tabela de fases).</w:t>
      </w:r>
    </w:p>
    <w:p>
      <w:pPr>
        <w:pStyle w:val="ListParagraph"/>
        <w:numPr>
          <w:ilvl w:val="0"/>
          <w:numId w:val="1"/>
        </w:numPr>
        <w:spacing w:after="60"/>
      </w:pPr>
      <w:r>
        <w:rPr>
          <w:sz w:val="21"/>
          <w:szCs w:val="21"/>
        </w:rPr>
        <w:t xml:space="preserve">Ligação real ao Stripe (stripe_price_id) — adiada por decisão: a escolha entre Stripe e Polar como sistema de cobrança ainda não foi feita.</w:t>
      </w:r>
    </w:p>
    <w:p>
      <w:pPr>
        <w:pStyle w:val="ListParagraph"/>
        <w:numPr>
          <w:ilvl w:val="0"/>
          <w:numId w:val="1"/>
        </w:numPr>
        <w:spacing w:after="60"/>
      </w:pPr>
      <w:r>
        <w:rPr>
          <w:sz w:val="21"/>
          <w:szCs w:val="21"/>
        </w:rPr>
        <w:t xml:space="preserve">Desconto anual do ELITE — a decidir após validação de custos reais de utilização.</w:t>
      </w:r>
    </w:p>
    <w:p>
      <w:pPr>
        <w:pStyle w:val="ListParagraph"/>
        <w:numPr>
          <w:ilvl w:val="0"/>
          <w:numId w:val="1"/>
        </w:numPr>
        <w:spacing w:after="60"/>
      </w:pPr>
      <w:r>
        <w:rPr>
          <w:sz w:val="21"/>
          <w:szCs w:val="21"/>
        </w:rPr>
        <w:t xml:space="preserve">Franquia de IA do treinador (Fase 4.2) — bloqueada por medição: precisa de pelo menos 2 semanas de dados reais de custo por chamada antes de qualquer valor ser fixado.</w:t>
      </w:r>
    </w:p>
    <w:p>
      <w:pPr>
        <w:pStyle w:val="Heading1"/>
        <w:spacing w:after="200" w:before="400"/>
      </w:pPr>
      <w:r>
        <w:rPr>
          <w:b/>
          <w:bCs/>
          <w:color w:val="0E1A2B"/>
        </w:rPr>
        <w:t xml:space="preserve">6. Como isto foi verificado</w:t>
      </w:r>
    </w:p>
    <w:p>
      <w:pPr>
        <w:spacing w:after="120"/>
      </w:pPr>
      <w:r>
        <w:rPr>
          <w:sz w:val="21"/>
          <w:szCs w:val="21"/>
        </w:rPr>
        <w:t xml:space="preserve">Cada fase foi implementada, coberta por testes automáticos (268 a 301 testes, consoante a fase, sempre 100% a passar), e testada ao vivo no ambiente publicado — com o project lead a autenticar-se pessoalmente em contas de teste reais, nunca com credenciais introduzidas por IA. Onde a verificação ao vivo não foi possível (dado de teste indisponível), isso está documentado como tal, não apresentado como concluído.</w:t>
      </w:r>
    </w:p>
    <w:sectPr>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2026-08-05T10:14:20.433Z</dcterms:created>
  <dcterms:modified xsi:type="dcterms:W3CDTF">2026-08-05T10:14:20.438Z</dcterms:modified>
</cp:coreProperties>
</file>

<file path=docProps/custom.xml><?xml version="1.0" encoding="utf-8"?>
<Properties xmlns="http://schemas.openxmlformats.org/officeDocument/2006/custom-properties" xmlns:vt="http://schemas.openxmlformats.org/officeDocument/2006/docPropsVTypes"/>
</file>