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450"/>
        <w:ind w:hanging="0" w:left="0" w:right="0"/>
        <w:jc w:val="left"/>
        <w:rPr/>
      </w:pPr>
      <w:r>
        <w:rPr/>
        <w:drawing>
          <wp:inline distT="0" distB="0" distL="0" distR="0">
            <wp:extent cx="4333875" cy="1197610"/>
            <wp:effectExtent l="0" t="0" r="0" b="0"/>
            <wp:docPr id="1" name="Image1" descr="IF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IFSC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450"/>
        <w:jc w:val="left"/>
        <w:rPr/>
      </w:pPr>
      <w:r>
        <w:rPr/>
        <w:t>Instituto Federal de Santa Catarina — Câmpus Garopaba</w:t>
      </w:r>
    </w:p>
    <w:p>
      <w:pPr>
        <w:pStyle w:val="BodyText"/>
        <w:bidi w:val="0"/>
        <w:spacing w:before="0" w:after="450"/>
        <w:jc w:val="left"/>
        <w:rPr/>
      </w:pPr>
      <w:r>
        <w:rPr/>
        <w:t>Comissão de Desenvolvimento, Planejamento e Implantação</w:t>
      </w:r>
    </w:p>
    <w:p>
      <w:pPr>
        <w:pStyle w:val="BodyText"/>
        <w:bidi w:val="0"/>
        <w:spacing w:before="0" w:after="450"/>
        <w:jc w:val="left"/>
        <w:rPr/>
      </w:pPr>
      <w:r>
        <w:rPr/>
        <w:t>Sistema Web de Gestão de Requerimentos e Gestão de Ensino</w:t>
      </w:r>
    </w:p>
    <w:p>
      <w:pPr>
        <w:pStyle w:val="BodyText"/>
        <w:bidi w:val="0"/>
        <w:spacing w:before="0" w:after="450"/>
        <w:jc w:val="left"/>
        <w:rPr/>
      </w:pPr>
      <w:r>
        <w:rPr/>
        <w:t>Conteúdo do Processo de Implantação · Submissão à PROEN</w:t>
        <w:br/>
        <w:t>Portaria da Direção-Geral do Câmpus Garopaba nº 130, de 15/06/2026</w:t>
        <w:br/>
        <w:t>Base legal: Resolução CGD nº 03/2025</w:t>
      </w:r>
    </w:p>
    <w:p>
      <w:pPr>
        <w:pStyle w:val="BodyTextnote"/>
        <w:bidi w:val="0"/>
        <w:jc w:val="left"/>
        <w:rPr/>
      </w:pPr>
      <w:r>
        <w:rPr>
          <w:b/>
        </w:rPr>
        <w:t>Observação (orientação da DTIC):</w:t>
      </w:r>
      <w:r>
        <w:rPr/>
        <w:t xml:space="preserve"> conforme o Anexo I da Resolução CGD nº 03/2025, o passo atual é a submissão às áreas responsáveis (PROEN). A migração do código para o </w:t>
      </w:r>
      <w:r>
        <w:rPr>
          <w:i/>
        </w:rPr>
        <w:t>git.ifsc.edu.br</w:t>
      </w:r>
      <w:r>
        <w:rPr/>
        <w:t xml:space="preserve"> ocorre em etapa posterior e não é pré-requisito desta fase.</w:t>
      </w:r>
    </w:p>
    <w:p>
      <w:pPr>
        <w:pStyle w:val="Heading2"/>
        <w:bidi w:val="0"/>
        <w:jc w:val="left"/>
        <w:rPr/>
      </w:pPr>
      <w:r>
        <w:rPr/>
        <w:t>Dados do processo</w:t>
      </w:r>
    </w:p>
    <w:tbl>
      <w:tblPr>
        <w:tblW w:w="838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61"/>
        <w:gridCol w:w="5926"/>
      </w:tblGrid>
      <w:tr>
        <w:trPr/>
        <w:tc>
          <w:tcPr>
            <w:tcW w:w="246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Campo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Heading"/>
              <w:suppressLineNumbers/>
              <w:shd w:fill="006633" w:val="clear"/>
              <w:bidi w:val="0"/>
              <w:spacing w:before="0" w:after="283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Tipo de processo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Solicitação de Desenvolvimento/Implantação de Sistema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Destinatário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PROEN — Pró-reitoria de Ensino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Fluxo previsto (Anexo I)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PROEN → DTIC (viabilidade técnica) → CGD (aprovação)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Câmpus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Garopaba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Base legal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Resolução CGD nº 03, de 25/04/2025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de abertura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[preencher]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 Identificação</w:t>
      </w:r>
    </w:p>
    <w:p>
      <w:pPr>
        <w:pStyle w:val="BodyText"/>
        <w:bidi w:val="0"/>
        <w:jc w:val="left"/>
        <w:rPr/>
      </w:pPr>
      <w:r>
        <w:rPr>
          <w:b/>
        </w:rPr>
        <w:t>Dono do Produto:</w:t>
      </w:r>
      <w:r>
        <w:rPr/>
        <w:t xml:space="preserve"> [Diretor(a) de Ensino ou Coord. Pedagógica — definir] — área-cliente do sistema.</w:t>
        <w:br/>
      </w:r>
      <w:r>
        <w:rPr>
          <w:b/>
        </w:rPr>
        <w:t>Responsável Técnico:</w:t>
      </w:r>
      <w:r>
        <w:rPr/>
        <w:t xml:space="preserve"> Prof. Thiago Lipinski Paes — thiago.paes@ifsc.edu.br — Docente de Computação, IFSC Câmpus Garopaba.</w:t>
      </w:r>
    </w:p>
    <w:p>
      <w:pPr>
        <w:pStyle w:val="BodyText"/>
        <w:bidi w:val="0"/>
        <w:jc w:val="left"/>
        <w:rPr/>
      </w:pPr>
      <w:r>
        <w:rPr>
          <w:b/>
        </w:rPr>
        <w:t>Comissão</w:t>
      </w:r>
      <w:r>
        <w:rPr/>
        <w:t xml:space="preserve"> (instituída pela Portaria da Direção-Geral do Câmpus Garopaba nº 130, de 15/06/2026, em anexo):</w:t>
      </w:r>
    </w:p>
    <w:tbl>
      <w:tblPr>
        <w:tblW w:w="1029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46"/>
        <w:gridCol w:w="3736"/>
        <w:gridCol w:w="4111"/>
      </w:tblGrid>
      <w:tr>
        <w:trPr/>
        <w:tc>
          <w:tcPr>
            <w:tcW w:w="2446" w:type="dxa"/>
            <w:tcBorders/>
            <w:vAlign w:val="center"/>
          </w:tcPr>
          <w:p>
            <w:pPr>
              <w:pStyle w:val="TableHeading"/>
              <w:suppressLineNumbers/>
              <w:shd w:fill="006633" w:val="clear"/>
              <w:bidi w:val="0"/>
              <w:spacing w:before="0" w:after="283"/>
              <w:jc w:val="left"/>
              <w:rPr/>
            </w:pPr>
            <w:r>
              <w:rPr/>
              <w:t>Membro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Heading"/>
              <w:suppressLineNumbers/>
              <w:shd w:fill="006633" w:val="clear"/>
              <w:bidi w:val="0"/>
              <w:spacing w:before="0" w:after="283"/>
              <w:jc w:val="left"/>
              <w:rPr/>
            </w:pPr>
            <w:r>
              <w:rPr/>
              <w:t>Cargo / Área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ableHeading"/>
              <w:suppressLineNumbers/>
              <w:shd w:fill="006633" w:val="clear"/>
              <w:bidi w:val="0"/>
              <w:spacing w:before="0" w:after="283"/>
              <w:jc w:val="left"/>
              <w:rPr/>
            </w:pPr>
            <w:r>
              <w:rPr/>
              <w:t>Papel na comissão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Prof. Thiago Paes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Docente Informática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Coordenador / Responsável técnico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Prof. Nauber Gavski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Coord. Pedagógico do câmpus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Validação de fluxos e testes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Profa. Sabrina Pacheco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Coord. Téc. Integrado em Informática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Testes de aceitação / apoio ao processo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Luciane Stein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Registro Acadêmico / Secretaria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Validação de fluxos operacionais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Thiago Waltrik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CTIC Câmpus Garopaba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Infraestrutura e LDAP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Antonio Luiz Schalata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CTIC (em exercício na Reitoria)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Apoio técnico CTIC / DTIC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Apresentação e solicitação</w:t>
      </w:r>
    </w:p>
    <w:p>
      <w:pPr>
        <w:pStyle w:val="BodyText"/>
        <w:bidi w:val="0"/>
        <w:jc w:val="left"/>
        <w:rPr/>
      </w:pPr>
      <w:r>
        <w:rPr/>
        <w:t xml:space="preserve">A Comissão de Implantação do IFSC Câmpus Garopaba submete à PROEN, para avaliação e encaminhamento à DTIC (conforme o Anexo I da Resolução CGD 03/2025), o </w:t>
      </w:r>
      <w:r>
        <w:rPr>
          <w:b/>
        </w:rPr>
        <w:t>Sistema Web de Gestão de Requerimentos e Gestão de Ensino</w:t>
      </w:r>
      <w:r>
        <w:rPr/>
        <w:t>, desenvolvido no âmbito do câmpus. A condução segue a referida política, com os artefatos da fase inicial já elaborados (Documento de Visão, Regras de Negócio, Plano de Releases e Backlog do Produto).</w:t>
      </w:r>
    </w:p>
    <w:p>
      <w:pPr>
        <w:pStyle w:val="Heading2"/>
        <w:bidi w:val="0"/>
        <w:jc w:val="left"/>
        <w:rPr/>
      </w:pPr>
      <w:r>
        <w:rPr/>
        <w:t>3. Descrição do sistema</w:t>
      </w:r>
    </w:p>
    <w:p>
      <w:pPr>
        <w:pStyle w:val="BodyText"/>
        <w:bidi w:val="0"/>
        <w:jc w:val="left"/>
        <w:rPr/>
      </w:pPr>
      <w:r>
        <w:rPr/>
        <w:t xml:space="preserve">Plataforma web que </w:t>
      </w:r>
      <w:r>
        <w:rPr>
          <w:b/>
        </w:rPr>
        <w:t>centraliza processos acadêmicos do câmpus</w:t>
      </w:r>
      <w:r>
        <w:rPr/>
        <w:t xml:space="preserve"> hoje dispersos em e-mails, planilhas e atendimentos presenciais.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Módulos implementados: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Requerimentos discentes:</w:t>
      </w:r>
      <w:r>
        <w:rPr/>
        <w:t xml:space="preserve"> protocolo eletrônico pelos alunos (trancamento, 2ª chamada, validação de UC, exercício domiciliar, entre 20+ tipos), com workflow de análise/tramitação pelas coordenações e secretaria, notificações por e-mail e acompanhamento por número de protocolo.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Portal de Responsáveis:</w:t>
      </w:r>
      <w:r>
        <w:rPr/>
        <w:t xml:space="preserve"> pais/responsáveis de alunos menores protocolam e acompanham requerimentos, com cadastro validado pela Coordenação Pedagógica e confirmação por código (OTP).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Substituição docente:</w:t>
      </w:r>
      <w:r>
        <w:rPr/>
        <w:t xml:space="preserve"> o docente solicita substituto; o sistema sugere quem está livre no horário, envia convite por e-mail e encaminha para aprovação da coordenação e do DEPE.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Equidade de horários</w:t>
      </w:r>
      <w:r>
        <w:rPr/>
        <w:t xml:space="preserve"> (“Justiceiro do Tempo”) e </w:t>
      </w:r>
      <w:r>
        <w:rPr>
          <w:b/>
        </w:rPr>
        <w:t>importação da grade</w:t>
      </w:r>
      <w:r>
        <w:rPr/>
        <w:t xml:space="preserve"> (XML do aSc Timetables). </w:t>
      </w:r>
    </w:p>
    <w:p>
      <w:pPr>
        <w:pStyle w:val="BodyText"/>
        <w:bidi w:val="0"/>
        <w:jc w:val="left"/>
        <w:rPr/>
      </w:pPr>
      <w:r>
        <w:rPr>
          <w:b/>
        </w:rPr>
        <w:t>Módulos planejados (próximas fases):</w:t>
      </w:r>
      <w:r>
        <w:rPr/>
        <w:t xml:space="preserve"> Coordenação Pedagógica (alunos, notas e atendimentos), orientações e carteirinhas digitais, e autorizações de saídas externas.</w:t>
      </w:r>
    </w:p>
    <w:p>
      <w:pPr>
        <w:pStyle w:val="BodyText"/>
        <w:bidi w:val="0"/>
        <w:jc w:val="left"/>
        <w:rPr/>
      </w:pPr>
      <w:r>
        <w:rPr/>
        <w:t>A demonstração visual de todos os fluxos está na seção “</w:t>
      </w:r>
      <w:r>
        <w:rPr>
          <w:b/>
        </w:rPr>
        <w:t>Demonstração Visual dos Fluxos”</w:t>
      </w:r>
      <w:r>
        <w:rPr/>
        <w:t>, ao final.</w:t>
      </w:r>
    </w:p>
    <w:p>
      <w:pPr>
        <w:pStyle w:val="Heading2"/>
        <w:bidi w:val="0"/>
        <w:jc w:val="left"/>
        <w:rPr/>
      </w:pPr>
      <w:r>
        <w:rPr/>
        <w:t>4. Justificativa de não substituição por sistema existente</w:t>
      </w:r>
    </w:p>
    <w:p>
      <w:pPr>
        <w:pStyle w:val="BodyText"/>
        <w:bidi w:val="0"/>
        <w:jc w:val="left"/>
        <w:rPr/>
      </w:pPr>
      <w:r>
        <w:rPr/>
        <w:t xml:space="preserve">O SIGAA e demais sistemas SIG do IFSC não oferecem módulo equivalente para o fluxo </w:t>
      </w:r>
      <w:r>
        <w:rPr>
          <w:b/>
        </w:rPr>
        <w:t>local</w:t>
      </w:r>
      <w:r>
        <w:rPr/>
        <w:t xml:space="preserve"> de requerimentos acadêmicos com: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Protocolo eletrônico pelos alunos (e responsáveis) sem presença física na secretaria;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Workflow customizável por tipo de requerimento e por coordenadoria;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Notificações automáticas a alunos, responsáveis e coordenadores;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Geração de protocolo e histórico de tramitação;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Módulos específicos do câmpus (substituição docente, equidade de horários). </w:t>
      </w:r>
    </w:p>
    <w:p>
      <w:pPr>
        <w:pStyle w:val="Heading2"/>
        <w:bidi w:val="0"/>
        <w:jc w:val="left"/>
        <w:rPr/>
      </w:pPr>
      <w:r>
        <w:rPr/>
        <w:t>5. Requisitos não funcionais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Linguagem:</w:t>
      </w:r>
      <w:r>
        <w:rPr/>
        <w:t xml:space="preserve"> PHP 8.4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Banco de dados:</w:t>
      </w:r>
      <w:r>
        <w:rPr/>
        <w:t xml:space="preserve"> MySQL 8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Autenticação:</w:t>
      </w:r>
      <w:r>
        <w:rPr/>
        <w:t xml:space="preserve"> LDAP/AD institucional (servidores); dados institucionais (alunos)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Segurança:</w:t>
      </w:r>
      <w:r>
        <w:rPr/>
        <w:t xml:space="preserve"> HTTPS obrigatório em produção; TLS no SMTP; sem credenciais no código (.env); criptografia de dados sensíveis (LGPD)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Hospedagem:</w:t>
      </w:r>
      <w:r>
        <w:rPr/>
        <w:t xml:space="preserve"> servidor da CTIC do Câmpus Garopaba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Controle de versão:</w:t>
      </w:r>
      <w:r>
        <w:rPr/>
        <w:t xml:space="preserve"> git.ifsc.edu.br (migração na etapa subsequente) </w:t>
      </w:r>
    </w:p>
    <w:p>
      <w:pPr>
        <w:pStyle w:val="BodyTextnote"/>
        <w:bidi w:val="0"/>
        <w:jc w:val="left"/>
        <w:rPr/>
      </w:pPr>
      <w:r>
        <w:rPr>
          <w:b/>
        </w:rPr>
        <w:t>Sobre a preferência da política por Java/PostgreSQL (Anexo I):</w:t>
      </w:r>
      <w:r>
        <w:rPr/>
        <w:t xml:space="preserve"> o sistema já está desenvolvido, funcional e validado em PHP 8.4 + MySQL. A reconstrução em Java implicaria refazer integralmente a solução, com custo humano desproporcional para uma iniciativa de câmpus. A comissão se coloca à disposição da DTIC para o alinhamento técnico quanto a hospedagem, integração e padrões de segurança.</w:t>
      </w:r>
    </w:p>
    <w:p>
      <w:pPr>
        <w:pStyle w:val="Heading2"/>
        <w:bidi w:val="0"/>
        <w:jc w:val="left"/>
        <w:rPr/>
      </w:pPr>
      <w:r>
        <w:rPr/>
        <w:t>6. Requisitos funcionais e artefatos (fase inicial)</w:t>
      </w:r>
    </w:p>
    <w:p>
      <w:pPr>
        <w:pStyle w:val="BodyText"/>
        <w:bidi w:val="0"/>
        <w:jc w:val="left"/>
        <w:rPr/>
      </w:pPr>
      <w:r>
        <w:rPr/>
        <w:t>Artefatos já produzidos, anexos ao processo: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Documento de Visão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Regras de Negócio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Plano de Releases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Backlog do Produto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Guia de Testes (UAT) das equipes </w:t>
      </w:r>
    </w:p>
    <w:p>
      <w:pPr>
        <w:pStyle w:val="Heading2"/>
        <w:bidi w:val="0"/>
        <w:jc w:val="left"/>
        <w:rPr/>
      </w:pPr>
      <w:r>
        <w:rPr/>
        <w:t>7. Segurança e LGPD</w:t>
      </w:r>
    </w:p>
    <w:p>
      <w:pPr>
        <w:pStyle w:val="BodyText"/>
        <w:bidi w:val="0"/>
        <w:jc w:val="left"/>
        <w:rPr/>
      </w:pPr>
      <w:r>
        <w:rPr/>
        <w:t xml:space="preserve">O sistema trata dados pessoais de alunos e responsáveis e foi desenvolvido com proteção desde as fases iniciais (controle de acesso, criptografia de dados sensíveis, registros de tramitação). Foi realizada </w:t>
      </w:r>
      <w:r>
        <w:rPr>
          <w:b/>
        </w:rPr>
        <w:t>auditoria de segurança interna</w:t>
      </w:r>
      <w:r>
        <w:rPr/>
        <w:t xml:space="preserve"> (OWASP Top 10 + específicas de PHP), com correções e testes documentados — material que apoia a futura varredura de segurança da DTIC, etapa exigida pela política antes do go-live.</w:t>
      </w:r>
    </w:p>
    <w:p>
      <w:pPr>
        <w:pStyle w:val="Heading2"/>
        <w:bidi w:val="0"/>
        <w:jc w:val="left"/>
        <w:rPr/>
      </w:pPr>
      <w:r>
        <w:rPr/>
        <w:t>8. Documentos a anexar ao processo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Este documento (descrição, requisitos e justificativas)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Portaria da Direção-Geral nº 130/2026 (constituição da comissão)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Artefatos da fase inicial (Visão, Regras de Negócio, Plano de Releases, Backlog)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Relatório de testes de segurança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Demonstração visual (figuras) dos fluxos — incluída neste documento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Resolução CGD nº 03/2025 (referência) </w:t>
      </w:r>
    </w:p>
    <w:p>
      <w:pPr>
        <w:pStyle w:val="Heading2"/>
        <w:bidi w:val="0"/>
        <w:jc w:val="left"/>
        <w:rPr/>
      </w:pPr>
      <w:r>
        <w:rPr/>
        <w:t>9. Solicitação à PROEN</w:t>
      </w:r>
    </w:p>
    <w:p>
      <w:pPr>
        <w:pStyle w:val="BodyText"/>
        <w:bidi w:val="0"/>
        <w:jc w:val="left"/>
        <w:rPr/>
      </w:pPr>
      <w:r>
        <w:rPr/>
        <w:t>Solicita-se à PROEN a avaliação da pertinência pedagógica da demanda e, sendo favorável, o encaminhamento à DTIC para análise de viabilidade técnica e demais providências previstas no Anexo I da Resolução CGD 03/2025, com vistas à posterior aprovação pelo CGD e implantação no servidor da CTIC do Câmpus Garopaba. A comissão permanece à disposição para esclarecimentos, demonstração do sistema e alinhamentos técnicos.</w:t>
      </w:r>
    </w:p>
    <w:p>
      <w:pPr>
        <w:pStyle w:val="Heading2"/>
        <w:bidi w:val="0"/>
        <w:ind w:hanging="0" w:left="0" w:right="0"/>
        <w:jc w:val="left"/>
        <w:rPr/>
      </w:pPr>
      <w:r>
        <w:rPr/>
        <w:t>Demonstração Visual dos Fluxos</w:t>
      </w:r>
    </w:p>
    <w:p>
      <w:pPr>
        <w:pStyle w:val="BodyTextnote"/>
        <w:bidi w:val="0"/>
        <w:jc w:val="left"/>
        <w:rPr/>
      </w:pPr>
      <w:r>
        <w:rPr>
          <w:b/>
        </w:rPr>
        <w:t>Privacidade (LGPD):</w:t>
      </w:r>
      <w:r>
        <w:rPr/>
        <w:t xml:space="preserve"> as telas com listagens/dados foram geradas com dados de demonstração ou anonimizados (“Aluno(a) de Exemplo”, “Docente de Exemplo”). Nenhum dado pessoal real de aluno ou docente aparece nas imagens.</w:t>
      </w:r>
    </w:p>
    <w:p>
      <w:pPr>
        <w:pStyle w:val="Heading3figgroup"/>
        <w:bidi w:val="0"/>
        <w:jc w:val="left"/>
        <w:rPr/>
      </w:pPr>
      <w:r>
        <w:rPr/>
        <w:t>A. Aluno (acesso público)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6105525"/>
            <wp:effectExtent l="0" t="0" r="0" b="0"/>
            <wp:docPr id="2" name="Image2" descr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igura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1</w:t>
      </w:r>
      <w:r>
        <w:rPr/>
        <w:t xml:space="preserve"> — Formulário de requerimento do aluno (etapa de identificação).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3886200"/>
            <wp:effectExtent l="0" t="0" r="0" b="0"/>
            <wp:docPr id="3" name="Image3" descr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igura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2</w:t>
      </w:r>
      <w:r>
        <w:rPr/>
        <w:t xml:space="preserve"> — Consulta de protocolo — formulário de acompanhamento.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5343525"/>
            <wp:effectExtent l="0" t="0" r="0" b="0"/>
            <wp:docPr id="4" name="Image4" descr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Figura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3</w:t>
      </w:r>
      <w:r>
        <w:rPr/>
        <w:t xml:space="preserve"> — Consulta de protocolo — fluxo de tramitação e linha do tempo.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3429000" cy="7429500"/>
            <wp:effectExtent l="0" t="0" r="0" b="0"/>
            <wp:docPr id="5" name="Image5" descr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Figura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4</w:t>
      </w:r>
      <w:r>
        <w:rPr/>
        <w:t xml:space="preserve"> — Formulário do aluno em dispositivo móvel (layout responsivo).</w:t>
      </w:r>
    </w:p>
    <w:p>
      <w:pPr>
        <w:pStyle w:val="Heading3figgroup"/>
        <w:bidi w:val="0"/>
        <w:jc w:val="left"/>
        <w:rPr/>
      </w:pPr>
      <w:r>
        <w:rPr/>
        <w:t>B. Portal de Responsáveis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3886200"/>
            <wp:effectExtent l="0" t="0" r="0" b="0"/>
            <wp:docPr id="6" name="Image6" descr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Figura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5</w:t>
      </w:r>
      <w:r>
        <w:rPr/>
        <w:t xml:space="preserve"> — Portal de Responsáveis — tela de login.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6819900"/>
            <wp:effectExtent l="0" t="0" r="0" b="0"/>
            <wp:docPr id="7" name="Image7" descr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Figura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6</w:t>
      </w:r>
      <w:r>
        <w:rPr/>
        <w:t xml:space="preserve"> — Portal de Responsáveis — cadastro do responsável (com termo de autorização).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3886200"/>
            <wp:effectExtent l="0" t="0" r="0" b="0"/>
            <wp:docPr id="8" name="Image8" descr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Figura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7</w:t>
      </w:r>
      <w:r>
        <w:rPr/>
        <w:t xml:space="preserve"> — Portal de Responsáveis — painel com alunos vinculados e “Meus Requerimentos”.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3886200"/>
            <wp:effectExtent l="0" t="0" r="0" b="0"/>
            <wp:docPr id="9" name="Image9" descr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Figura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8</w:t>
      </w:r>
      <w:r>
        <w:rPr/>
        <w:t xml:space="preserve"> — Portal de Responsáveis — novo requerimento em nome do aluno.</w:t>
      </w:r>
    </w:p>
    <w:p>
      <w:pPr>
        <w:pStyle w:val="Heading3figgroup"/>
        <w:bidi w:val="0"/>
        <w:jc w:val="left"/>
        <w:rPr/>
      </w:pPr>
      <w:r>
        <w:rPr/>
        <w:t>C. Portal Docente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3886200"/>
            <wp:effectExtent l="0" t="0" r="0" b="0"/>
            <wp:docPr id="10" name="Image10" descr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Figura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9</w:t>
      </w:r>
      <w:r>
        <w:rPr/>
        <w:t xml:space="preserve"> — Portal Docente — tela de login.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3886200"/>
            <wp:effectExtent l="0" t="0" r="0" b="0"/>
            <wp:docPr id="11" name="Image11" descr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Figura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10</w:t>
      </w:r>
      <w:r>
        <w:rPr/>
        <w:t xml:space="preserve"> — Portal Docente — painel de substituições de aulas.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3886200"/>
            <wp:effectExtent l="0" t="0" r="0" b="0"/>
            <wp:docPr id="12" name="Image12" descr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Figura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11</w:t>
      </w:r>
      <w:r>
        <w:rPr/>
        <w:t xml:space="preserve"> — Portal Docente — nova solicitação de substituição de aulas.</w:t>
      </w:r>
    </w:p>
    <w:p>
      <w:pPr>
        <w:pStyle w:val="Heading3figgroup"/>
        <w:bidi w:val="0"/>
        <w:jc w:val="left"/>
        <w:rPr/>
      </w:pPr>
      <w:r>
        <w:rPr/>
        <w:t>D. Painel Administrativo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3886200"/>
            <wp:effectExtent l="0" t="0" r="0" b="0"/>
            <wp:docPr id="13" name="Image13" descr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Figura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12</w:t>
      </w:r>
      <w:r>
        <w:rPr/>
        <w:t xml:space="preserve"> — Painel Administrativo — tela de login.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3886200"/>
            <wp:effectExtent l="0" t="0" r="0" b="0"/>
            <wp:docPr id="14" name="Image14" descr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Figura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13</w:t>
      </w:r>
      <w:r>
        <w:rPr/>
        <w:t xml:space="preserve"> — Painel Administrativo — dashboard de pendências.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3886200"/>
            <wp:effectExtent l="0" t="0" r="0" b="0"/>
            <wp:docPr id="15" name="Image15" descr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Figura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rPr/>
      </w:pPr>
      <w:r>
        <w:rPr>
          <w:b/>
        </w:rPr>
        <w:t>Figura 14</w:t>
      </w:r>
      <w:r>
        <w:rPr/>
        <w:t xml:space="preserve"> — Painel Administrativo — lista de todas as requisições.</w:t>
      </w:r>
    </w:p>
    <w:p>
      <w:pPr>
        <w:pStyle w:val="BodyTextfigimg"/>
        <w:bidi w:val="0"/>
        <w:rPr/>
      </w:pPr>
      <w:r>
        <w:rPr/>
        <w:drawing>
          <wp:inline distT="0" distB="0" distL="0" distR="0">
            <wp:extent cx="5905500" cy="3886200"/>
            <wp:effectExtent l="0" t="0" r="0" b="0"/>
            <wp:docPr id="16" name="Image16" descr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Figura 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figcap"/>
        <w:bidi w:val="0"/>
        <w:spacing w:before="0" w:after="300"/>
        <w:rPr/>
      </w:pPr>
      <w:r>
        <w:rPr>
          <w:b/>
        </w:rPr>
        <w:t>Figura 15</w:t>
      </w:r>
      <w:r>
        <w:rPr/>
        <w:t xml:space="preserve"> — Painel Administrativo — detalhe do requerimento: dados do aluno, fluxo e histórico de tramitação.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Liberation Sans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Arial;Liberation Sans;sans-serif" w:hAnsi="Arial;Liberation Sans;sans-serif" w:eastAsia="Arial;Liberation Sans;sans-serif" w:cs="Arial;Liberation Sans;sans-serif"/>
      <w:color w:val="1A1A1A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006633"/>
      <w:sz w:val="34"/>
      <w:szCs w:val="34"/>
    </w:rPr>
  </w:style>
  <w:style w:type="paragraph" w:styleId="Heading2">
    <w:name w:val="Heading 2"/>
    <w:basedOn w:val="Heading"/>
    <w:next w:val="BodyText"/>
    <w:qFormat/>
    <w:pPr>
      <w:pBdr>
        <w:bottom w:val="single" w:sz="12" w:space="2" w:color="1CBB9B"/>
      </w:pBdr>
      <w:spacing w:before="330" w:after="120"/>
      <w:outlineLvl w:val="1"/>
    </w:pPr>
    <w:rPr>
      <w:rFonts w:ascii="Liberation Serif" w:hAnsi="Liberation Serif" w:eastAsia="Noto Serif CJK SC" w:cs="Noto Sans Devanagari"/>
      <w:b/>
      <w:bCs/>
      <w:color w:val="15937B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10" w:after="120"/>
      <w:outlineLvl w:val="2"/>
    </w:pPr>
    <w:rPr>
      <w:rFonts w:ascii="Liberation Serif" w:hAnsi="Liberation Serif" w:eastAsia="Noto Serif CJK SC" w:cs="Noto Sans Devanagari"/>
      <w:b/>
      <w:bCs/>
      <w:color w:val="00663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3figgroup">
    <w:name w:val="Heading 3.figgroup"/>
    <w:basedOn w:val="Heading3"/>
    <w:qFormat/>
    <w:pPr>
      <w:pBdr/>
      <w:shd w:fill="1CBB9B" w:val="clear"/>
      <w:ind w:hanging="0" w:left="0"/>
      <w:outlineLvl w:val="9"/>
    </w:pPr>
    <w:rPr>
      <w:color w:val="FFFFFF"/>
    </w:rPr>
  </w:style>
  <w:style w:type="paragraph" w:styleId="BodyTextnote">
    <w:name w:val="Body Text.note"/>
    <w:basedOn w:val="BodyText"/>
    <w:qFormat/>
    <w:pPr>
      <w:pBdr>
        <w:top w:val="single" w:sz="2" w:space="7" w:color="1CBB9B"/>
        <w:left w:val="single" w:sz="2" w:space="10" w:color="1CBB9B"/>
        <w:bottom w:val="single" w:sz="2" w:space="7" w:color="1CBB9B"/>
      </w:pBdr>
      <w:shd w:fill="EAFAF4" w:val="clear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006633" w:val="clear"/>
      <w:jc w:val="left"/>
    </w:pPr>
    <w:rPr>
      <w:b/>
      <w:bCs/>
      <w:color w:val="FFFFFF"/>
    </w:rPr>
  </w:style>
  <w:style w:type="paragraph" w:styleId="BodyTextfigimg">
    <w:name w:val="Body Text.figimg"/>
    <w:basedOn w:val="BodyText"/>
    <w:qFormat/>
    <w:pPr>
      <w:spacing w:before="240" w:after="45"/>
      <w:ind w:left="240" w:right="240"/>
      <w:jc w:val="center"/>
    </w:pPr>
    <w:rPr/>
  </w:style>
  <w:style w:type="paragraph" w:styleId="BodyTextfigcap">
    <w:name w:val="Body Text.figcap"/>
    <w:basedOn w:val="BodyText"/>
    <w:qFormat/>
    <w:pPr>
      <w:spacing w:before="0" w:after="300"/>
      <w:jc w:val="center"/>
    </w:pPr>
    <w:rPr>
      <w:i/>
      <w:iCs/>
      <w:color w:val="555555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LibreOffice_project/60$Build-3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Processo de Implantação — Sistema de Requerimentos IFSC Garopaba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