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3.png" ContentType="image/pn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Sources</w:t>
      </w:r>
      <w:r>
        <w:t xml:space="preserve"> </w:t>
      </w:r>
      <w:r>
        <w:t xml:space="preserve">and</w:t>
      </w:r>
      <w:r>
        <w:t xml:space="preserve"> </w:t>
      </w:r>
      <w:r>
        <w:t xml:space="preserve">Needs</w:t>
      </w:r>
      <w:r>
        <w:t xml:space="preserve"> </w:t>
      </w:r>
      <w:r>
        <w:t xml:space="preserve">for</w:t>
      </w:r>
      <w:r>
        <w:t xml:space="preserve"> </w:t>
      </w:r>
      <w:r>
        <w:t xml:space="preserve">Active</w:t>
      </w:r>
      <w:r>
        <w:t xml:space="preserve"> </w:t>
      </w:r>
      <w:r>
        <w:t xml:space="preserve">Travel-Based</w:t>
      </w:r>
      <w:r>
        <w:t xml:space="preserve"> </w:t>
      </w:r>
      <w:r>
        <w:t xml:space="preserve">Accessibility</w:t>
      </w:r>
      <w:r>
        <w:t xml:space="preserve"> </w:t>
      </w:r>
      <w:r>
        <w:t xml:space="preserve">Analysis:</w:t>
      </w:r>
      <w:r>
        <w:t xml:space="preserve"> </w:t>
      </w:r>
      <w:r>
        <w:t xml:space="preserve">A</w:t>
      </w:r>
      <w:r>
        <w:t xml:space="preserve"> </w:t>
      </w:r>
      <w:r>
        <w:t xml:space="preserve">Canadian</w:t>
      </w:r>
      <w:r>
        <w:t xml:space="preserve"> </w:t>
      </w:r>
      <w:r>
        <w:t xml:space="preserve">Perspective</w:t>
      </w:r>
    </w:p>
    <w:p>
      <w:pPr>
        <w:pStyle w:val="Author"/>
      </w:pPr>
      <w:r>
        <w:t xml:space="preserve">Mahdis</w:t>
      </w:r>
      <w:r>
        <w:t xml:space="preserve"> </w:t>
      </w:r>
      <w:r>
        <w:t xml:space="preserve">Moghadasi,</w:t>
      </w:r>
      <w:r>
        <w:t xml:space="preserve"> </w:t>
      </w:r>
      <w:r>
        <w:t xml:space="preserve">Jeneva</w:t>
      </w:r>
      <w:r>
        <w:t xml:space="preserve"> </w:t>
      </w:r>
      <w:r>
        <w:t xml:space="preserve">Beairsto,</w:t>
      </w:r>
      <w:r>
        <w:t xml:space="preserve"> </w:t>
      </w:r>
      <w:r>
        <w:t xml:space="preserve">Meghan</w:t>
      </w:r>
      <w:r>
        <w:t xml:space="preserve"> </w:t>
      </w:r>
      <w:r>
        <w:t xml:space="preserve">Winters,</w:t>
      </w:r>
      <w:r>
        <w:t xml:space="preserve"> </w:t>
      </w:r>
      <w:r>
        <w:t xml:space="preserve">Antonio</w:t>
      </w:r>
      <w:r>
        <w:t xml:space="preserve"> </w:t>
      </w:r>
      <w:r>
        <w:t xml:space="preserve">Paez</w:t>
      </w:r>
    </w:p>
    <w:bookmarkStart w:id="20" w:name="abstract"/>
    <w:p>
      <w:pPr>
        <w:pStyle w:val="Heading2"/>
      </w:pPr>
      <w:r>
        <w:t xml:space="preserve">Abstract</w:t>
      </w:r>
    </w:p>
    <w:p>
      <w:pPr>
        <w:pStyle w:val="FirstParagraph"/>
      </w:pPr>
      <w:r>
        <w:t xml:space="preserve">Active travel is a key element to achieve robust and healthy urban transportation polycultures. As analysis of transportation needs in cities shifts from a focus on mobility to accessibility, the need to assess accessibility by cycling and walking has become increasingly pressing. The distinguishing features of these modes –lower speeds, shorter trips, potentially different purposes compared to motorized trips–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For decades, transportation planning has been focused on providing mobility for the private car. This is a development model that was first introduced in North America as a solution to problems caused by rapid urbanization and was later copied elsewhere</w:t>
      </w:r>
      <w:r>
        <w:t xml:space="preserve"> </w:t>
      </w:r>
      <w:r>
        <w:t xml:space="preserve">(Angotti 1996; Brown, Morris, and Taylor 2009a)</w:t>
      </w:r>
      <w:r>
        <w:t xml:space="preserve">. It is now clear that mobility centered on the private car is inefficient, inequitable, and unsustainable that require immediate attention. This includes environmental issues (i.e., climate change;</w:t>
      </w:r>
      <w:r>
        <w:t xml:space="preserve"> </w:t>
      </w:r>
      <w:r>
        <w:t xml:space="preserve">(Chapman 2007)</w:t>
      </w:r>
      <w:r>
        <w:t xml:space="preserve">), as well as numerous other social</w:t>
      </w:r>
      <w:r>
        <w:t xml:space="preserve"> </w:t>
      </w:r>
      <w:r>
        <w:t xml:space="preserve">(Boschmann and Kwan 2008; Lucas 2012, 2019)</w:t>
      </w:r>
      <w:r>
        <w:t xml:space="preserve">, health</w:t>
      </w:r>
      <w:r>
        <w:t xml:space="preserve"> </w:t>
      </w:r>
      <w:r>
        <w:t xml:space="preserve">(Khreis et al. 2016; Milne 2012)</w:t>
      </w:r>
      <w:r>
        <w:t xml:space="preserve"> </w:t>
      </w:r>
      <w:r>
        <w:t xml:space="preserve">and equity concerns</w:t>
      </w:r>
      <w:r>
        <w:t xml:space="preserve"> </w:t>
      </w:r>
      <w:r>
        <w:t xml:space="preserve">(Bocarejo S and Oviedo H 2012; Martens, Golub, and Robinson 2012; Pereira, Schwanen, and Banister 2017)</w:t>
      </w:r>
      <w:r>
        <w:t xml:space="preserve">. In order to reduction of car use, the transportation agenda has aimed to focus on creation of mobility polycultures that offer a border menu of transportation alternatives</w:t>
      </w:r>
      <w:r>
        <w:t xml:space="preserve"> </w:t>
      </w:r>
      <w:r>
        <w:t xml:space="preserve">(Lavery, Páez, and Kanaroglou 2013; Millera 2011)</w:t>
      </w:r>
      <w:r>
        <w:t xml:space="preserve">. Polycultures are resilient and adaptable systems with numerous mobility options, including mobility substitutes such as information technologies and this is more complex than a monoculture in that it requires not only a broader range of mobility technologies, but also a much higher level of coordination among modes and travelers. So, active travel is a key component of efforts in urban areas as they try to achieve more robust and healthy urban transportation polycultures</w:t>
      </w:r>
      <w:r>
        <w:t xml:space="preserve"> </w:t>
      </w:r>
      <w:r>
        <w:t xml:space="preserve">(Millera 2011; Lavery, Páez, and Kanaroglou 2013; Lira and Paez 2021)</w:t>
      </w:r>
      <w:r>
        <w:t xml:space="preserve">.</w:t>
      </w:r>
    </w:p>
    <w:p>
      <w:pPr>
        <w:pStyle w:val="BodyText"/>
      </w:pPr>
      <w:r>
        <w:t xml:space="preserve">Cycling and walking are effective modes for short- and mid-range travel in urban areas that have, over a period of decades, grown to accommodate travel by automobile</w:t>
      </w:r>
      <w:r>
        <w:t xml:space="preserve"> </w:t>
      </w:r>
      <w:r>
        <w:t xml:space="preserve">(Brown, Morris, and Taylor 2009b; Wiersma et al. 2020)</w:t>
      </w:r>
      <w:r>
        <w:t xml:space="preserve"> </w:t>
      </w:r>
      <w:r>
        <w:t xml:space="preserve">while treating other modes almost as afterthoughts</w:t>
      </w:r>
      <w:r>
        <w:t xml:space="preserve"> </w:t>
      </w:r>
      <w:r>
        <w:t xml:space="preserve">(Brezina, Leth, and Lemmerer 2020; Koglin 2020; Ruffino and Jarre 2021)</w:t>
      </w:r>
      <w:r>
        <w:t xml:space="preserve">.On the one hand, there are concerns about the externalities of the current (car-centeric) transportation system; on the other hand, there is a growing understanding and awareness of the numerous co-benefits of active mobility in terms of health, efficiency, and social inclusion</w:t>
      </w:r>
      <w:r>
        <w:t xml:space="preserve"> </w:t>
      </w:r>
      <w:r>
        <w:t xml:space="preserve">(Banister 2005; Gärling, Ettema, and Friman 2014; Gössling et al. 2019; Mueller et al. 2015)</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3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D. S.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 and conclusions are provided in Section 5.</w:t>
      </w:r>
    </w:p>
    <w:bookmarkEnd w:id="21"/>
    <w:bookmarkStart w:id="24" w:name="background"/>
    <w:p>
      <w:pPr>
        <w:pStyle w:val="Heading2"/>
      </w:pPr>
      <w:r>
        <w:t xml:space="preserve">Background</w:t>
      </w:r>
    </w:p>
    <w:p>
      <w:pPr>
        <w:pStyle w:val="FirstParagraph"/>
      </w:pPr>
      <w:r>
        <w:t xml:space="preserve">Transportation planning has emerged as a distinct field centered primarily on mobility, defined as the ease of movement. Mobility indicators such as travel speed and travel time were proposed in this context, with a focus on motorized transportation</w:t>
      </w:r>
      <w:r>
        <w:t xml:space="preserve"> </w:t>
      </w:r>
      <w:r>
        <w:t xml:space="preserve">(Banister 2008)</w:t>
      </w:r>
      <w:r>
        <w:t xml:space="preserve">. 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w:t>
      </w:r>
      <w:r>
        <w:t xml:space="preserve"> </w:t>
      </w:r>
      <w:r>
        <w:t xml:space="preserve">“</w:t>
      </w:r>
      <w:r>
        <w:t xml:space="preserve">the potential of opportunities for interaction</w:t>
      </w:r>
      <w:r>
        <w:t xml:space="preserve">”</w:t>
      </w:r>
      <w:r>
        <w:t xml:space="preserve">, measuring the number and variety of opportunities which can be obtained from a specific location by means of the transportation system.As a result of Hansen’s work, researchers began to emphasize the importance of including accessibility as a performance indicator in land use and transportation plans as an alternative to mobility-based transportation planning</w:t>
      </w:r>
      <w:r>
        <w:t xml:space="preserve"> </w:t>
      </w:r>
      <w:r>
        <w:t xml:space="preserve">(Koenig 1980; Morris, Dumble, and Wigan 1979; Wachs and Kumagai 1973)</w:t>
      </w:r>
      <w:r>
        <w:t xml:space="preserve">. Furthermore, the researchers argued that improved access reflects the network’s economic and social benefits, specifically in terms of land value and quality of life</w:t>
      </w:r>
      <w:r>
        <w:t xml:space="preserve"> </w:t>
      </w:r>
      <w:r>
        <w:t xml:space="preserve">(Koenig 1980; Wachs and Kumagai 1973)</w:t>
      </w:r>
      <w:r>
        <w:t xml:space="preserve">. Recently, accessibility has been promoted as a critical component of land use and transportation planning, specifically in terms of social equity, economic development, and environmental impacts</w:t>
      </w:r>
      <w:r>
        <w:t xml:space="preserve"> </w:t>
      </w:r>
      <w:r>
        <w:t xml:space="preserve">(Banister 2008; S. L. Handy 2002; Lucas 2012; Preston and Rajé 2007)</w:t>
      </w:r>
      <w:r>
        <w:t xml:space="preserve">. For example, in 2004, Geurs and van Wee deconstructed the concept of accessibility into four elements: (i) Land use describes the quality, quantity, and spatial distribution of opportunities as destination places, such as schools, jobs, hospitals, and recreational facilities, as well as demand for opportunities at origin places; (ii) Transportation refers to the transportation system represented by the disutility for a person to travel from an origin to a destination using a specific mode of transportation; (iii) time, which accounts for the time constraints in terms of the availability of opportunities throughout the day and the time available for people to take advantage of such opportunities; and iv) Individual, which indicates specific (groups of) people’s capabilities (determined by income, education level, travel mode availability, etc.) and needs (determined by age, household situation, etc.).</w:t>
      </w:r>
    </w:p>
    <w:p>
      <w:pPr>
        <w:pStyle w:val="BodyText"/>
      </w:pPr>
      <w:r>
        <w:t xml:space="preserve">Mobility-based approaches emphasize travel time reduction, whereas accessibility planning aims to provide all individuals with a reasonable travel time to a variety of destinations. As a result, accessibility planning prioritizes active and public transportation and incorporates land use policies that shorten distances between activities</w:t>
      </w:r>
      <w:r>
        <w:t xml:space="preserve">(@ Banister 2008)</w:t>
      </w:r>
      <w:r>
        <w:t xml:space="preserve">.Accessibility refers to the ease of access to different destinations which are valuable and can be reached. In order to calculate accessibility, the implementation of access measures varies depending on the research need, mode of transport, data need, activities, and land use pattern, as well as the costs of travel over the transport infrastructure that connects it. So, the emphasis on different elements of accessibility has resulted in multiple measurement methods and indicators</w:t>
      </w:r>
      <w:r>
        <w:t xml:space="preserve"> </w:t>
      </w:r>
      <w:r>
        <w:t xml:space="preserve">(for example, Geurs and Van Wee 2004; Kelobonye et al. 2019; B. H. Lee et al. 2010; Neutens 2015; Paez et al. 2010; Vandenbulcke, Steenberghen, and Thomas 2009)</w:t>
      </w:r>
      <w:r>
        <w:t xml:space="preserve">, including proximity, cumulative, gravity, utility-based, and space-time prism models as the dominant approaches. However, there are disagreements about how to evaluate this concept</w:t>
      </w:r>
      <w:r>
        <w:t xml:space="preserve"> </w:t>
      </w:r>
      <w:r>
        <w:t xml:space="preserve">(Castiglione et al. 2006; Fan, Guthrie, and Levinson 2012; Wang and Chen 2015)</w:t>
      </w:r>
      <w:r>
        <w:t xml:space="preserve">.</w:t>
      </w:r>
    </w:p>
    <w:p>
      <w:pPr>
        <w:pStyle w:val="BodyText"/>
      </w:pPr>
      <w:r>
        <w:t xml:space="preserve">In general, accessibility can be measured at the individual-based or locational level (place-based)</w:t>
      </w:r>
      <w:r>
        <w:t xml:space="preserve"> </w:t>
      </w:r>
      <w:r>
        <w:t xml:space="preserve">(Miller 2005)</w:t>
      </w:r>
      <w:r>
        <w:t xml:space="preserve">. Indeed, place-based metrics are concerned with the land use and transportation components, and focus on the physical separation of key locations, say an origin and potential destinations.Cumulative-opportunity accessibility and gravity accessibility are examples of this category. This kind of accessibility refers to the degree to which people can reach and use services, amenities, and opportunities located in a specific geographic location, such as a neighborhood, city, or region.On the other hand, individual-based metrics take into account some representation of the space-time behavior of individuals and refers to the degree to which an individual person can reach and use services, amenities, and opportunities based on their personal characteristics, such as age, gender, income, mobility, and health status.Space-time accessibility and utility accessibility belong to this category. Individual-based accessibility considers the unique needs and preferences of individuals, including their ability to access different types of transportation, travel routes, and modes of transportation. Individuals-based accessibility is sometimes included in location-based studies by stratifying the population by age group or socioeconomic characteristics, as well as by segmenting destinations</w:t>
      </w:r>
      <w:r>
        <w:t xml:space="preserve"> </w:t>
      </w:r>
      <w:r>
        <w:t xml:space="preserve">(Harris 2001; D. de S. Vale 2009; Paez et al. 2010; Fan, Guthrie, and Levinson 2012; Legrain, Buliung, and El-Geneidy 2015, 2016)</w:t>
      </w:r>
      <w:r>
        <w:t xml:space="preserve">.These two approaches are related, and individual-based measures can in fact be seen as a special case of placed-based measures, where the impedance function and cost are a constant by origin.</w:t>
      </w:r>
    </w:p>
    <w:p>
      <w:pPr>
        <w:pStyle w:val="BodyText"/>
      </w:pPr>
      <w:r>
        <w:t xml:space="preserve">The use of location-based accessibility has the significant advantage of being easily computed</w:t>
      </w:r>
      <w:r>
        <w:t xml:space="preserve">(Bhat et al. 2000)</w:t>
      </w:r>
      <w:r>
        <w:t xml:space="preserve">.for calculating placed-based accessibility, researchers require data such as average travel time between two points, population data, and aggregated activity data.As a result, cumulative-opportunity accessibility is one of the most widely used methods of calculating accessibility.Following that, space-time accessibility assesses how individuals can carry out desired activities while facing constraints</w:t>
      </w:r>
      <w:r>
        <w:t xml:space="preserve">(Miller 1991; Kwan 1998; M. S. Lee and McNally 1998)</w:t>
      </w:r>
      <w:r>
        <w:t xml:space="preserve">. This framework is based on Hagerstrand’s (1970) time geography model.He discussed three factors that influence individual accessibility. Capability constraint means that people can only do things when they are awake. People cannot go wherever they want because travel impediment exists at all times. Coupling is the second and most important constraint. People must perform specific tasks at specific times.People, for example, may remain at their workplace during working hours (e.g. 8 AM to 5 PM). The final constraint is the authority constraint. This constraint includes activity opening hours. People, for example, cannot use a park late at night because it is closed. The number of activities that can be performed under various constraints is measured by space-time accessibility</w:t>
      </w:r>
      <w:r>
        <w:t xml:space="preserve">(Ilägcrstrand 1970)</w:t>
      </w:r>
      <w:r>
        <w:t xml:space="preserve">.According to this study, space-time accessibility (i.e. person-based accessibility) is a better measurement than cumulative-opportunity accessibility (i.e. place-based accessibility) because it captures individuals’ actual travel behavior. This is due to the fact that space-time accessibility takes into account temporal variations in transportation systems and activities, as well as individuals’ unique travel behavior. In other words, because place-based accessibility does not fully address temporal constraints, it may be inaccurate when measuring accessibility.</w:t>
      </w:r>
    </w:p>
    <w:p>
      <w:pPr>
        <w:pStyle w:val="BodyText"/>
      </w:pPr>
      <w:r>
        <w:t xml:space="preserve">On the one hand, space-time accessibility takes into account temporal variations in transportation and activities</w:t>
      </w:r>
      <w:r>
        <w:t xml:space="preserve">(Fransen et al. 2015; Boisjoly and El-Geneidy 2017)</w:t>
      </w:r>
      <w:r>
        <w:t xml:space="preserve">. In place-based accessibility, temporal variations in transportation systems have been ignored. Travel time between two points varies depending on the time of day because traffic volume varies. However, average daily travel time is used in place-based accessibility.</w:t>
      </w:r>
    </w:p>
    <w:p>
      <w:pPr>
        <w:pStyle w:val="BodyText"/>
      </w:pPr>
      <w:r>
        <w:t xml:space="preserve">On the other hand, space-time accessibility considers temporal variations in activities. Place-based accessibility assumes that all activities are carried out during hours chosen at random by researchers. However, activities are only available during their regular business hours.</w:t>
      </w:r>
    </w:p>
    <w:p>
      <w:pPr>
        <w:pStyle w:val="BodyText"/>
      </w:pPr>
      <w:r>
        <w:t xml:space="preserve">To write a formula for placed-based accessibility for active transportation modes, we can modify the formula, by taking into account factors that are specific to active transportation. Here is one possible formula:</w:t>
      </w:r>
    </w:p>
    <w:p>
      <w:pPr>
        <w:pStyle w:val="BodyText"/>
      </w:pPr>
      <w:bookmarkStart w:id="22" w:name="eq-general-accessibility"/>
      <m:oMathPara>
        <m:oMathParaPr>
          <m:jc m:val="center"/>
        </m:oMathParaPr>
        <m:oMath>
          <m:sSubSup>
            <m:e>
              <m:r>
                <m:t>A</m:t>
              </m:r>
            </m:e>
            <m:sub>
              <m:r>
                <m:t>i</m:t>
              </m:r>
            </m:sub>
            <m:sup>
              <m:r>
                <m:t>p</m:t>
              </m:r>
              <m:r>
                <m:t>k</m:t>
              </m:r>
            </m:sup>
          </m:sSubSup>
          <m:r>
            <m:rPr>
              <m:sty m:val="p"/>
            </m:rPr>
            <m:t>=</m:t>
          </m:r>
          <m:nary>
            <m:naryPr>
              <m:chr m:val="∑"/>
              <m:limLoc m:val="undOvr"/>
              <m:subHide m:val="0"/>
              <m:supHide m:val="0"/>
            </m:naryPr>
            <m:sub>
              <m:r>
                <m:t>j</m:t>
              </m:r>
              <m:r>
                <m:rPr>
                  <m:sty m:val="p"/>
                </m:rPr>
                <m:t>=</m:t>
              </m:r>
              <m:r>
                <m:t>1</m:t>
              </m:r>
            </m:sub>
            <m:sup>
              <m:r>
                <m:t>J</m:t>
              </m:r>
            </m:sup>
            <m:e>
              <m:r>
                <m:t>g</m:t>
              </m:r>
            </m:e>
          </m:nary>
          <m:d>
            <m:dPr>
              <m:begChr m:val="("/>
              <m:endChr m:val=")"/>
              <m:sepChr m:val=""/>
              <m:grow/>
            </m:dPr>
            <m:e>
              <m:sSubSup>
                <m:e>
                  <m:r>
                    <m:t>O</m:t>
                  </m:r>
                </m:e>
                <m:sub>
                  <m:r>
                    <m:t>j</m:t>
                  </m:r>
                </m:sub>
                <m:sup>
                  <m:r>
                    <m:t>k</m:t>
                  </m:r>
                </m:sup>
              </m:sSubSup>
            </m:e>
          </m:d>
          <m:r>
            <m:t>f</m:t>
          </m:r>
          <m:d>
            <m:dPr>
              <m:begChr m:val="("/>
              <m:endChr m:val=")"/>
              <m:sepChr m:val=""/>
              <m:grow/>
            </m:dPr>
            <m:e>
              <m:sSubSup>
                <m:e>
                  <m:r>
                    <m:t>c</m:t>
                  </m:r>
                </m:e>
                <m:sub>
                  <m:r>
                    <m:t>i</m:t>
                  </m:r>
                  <m:r>
                    <m:t>j</m:t>
                  </m:r>
                </m:sub>
                <m:sup>
                  <m:r>
                    <m:t>p</m:t>
                  </m:r>
                </m:sup>
              </m:sSubSup>
            </m:e>
          </m:d>
          <m:r>
            <m:t>  </m:t>
          </m:r>
          <m:d>
            <m:dPr>
              <m:begChr m:val="("/>
              <m:endChr m:val=")"/>
              <m:sepChr m:val=""/>
              <m:grow/>
            </m:dPr>
            <m:e>
              <m:r>
                <m:t>1</m:t>
              </m:r>
            </m:e>
          </m:d>
        </m:oMath>
      </m:oMathPara>
      <w:bookmarkEnd w:id="22"/>
    </w:p>
    <w:p>
      <w:pPr>
        <w:pStyle w:val="FirstParagraph"/>
      </w:pPr>
      <w:r>
        <w:t xml:space="preserve">With functions for the opportunities that allow this formulation:</w:t>
      </w:r>
    </w:p>
    <w:p>
      <w:pPr>
        <w:pStyle w:val="BodyText"/>
      </w:pPr>
      <m:oMathPara>
        <m:oMathParaPr>
          <m:jc m:val="center"/>
        </m:oMathParaPr>
        <m:oMath>
          <m:r>
            <m:t>g</m:t>
          </m:r>
          <m:d>
            <m:dPr>
              <m:begChr m:val="("/>
              <m:endChr m:val=")"/>
              <m:sepChr m:val=""/>
              <m:grow/>
            </m:dPr>
            <m:e>
              <m:sSub>
                <m:e>
                  <m:r>
                    <m:t>O</m:t>
                  </m:r>
                </m:e>
                <m:sub>
                  <m:r>
                    <m:t>j</m:t>
                  </m:r>
                </m:sub>
              </m:sSub>
            </m:e>
          </m:d>
          <m:r>
            <m:rPr>
              <m:sty m:val="p"/>
            </m:rPr>
            <m:t>=</m:t>
          </m:r>
          <m:sSub>
            <m:e>
              <m:r>
                <m:t>O</m:t>
              </m:r>
            </m:e>
            <m:sub>
              <m:r>
                <m:t>j</m:t>
              </m:r>
            </m:sub>
          </m:sSub>
        </m:oMath>
      </m:oMathPara>
    </w:p>
    <w:p>
      <w:pPr>
        <w:pStyle w:val="FirstParagraph"/>
      </w:pPr>
      <w:r>
        <w:t xml:space="preserve">as well as possibly agglomeration effects as in:</w:t>
      </w:r>
    </w:p>
    <w:p>
      <w:pPr>
        <w:pStyle w:val="BodyText"/>
      </w:pPr>
      <m:oMathPara>
        <m:oMathParaPr>
          <m:jc m:val="center"/>
        </m:oMathParaPr>
        <m:oMath>
          <m:r>
            <m:t>g</m:t>
          </m:r>
          <m:d>
            <m:dPr>
              <m:begChr m:val="("/>
              <m:endChr m:val=")"/>
              <m:sepChr m:val=""/>
              <m:grow/>
            </m:dPr>
            <m:e>
              <m:sSub>
                <m:e>
                  <m:r>
                    <m:t>O</m:t>
                  </m:r>
                </m:e>
                <m:sub>
                  <m:r>
                    <m:t>j</m:t>
                  </m:r>
                </m:sub>
              </m:sSub>
            </m:e>
          </m:d>
          <m:r>
            <m:rPr>
              <m:sty m:val="p"/>
            </m:rPr>
            <m:t>=</m:t>
          </m:r>
          <m:sSubSup>
            <m:e>
              <m:r>
                <m:t>O</m:t>
              </m:r>
            </m:e>
            <m:sub>
              <m:r>
                <m:t>j</m:t>
              </m:r>
            </m:sub>
            <m:sup>
              <m:r>
                <m:t>α</m:t>
              </m:r>
            </m:sup>
          </m:sSubSup>
        </m:oMath>
      </m:oMathPara>
    </w:p>
    <w:p>
      <w:pPr>
        <w:pStyle w:val="FirstParagraph"/>
      </w:pPr>
      <w:r>
        <w:t xml:space="preserve">This kind of accessibility measure was obtained from Hansen, 1959,which measures accessibility by the number of opportunities reachable via an impedance (or spatial decay) function.The impedance function reduces opportunities as travel costs rise (time, money, etc.).The impedance function computes using a variety of formulas, including negative power, exponential, lognormal, and log-logistic (</w:t>
      </w:r>
      <w:r>
        <w:t xml:space="preserve">Hansen (1959)</w:t>
      </w:r>
      <w:r>
        <w:t xml:space="preserve">;</w:t>
      </w:r>
      <w:r>
        <w:t xml:space="preserve"> </w:t>
      </w:r>
      <w:r>
        <w:t xml:space="preserve">Ingram (1971)</w:t>
      </w:r>
      <w:r>
        <w:t xml:space="preserve">;</w:t>
      </w:r>
      <w:r>
        <w:t xml:space="preserve"> </w:t>
      </w:r>
      <w:r>
        <w:t xml:space="preserve">Reggiani, Bucci, and Russo (2011)</w:t>
      </w:r>
      <w:r>
        <w:t xml:space="preserve">;</w:t>
      </w:r>
      <w:r>
        <w:t xml:space="preserve"> </w:t>
      </w:r>
      <w:r>
        <w:t xml:space="preserve">Geurs, Eck, et al. (2003)</w:t>
      </w:r>
      <w:r>
        <w:t xml:space="preserve">;</w:t>
      </w:r>
      <w:r>
        <w:t xml:space="preserve"> </w:t>
      </w:r>
      <w:r>
        <w:t xml:space="preserve">D. S. Vale, Saraiva, and Pereira (2016)</w:t>
      </w:r>
      <w:r>
        <w:t xml:space="preserve">).A_i, O_j, and C_ij in this formula represent matrices of accessibility opportunities and costs, respectively. Following the development of</w:t>
      </w:r>
      <w:r>
        <w:t xml:space="preserve"> </w:t>
      </w:r>
      <w:r>
        <w:t xml:space="preserve">Levinson and Wu (2020)</w:t>
      </w:r>
      <w:r>
        <w:t xml:space="preserve">, the functions (g and f) discount opportunities and costs based on diminishing value of opportunities with both number and cost.In principle, the matrix of weighted opportunities (O_j) can take into account different activity types, times of day, and all available modes, as well as the matrix of all relevant cost elements (C_ij), which may be the full social costs or generalized internal costs, depending on the purpose.</w:t>
      </w:r>
    </w:p>
    <w:p>
      <w:pPr>
        <w:pStyle w:val="BodyText"/>
      </w:pPr>
      <w:r>
        <w:t xml:space="preserve">The decay function’s cumulative opportunities (rectangular) formulation is as follows:</w:t>
      </w:r>
    </w:p>
    <w:p>
      <w:pPr>
        <w:pStyle w:val="BodyText"/>
      </w:pPr>
      <m:oMathPara>
        <m:oMathParaPr>
          <m:jc m:val="center"/>
        </m:oMathParaPr>
        <m:oMath>
          <m:r>
            <m:t>f</m:t>
          </m:r>
          <m:d>
            <m:dPr>
              <m:begChr m:val="("/>
              <m:endChr m:val=")"/>
              <m:sepChr m:val=""/>
              <m:grow/>
            </m:dPr>
            <m:e>
              <m:sSubSup>
                <m:e>
                  <m:r>
                    <m:t>c</m:t>
                  </m:r>
                </m:e>
                <m:sub>
                  <m:r>
                    <m:t>i</m:t>
                  </m:r>
                  <m:r>
                    <m:t>j</m:t>
                  </m:r>
                </m:sub>
                <m:sup>
                  <m:r>
                    <m:t>p</m:t>
                  </m:r>
                </m:sup>
              </m:sSubSup>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Sup>
                      <m:e>
                        <m:r>
                          <m:t>c</m:t>
                        </m:r>
                      </m:e>
                      <m:sub>
                        <m:r>
                          <m:t>i</m:t>
                        </m:r>
                        <m:r>
                          <m:t>j</m:t>
                        </m:r>
                      </m:sub>
                      <m:sup>
                        <m:r>
                          <m:t>p</m:t>
                        </m:r>
                      </m:sup>
                    </m:sSubSup>
                    <m:r>
                      <m:rPr>
                        <m:sty m:val="p"/>
                      </m:rPr>
                      <m:t>≤</m:t>
                    </m:r>
                    <m:sSup>
                      <m:e>
                        <m:r>
                          <m:t>γ</m:t>
                        </m:r>
                      </m:e>
                      <m:sup>
                        <m:r>
                          <m:t>p</m:t>
                        </m:r>
                      </m:sup>
                    </m:sSup>
                  </m:e>
                </m:mr>
                <m:mr>
                  <m:e>
                    <m:r>
                      <m:t>0</m:t>
                    </m:r>
                  </m:e>
                  <m:e>
                    <m:r>
                      <m:rPr>
                        <m:nor/>
                        <m:sty m:val="p"/>
                      </m:rPr>
                      <m:t>otherwise</m:t>
                    </m:r>
                  </m:e>
                </m:mr>
              </m:m>
            </m:e>
          </m:d>
        </m:oMath>
      </m:oMathPara>
    </w:p>
    <w:p>
      <w:pPr>
        <w:pStyle w:val="FirstParagraph"/>
      </w:pPr>
      <w:r>
        <w:t xml:space="preserve">In addition, The widely used exponential decay formulation in gravity models is frequently given by</w:t>
      </w:r>
      <w:r>
        <w:t xml:space="preserve"> </w:t>
      </w:r>
      <w:hyperlink w:anchor="eq-exponential-distance-decay">
        <w:r>
          <w:rPr>
            <w:rStyle w:val="Hyperlink"/>
          </w:rPr>
          <w:t xml:space="preserve">Equation 2</w:t>
        </w:r>
      </w:hyperlink>
      <w:r>
        <w:t xml:space="preserve">:</w:t>
      </w:r>
    </w:p>
    <w:p>
      <w:pPr>
        <w:pStyle w:val="BodyText"/>
      </w:pPr>
      <w:bookmarkStart w:id="23" w:name="eq-exponential-distance-decay"/>
      <m:oMathPara>
        <m:oMathParaPr>
          <m:jc m:val="center"/>
        </m:oMathParaPr>
        <m:oMath>
          <m:r>
            <m:t>f</m:t>
          </m:r>
          <m:d>
            <m:dPr>
              <m:begChr m:val="("/>
              <m:endChr m:val=")"/>
              <m:sepChr m:val=""/>
              <m:grow/>
            </m:dPr>
            <m:e>
              <m:sSubSup>
                <m:e>
                  <m:r>
                    <m:t>c</m:t>
                  </m:r>
                </m:e>
                <m:sub>
                  <m:r>
                    <m:t>i</m:t>
                  </m:r>
                  <m:r>
                    <m:t>j</m:t>
                  </m:r>
                </m:sub>
                <m:sup>
                  <m:r>
                    <m:t>p</m:t>
                  </m:r>
                </m:sup>
              </m:sSubSup>
            </m:e>
          </m:d>
          <m:r>
            <m:rPr>
              <m:sty m:val="p"/>
            </m:rPr>
            <m:t>=</m:t>
          </m:r>
          <m:r>
            <m:t>e</m:t>
          </m:r>
          <m:r>
            <m:t>x</m:t>
          </m:r>
          <m:r>
            <m:t>p</m:t>
          </m:r>
          <m:d>
            <m:dPr>
              <m:begChr m:val="("/>
              <m:endChr m:val=")"/>
              <m:sepChr m:val=""/>
              <m:grow/>
            </m:dPr>
            <m:e>
              <m:r>
                <m:rPr>
                  <m:sty m:val="p"/>
                </m:rPr>
                <m:t>−</m:t>
              </m:r>
              <m:r>
                <m:t>θ</m:t>
              </m:r>
              <m:sSubSup>
                <m:e>
                  <m:r>
                    <m:t>c</m:t>
                  </m:r>
                </m:e>
                <m:sub>
                  <m:r>
                    <m:t>i</m:t>
                  </m:r>
                  <m:r>
                    <m:t>j</m:t>
                  </m:r>
                </m:sub>
                <m:sup>
                  <m:r>
                    <m:t>p</m:t>
                  </m:r>
                </m:sup>
              </m:sSubSup>
            </m:e>
          </m:d>
          <m:r>
            <m:t>  </m:t>
          </m:r>
          <m:d>
            <m:dPr>
              <m:begChr m:val="("/>
              <m:endChr m:val=")"/>
              <m:sepChr m:val=""/>
              <m:grow/>
            </m:dPr>
            <m:e>
              <m:r>
                <m:t>2</m:t>
              </m:r>
            </m:e>
          </m:d>
        </m:oMath>
      </m:oMathPara>
      <w:bookmarkEnd w:id="23"/>
    </w:p>
    <w:p>
      <w:pPr>
        <w:pStyle w:val="FirstParagraph"/>
      </w:pPr>
      <w:r>
        <w:t xml:space="preserve">Generally, close opportunities are preferred over distant ones</w:t>
      </w:r>
      <w:r>
        <w:t xml:space="preserve"> </w:t>
      </w:r>
      <w:r>
        <w:t xml:space="preserve">(Miller 2004)</w:t>
      </w:r>
      <w:r>
        <w:t xml:space="preserve">, and fewer trips are made between distant locations than between nearby ones</w:t>
      </w:r>
      <w:r>
        <w:t xml:space="preserve">(Ingram 1971)</w:t>
      </w:r>
      <w:r>
        <w:t xml:space="preserve">.As a result, interaction is less likely in remote locations. In most cases, travel impedance functions are calibrated using observed trip likelihood or trip rate data from travel surveys</w:t>
      </w:r>
      <w:r>
        <w:t xml:space="preserve">(Geurs and Ritsema van Eck 2001; Ingram 1971)</w:t>
      </w:r>
      <w:r>
        <w:t xml:space="preserve">.So, the impedance functions show reduced interaction between places. The trip rates can be used to calibrate the travel impedance function (f (C_{ij})).</w:t>
      </w:r>
    </w:p>
    <w:p>
      <w:pPr>
        <w:pStyle w:val="BodyText"/>
      </w:pPr>
      <w:r>
        <w:t xml:space="preserve">Individual-based accessibility in active mode (e.g., walking, cycling) can also be difficult to calculate due to a variety of factors. Some of the major constraints for calculating individual-based accessibility in active mode are as follows:</w:t>
      </w:r>
    </w:p>
    <w:p>
      <w:pPr>
        <w:numPr>
          <w:ilvl w:val="0"/>
          <w:numId w:val="1001"/>
        </w:numPr>
      </w:pPr>
      <w:r>
        <w:t xml:space="preserve">Individual preferences for modes of transportation can have a significant impact on accessibility. Some people prefer to walk or ride their bikes, while others prefer to take public transportation or drive. Factors such as distance, time, safety, and comfort can all have an impact on personal preferences.</w:t>
      </w:r>
    </w:p>
    <w:p>
      <w:pPr>
        <w:numPr>
          <w:ilvl w:val="0"/>
          <w:numId w:val="1001"/>
        </w:numPr>
      </w:pPr>
      <w:r>
        <w:t xml:space="preserve">Physical ability: Similar to place-based accessibility, personal physical ability can greatly impact individual-based accessibility in active mode. People with disabilities or health issues may find it difficult or impossible to travel by foot or bike, reducing their accessibility.</w:t>
      </w:r>
    </w:p>
    <w:p>
      <w:pPr>
        <w:numPr>
          <w:ilvl w:val="0"/>
          <w:numId w:val="1001"/>
        </w:numPr>
      </w:pPr>
      <w:r>
        <w:t xml:space="preserve">Time constraints: Work schedules, childcare responsibilities, and other obligations can limit people’s ability to travel actively. In order to save time, people may choose faster modes of transportation such as driving or taking public transportation, reducing accessibility in active modes. While individual-based accessibility is measured, it should be recognized that every individual has a different opportunity set available</w:t>
      </w:r>
      <w:r>
        <w:t xml:space="preserve"> </w:t>
      </w:r>
      <w:r>
        <w:t xml:space="preserve">(Miller 1991)</w:t>
      </w:r>
      <w:r>
        <w:t xml:space="preserve">. Effectively, the available time threshold (t) varies for each person as a function of individual constraints, such as time of day, purpose, and so on. Constraints arise for a number of reasons. Time geography acknowledges that spatial and temporal characteristics limit an individual’s choice of activities. A person can only be in one place and do one thing at a time</w:t>
      </w:r>
      <w:r>
        <w:t xml:space="preserve"> </w:t>
      </w:r>
      <w:r>
        <w:t xml:space="preserve">(Chi et al. 2013; Pred 1977; Miller 1991; Miller and Bridwell 2009)</w:t>
      </w:r>
      <w:r>
        <w:t xml:space="preserve">.These restrictions are classified into three types.The first section is capability constraints, which are biological and physical limitations that prevent people from participating in certain activities; The second section discusses authority constraints that restrict access to specific locations and the third section discusses coupling constraints, which are common in activities that require two or more people to be in the same place at the same time.In addition to these three categories, it should be noted that constraints vary depending on the time of day</w:t>
      </w:r>
      <w:r>
        <w:t xml:space="preserve"> </w:t>
      </w:r>
      <w:r>
        <w:t xml:space="preserve">(H. Wu and Levinson 2020)</w:t>
      </w:r>
      <w:r>
        <w:t xml:space="preserve">.Time constraints can be visualized using a time-space diagram, the size of which is determined by both the amount of time available and the performance of the transportation system</w:t>
      </w:r>
      <w:r>
        <w:t xml:space="preserve"> </w:t>
      </w:r>
      <w:r>
        <w:t xml:space="preserve">(Ilägcrstrand 1970)</w:t>
      </w:r>
      <w:r>
        <w:t xml:space="preserve">.The space-time prism accounts for an individual’s activity schedule and can be used to measure access to multiple activities and activity participation time using simple behavioral rules</w:t>
      </w:r>
      <w:r>
        <w:t xml:space="preserve"> </w:t>
      </w:r>
      <w:r>
        <w:t xml:space="preserve">(Miller 1991)</w:t>
      </w:r>
      <w:r>
        <w:t xml:space="preserve">. Accessibility is measured by the total number of opportunities available within the space-time prism encompassing all possible paths under the time constraint</w:t>
      </w:r>
      <w:r>
        <w:t xml:space="preserve"> </w:t>
      </w:r>
      <w:r>
        <w:t xml:space="preserve">(Tong, Zhou, and Miller 2015)</w:t>
      </w:r>
      <w:r>
        <w:t xml:space="preserve">.So, while opportunities may be spatially accessible, the amount of time available in a day for people to reach and engage in these activities is limited. This line of thought leads to the constraints-based or people-based accessibility measure</w:t>
      </w:r>
      <w:r>
        <w:t xml:space="preserve">(Y.-H. Wu and Miller 2001)</w:t>
      </w:r>
      <w:r>
        <w:t xml:space="preserve">.</w:t>
      </w:r>
    </w:p>
    <w:p>
      <w:pPr>
        <w:numPr>
          <w:ilvl w:val="0"/>
          <w:numId w:val="1001"/>
        </w:numPr>
      </w:pPr>
      <w:r>
        <w:t xml:space="preserve">Weather conditions, like place-based accessibility, can have an impact on individual-based accessibility in active mode. In extreme weather, people may be less likely to walk or cycle, reducing accessibility.</w:t>
      </w:r>
    </w:p>
    <w:p>
      <w:pPr>
        <w:numPr>
          <w:ilvl w:val="0"/>
          <w:numId w:val="1001"/>
        </w:numPr>
      </w:pPr>
      <w:r>
        <w:t xml:space="preserve">Infrastructure: The quality and availability of infrastructure such as sidewalks, bike lanes, and pedestrian crossings can greatly impact individual-based accessibility in active mode. People may be less likely to choose active modes of transportation in areas with poor infrastructure, reducing accessibility.</w:t>
      </w:r>
    </w:p>
    <w:p>
      <w:pPr>
        <w:pStyle w:val="FirstParagraph"/>
      </w:pPr>
      <w:r>
        <w:t xml:space="preserve">Accessibility measures in active modes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 -based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w:t>
      </w:r>
      <w:r>
        <w:t xml:space="preserve"> </w:t>
      </w:r>
      <w:r>
        <w:t xml:space="preserve">(Kwan 1998; Halden et al. 2000; Geurs and Ritsema van Eck 2001; Apparicio et al. 2008)</w:t>
      </w:r>
      <w:r>
        <w:t xml:space="preserve">. Walkability and bikeability measure the number of people, households or jobs distributed over a unit of area or measures how many types—offices, housing, retail, entertainment, services, and so on—are located in a given area</w:t>
      </w:r>
      <w:r>
        <w:t xml:space="preserve"> </w:t>
      </w:r>
      <w:r>
        <w:t xml:space="preserve">(L. Frank, Engelke, and Schmid 2003; Leslie et al. 2007)</w:t>
      </w:r>
      <w:r>
        <w:t xml:space="preserve">. Indeed, using accurate accessibility measures for walking or cycling trips can assist transport planners in making more rational decisions in infrastructure provision for non-motorized transportation</w:t>
      </w:r>
      <w:r>
        <w:t xml:space="preserve"> </w:t>
      </w:r>
      <w:r>
        <w:t xml:space="preserve">(Iacono, Krizek, and El-Geneidy 2010; Devkota, Dudycha, and Andrey 2012)</w:t>
      </w:r>
      <w:r>
        <w:t xml:space="preserve">.</w:t>
      </w:r>
    </w:p>
    <w:p>
      <w:pPr>
        <w:pStyle w:val="BodyText"/>
      </w:pPr>
      <w:r>
        <w:t xml:space="preserve">Moreover, calculating ATB accessibility in both approaches requires multiple data sets relating to travel behavior and land use. Unfortunately, this has suffered from a lack of appropriate data</w:t>
      </w:r>
      <w:r>
        <w:t xml:space="preserve">(Iacono, Krizek, and El-Geneidy 2010)</w:t>
      </w:r>
      <w:r>
        <w:t xml:space="preserve">. In particular, little information is available on the geography of walking and cycling behavior such as travel episode origins and destinations, routes, and lengths (durations and distances). So, in most cases, required data is obtained from local/national questionnaires and local maps</w:t>
      </w:r>
      <w:r>
        <w:t xml:space="preserve"> </w:t>
      </w:r>
      <w:r>
        <w:t xml:space="preserve">(Iacono, Krizek, and El-Geneidy 2010; Levine 2010; Devkota, Dudycha, and Andrey 2012; Yang and Diez-Roux 2012; Millward, Spinney, and Scott 2013)</w:t>
      </w:r>
      <w:r>
        <w:t xml:space="preserve"> </w:t>
      </w:r>
      <w:r>
        <w:t xml:space="preserve">. In addition, available data are extremely location specific or cover a small geographic area and are not adequately covered in most large-scale survey instruments, such as national transportation survey</w:t>
      </w:r>
      <w:r>
        <w:t xml:space="preserve"> </w:t>
      </w:r>
      <w:r>
        <w:t xml:space="preserve">(Ulmer and Hoel 2003; Achuthan, Titheridge, and Mackett 2007)</w:t>
      </w:r>
      <w:r>
        <w:t xml:space="preserve">.</w:t>
      </w:r>
    </w:p>
    <w:bookmarkEnd w:id="24"/>
    <w:bookmarkStart w:id="32" w:name="methods-for-atb-accessibility-analysis"/>
    <w:p>
      <w:pPr>
        <w:pStyle w:val="Heading2"/>
      </w:pPr>
      <w:r>
        <w:t xml:space="preserve">Methods for ATB accessibility analysis</w:t>
      </w:r>
    </w:p>
    <w:p>
      <w:pPr>
        <w:pStyle w:val="FirstParagraph"/>
      </w:pPr>
      <w:r>
        <w:t xml:space="preserve">Research about walking and cycling tend to categorize these modes into two different parts of literature (The first is about health and leisure and the second is about transport and land-use), and both have their own viewpoints, data, methods, and policy orientations (</w:t>
      </w:r>
      <w:r>
        <w:t xml:space="preserve">Pucher, Dill, and Handy (2010)</w:t>
      </w:r>
      <w:r>
        <w:t xml:space="preserve">;</w:t>
      </w:r>
      <w:r>
        <w:t xml:space="preserve"> </w:t>
      </w:r>
      <w:r>
        <w:t xml:space="preserve">Millward, Spinney, and Scott (2013)</w:t>
      </w:r>
      <w:r>
        <w:t xml:space="preserve">;</w:t>
      </w:r>
      <w:r>
        <w:t xml:space="preserve"> </w:t>
      </w:r>
      <w:r>
        <w:t xml:space="preserve">Fishman (2016)</w:t>
      </w:r>
      <w:r>
        <w:t xml:space="preserve">).</w:t>
      </w:r>
    </w:p>
    <w:p>
      <w:pPr>
        <w:pStyle w:val="BodyText"/>
      </w:pPr>
      <w:r>
        <w:t xml:space="preserve">Measures of ATB accessibility can either be location-based, focusing on the distances to opportunities from particular locations, or individual-based, taking into account the limitations of people’s time and space. This review focuses on location-based accessibility that is based on location. Vale et al (2016) categorized location-based accessibility measures into four main groups: first, activity-based, which includes gravity-based (also designated attraction-accessibility or potential) and cumulative opportunities measures (also known as isochrones or contour measures). In addition, this measure has been widely used in non-motorized accessibility studies</w:t>
      </w:r>
      <w:r>
        <w:t xml:space="preserve"> </w:t>
      </w:r>
      <w:r>
        <w:t xml:space="preserve">(Iacono, Krizek, and El-Geneidy 2010; Lowry et al. 2012; Millward, Spinney, and Scott 2013; Prins et al. 2014; Li, Huang, and Axhausen 2020)</w:t>
      </w:r>
      <w:r>
        <w:t xml:space="preserve">; second, topology infrastructure-based, which include topological measures of the network</w:t>
      </w:r>
      <w:r>
        <w:t xml:space="preserve"> </w:t>
      </w:r>
      <w:r>
        <w:t xml:space="preserve">(Hull, Silva, and Bertolini 2012; Lundberg 2012)</w:t>
      </w:r>
      <w:r>
        <w:t xml:space="preserve">; third, distance-based, which include analyses of the closest facilities</w:t>
      </w:r>
      <w:r>
        <w:t xml:space="preserve"> </w:t>
      </w:r>
      <w:r>
        <w:t xml:space="preserve">(Apparicio et al. 2008; Sadler, Gilliland, and Arku 2011)</w:t>
      </w:r>
      <w:r>
        <w:t xml:space="preserve">, and the last category being utility-based measures which are also known as benefits measures</w:t>
      </w:r>
      <w:r>
        <w:t xml:space="preserve"> </w:t>
      </w:r>
      <w:r>
        <w:t xml:space="preserve">(Geurs and Van Wee 2004; Hunt and Abraham 2007; D. de S. Vale 2009; El-Geneidy and Levinson 2011)</w:t>
      </w:r>
      <w:r>
        <w:t xml:space="preserve">.</w:t>
      </w:r>
    </w:p>
    <w:p>
      <w:pPr>
        <w:pStyle w:val="BodyText"/>
      </w:pPr>
      <w:r>
        <w:t xml:space="preserve">potential compatibility with regional travel forecasting models is an essential reason for the wide use of location-based measures instead of individual-based measures for active transport mode. So, it is easy to extract travel times from one area to another area using the coded network. moreover, number of potential opportunities are available at the area level</w:t>
      </w:r>
      <w:r>
        <w:t xml:space="preserve"> </w:t>
      </w:r>
      <w:r>
        <w:t xml:space="preserve">(Iacono, Krizek, and El-Geneidy 2010; Saghapour, Moridpour, and Thompson 2017)</w:t>
      </w:r>
      <w:r>
        <w:t xml:space="preserve">.</w:t>
      </w:r>
    </w:p>
    <w:p>
      <w:pPr>
        <w:pStyle w:val="BodyText"/>
      </w:pPr>
      <w:r>
        <w:t xml:space="preserve">There are some limitations of using these measures for active travel modes. first, active travel modes are less sensitive to travel times and levels of network congestion rather than motorized modes. as well, walking and cycling route choices tend to include qualitative, experiential, or difficult to measure factors</w:t>
      </w:r>
      <w:r>
        <w:t xml:space="preserve"> </w:t>
      </w:r>
      <w:r>
        <w:t xml:space="preserve">(Hunt and Abraham 2007; Tilahun, Levinson, and Krizek 2007; Iacono, Krizek, and El-Geneidy 2010)</w:t>
      </w:r>
      <w:r>
        <w:t xml:space="preserve">. second, measuring active transport accessibility is mostly dependent on travel diary data. besides, The methods applied so far to measure cycling accessibility have not focused on the accessibility of cycling destinations in terms of service areas</w:t>
      </w:r>
      <w:r>
        <w:t xml:space="preserve"> </w:t>
      </w:r>
      <w:r>
        <w:t xml:space="preserve">(Landis, Vattikuti, and Brannick 1997; Harkey, Reinfurt, and Knuiman 1998; Harkey et al. 1998; Landis et al. 2003)</w:t>
      </w:r>
      <w:r>
        <w:t xml:space="preserve">.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t xml:space="preserve"> </w:t>
      </w:r>
      <w:r>
        <w:t xml:space="preserve">(Espada and Luk 2011; Wahlgren and Schantz 2012; Rybarczyk and Gallagher 2014; Milakis et al. 2015)</w:t>
      </w:r>
      <w:r>
        <w:t xml:space="preserve">.</w:t>
      </w:r>
    </w:p>
    <w:bookmarkStart w:id="25" w:name="activity-based-measures"/>
    <w:p>
      <w:pPr>
        <w:pStyle w:val="Heading5"/>
      </w:pPr>
      <w:r>
        <w:t xml:space="preserve">Activity-based measures</w:t>
      </w:r>
    </w:p>
    <w:p>
      <w:pPr>
        <w:pStyle w:val="FirstParagraph"/>
      </w:pPr>
      <w:r>
        <w:t xml:space="preserve">Activity-based measures include both gravity-based (also known as Hansen-type</w:t>
      </w:r>
      <w:r>
        <w:t xml:space="preserve"> </w:t>
      </w:r>
      <w:r>
        <w:t xml:space="preserve">(Hansen 1959)</w:t>
      </w:r>
      <w:r>
        <w:t xml:space="preserve"> </w:t>
      </w:r>
      <w:r>
        <w:t xml:space="preserve">and cumulative opportunities measures. Gravity-based measures designated attraction –accessibility or potential and consider the number of opportunities weighted by the cost of traveling to them – using a travel impedance function that values closer opportunities higher. The same researchers underlined the importance of choosing a suitable impedance function and it can be observed that a large variety of functions are applied. Commonly used functions are power, negative exponential, logistic and Gaussian functions</w:t>
      </w:r>
      <w:r>
        <w:t xml:space="preserve"> </w:t>
      </w:r>
      <w:r>
        <w:t xml:space="preserve">(Iacono, Krizek, and El-Geneidy 2010; Lowry et al. 2012; Vasconcelos and Farias 2012; D. S. Vale and Pereira 2017)</w:t>
      </w:r>
      <w:r>
        <w:t xml:space="preserve">. More recently Vale and Pereira (2017) conducted a study testing 20 pedestrian accessibility measures and identified the modified Gaussian and exponential function as the most robust ones for modeling walking accessibility. Cumulative opportunities (also known as isochrones or contour measures), measures count the number of opportunities within a defined catchment area.</w:t>
      </w:r>
    </w:p>
    <w:p>
      <w:pPr>
        <w:pStyle w:val="BodyText"/>
      </w:pPr>
      <w:r>
        <w:t xml:space="preserve">Gravity-based and cumulative opportunities measures are specific instances of a more general formulation</w:t>
      </w:r>
      <w:r>
        <w:t xml:space="preserve"> </w:t>
      </w:r>
      <w:r>
        <w:t xml:space="preserve">(Páez, Scott, and Morency 2012)</w:t>
      </w:r>
      <w:r>
        <w:t xml:space="preserve">:</w:t>
      </w:r>
      <w:r>
        <w:t xml:space="preserve"> </w:t>
      </w:r>
    </w:p>
    <w:p>
      <w:pPr>
        <w:pStyle w:val="BodyText"/>
      </w:pPr>
      <m:oMathPara>
        <m:oMathParaPr>
          <m:jc m:val="center"/>
        </m:oMathParaPr>
        <m:oMath>
          <m:sSubSup>
            <m:e>
              <m:r>
                <m:t>A</m:t>
              </m:r>
            </m:e>
            <m:sub>
              <m:r>
                <m:t>i</m:t>
              </m:r>
            </m:sub>
            <m:sup>
              <m:r>
                <m:t>p</m:t>
              </m:r>
            </m:sup>
          </m:sSubSup>
          <m:r>
            <m:rPr>
              <m:sty m:val="p"/>
            </m:rPr>
            <m:t>=</m:t>
          </m:r>
          <m:nary>
            <m:naryPr>
              <m:chr m:val="∑"/>
              <m:limLoc m:val="undOvr"/>
              <m:subHide m:val="0"/>
              <m:supHide m:val="0"/>
            </m:naryPr>
            <m:sub>
              <m:r>
                <m:t>j</m:t>
              </m:r>
              <m:r>
                <m:rPr>
                  <m:sty m:val="p"/>
                </m:rPr>
                <m:t>=</m:t>
              </m:r>
              <m:r>
                <m:t>1</m:t>
              </m:r>
            </m:sub>
            <m:sup>
              <m:r>
                <m:t>J</m:t>
              </m:r>
            </m:sup>
            <m:e>
              <m:r>
                <m:t> </m:t>
              </m:r>
              <m:r>
                <m:t>g</m:t>
              </m:r>
              <m:d>
                <m:dPr>
                  <m:begChr m:val="("/>
                  <m:endChr m:val=")"/>
                  <m:sepChr m:val=""/>
                  <m:grow/>
                </m:dPr>
                <m:e>
                  <m:sSub>
                    <m:e>
                      <m:r>
                        <m:t>O</m:t>
                      </m:r>
                    </m:e>
                    <m:sub>
                      <m:r>
                        <m:t>j</m:t>
                      </m:r>
                      <m:r>
                        <m:t>k</m:t>
                      </m:r>
                    </m:sub>
                  </m:sSub>
                </m:e>
              </m:d>
              <m:r>
                <m:t>f</m:t>
              </m:r>
              <m:d>
                <m:dPr>
                  <m:begChr m:val="("/>
                  <m:endChr m:val=")"/>
                  <m:sepChr m:val=""/>
                  <m:grow/>
                </m:dPr>
                <m:e>
                  <m:sSubSup>
                    <m:e>
                      <m:r>
                        <m:t>c</m:t>
                      </m:r>
                    </m:e>
                    <m:sub>
                      <m:r>
                        <m:t>i</m:t>
                      </m:r>
                      <m:r>
                        <m:t>j</m:t>
                      </m:r>
                    </m:sub>
                    <m:sup>
                      <m:r>
                        <m:t>p</m:t>
                      </m:r>
                    </m:sup>
                  </m:sSubSup>
                </m:e>
              </m:d>
            </m:e>
          </m:nary>
        </m:oMath>
      </m:oMathPara>
    </w:p>
    <w:p>
      <w:pPr>
        <w:pStyle w:val="FirstParagraph"/>
      </w:pPr>
      <w:r>
        <w:t xml:space="preserve">This equation gives the accessibility from the origin location i, to opportunities of type k, from the perspective of individual p. This measure of accessibility is a function of the number of opportunities W of type k at location j, and the cost of moving between i and j as perceived/experienced by person p. Function f() defines a kernel around location i, usually symmetric if</w:t>
      </w:r>
      <w:r>
        <w:t xml:space="preserve"> </w:t>
      </w:r>
      <m:oMath>
        <m:sSub>
          <m:e>
            <m:r>
              <m:t>c</m:t>
            </m:r>
          </m:e>
          <m:sub>
            <m:r>
              <m:t>i</m:t>
            </m:r>
            <m:r>
              <m:t>j</m:t>
            </m:r>
          </m:sub>
        </m:sSub>
      </m:oMath>
      <w:r>
        <w:t xml:space="preserve"> </w:t>
      </w:r>
      <w:r>
        <w:t xml:space="preserve">is given by Euclidean distance, but not necessarily, for instance if</w:t>
      </w:r>
      <w:r>
        <w:t xml:space="preserve"> </w:t>
      </w:r>
      <m:oMath>
        <m:sSub>
          <m:e>
            <m:r>
              <m:t>c</m:t>
            </m:r>
          </m:e>
          <m:sub>
            <m:r>
              <m:t>i</m:t>
            </m:r>
            <m:r>
              <m:t>j</m:t>
            </m:r>
          </m:sub>
        </m:sSub>
      </m:oMath>
      <w:r>
        <w:t xml:space="preserve"> </w:t>
      </w:r>
      <w:r>
        <w:t xml:space="preserve">is measured over a network. Activity-based measures are useful when opportunities are complementary (e.g., jobs, people, services, parks) and when access to more opportunities and being closer (with gravity-based models) is advantageous.</w:t>
      </w:r>
    </w:p>
    <w:bookmarkEnd w:id="25"/>
    <w:bookmarkStart w:id="27" w:name="distance-based-measures"/>
    <w:p>
      <w:pPr>
        <w:pStyle w:val="Heading5"/>
      </w:pPr>
      <w:r>
        <w:t xml:space="preserve">Distance-based measures</w:t>
      </w:r>
    </w:p>
    <w:p>
      <w:pPr>
        <w:pStyle w:val="FirstParagraph"/>
      </w:pPr>
      <w:r>
        <w:t xml:space="preserve">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w:t>
      </w:r>
      <w:r>
        <w:t xml:space="preserve"> </w:t>
      </w:r>
      <w:r>
        <w:t xml:space="preserve">(Apparicio et al. 2008)</w:t>
      </w:r>
      <w:r>
        <w:t xml:space="preserve">. These measures are applicable when destinations are regarded as substitutes for one another (i.e., hospitals, transit stops, convenience stores etc.), under the assumption that individuals want to access the nearest facility.</w:t>
      </w:r>
    </w:p>
    <w:p>
      <w:pPr>
        <w:pStyle w:val="BodyText"/>
      </w:pPr>
      <w:r>
        <w:t xml:space="preserve">Distance is considered as the travel impedance and four types of distances are usually used in distance-based accessibility measures: 1) Euclidean distance, that has been mainly used for walkability measures, particularly in health studies</w:t>
      </w:r>
      <w:r>
        <w:t xml:space="preserve"> </w:t>
      </w:r>
      <w:r>
        <w:t xml:space="preserve">(Apparicio et al. 2008)</w:t>
      </w:r>
      <w:r>
        <w:t xml:space="preserve">. 2) Manhattan distance, 3) shortest network distance</w:t>
      </w:r>
      <w:r>
        <w:t xml:space="preserve"> </w:t>
      </w:r>
      <w:r>
        <w:t xml:space="preserve">(Lundberg 2012; Hochmair 2015)</w:t>
      </w:r>
      <w:r>
        <w:t xml:space="preserve"> </w:t>
      </w:r>
      <w:r>
        <w:t xml:space="preserve">4) shortest network time</w:t>
      </w:r>
      <w:r>
        <w:t xml:space="preserve"> </w:t>
      </w:r>
      <w:r>
        <w:t xml:space="preserve">(Pearce, Witten, and Bartie 2006; Páez, Scott, and Morency 2012)</w:t>
      </w:r>
      <w:r>
        <w:t xml:space="preserve">.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pPr>
        <w:pStyle w:val="BodyText"/>
      </w:pPr>
      <w:r>
        <w:t xml:space="preserve">Distance to nearest location is calculated based on</w:t>
      </w:r>
      <w:r>
        <w:t xml:space="preserve"> </w:t>
      </w:r>
      <w:hyperlink w:anchor="eq-distance-based-accessibility">
        <w:r>
          <w:rPr>
            <w:rStyle w:val="Hyperlink"/>
          </w:rPr>
          <w:t xml:space="preserve">Equation 3</w:t>
        </w:r>
      </w:hyperlink>
      <w:r>
        <w:t xml:space="preserve">:</w:t>
      </w:r>
    </w:p>
    <w:p>
      <w:pPr>
        <w:pStyle w:val="BodyText"/>
      </w:pPr>
      <w:bookmarkStart w:id="26" w:name="eq-distance-based-accessibility"/>
      <m:oMathPara>
        <m:oMathParaPr>
          <m:jc m:val="center"/>
        </m:oMathParaPr>
        <m:oMath>
          <m:sSup>
            <m:e>
              <m:r>
                <m:t>A</m:t>
              </m:r>
            </m:e>
            <m:sup>
              <m:r>
                <m:t>i</m:t>
              </m:r>
              <m:r>
                <m:t>p</m:t>
              </m:r>
            </m:sup>
          </m:sSup>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r>
            <m:t>  </m:t>
          </m:r>
          <m:d>
            <m:dPr>
              <m:begChr m:val="("/>
              <m:endChr m:val=")"/>
              <m:sepChr m:val=""/>
              <m:grow/>
            </m:dPr>
            <m:e>
              <m:r>
                <m:t>3</m:t>
              </m:r>
            </m:e>
          </m:d>
        </m:oMath>
      </m:oMathPara>
      <w:bookmarkEnd w:id="26"/>
    </w:p>
    <w:p>
      <w:pPr>
        <w:pStyle w:val="FirstParagraph"/>
      </w:pPr>
      <w:r>
        <w:t xml:space="preserve">In this equation,</w:t>
      </w:r>
      <w:r>
        <w:t xml:space="preserve"> </w:t>
      </w:r>
      <m:oMath>
        <m:sSup>
          <m:e>
            <m:r>
              <m:t>A</m:t>
            </m:r>
          </m:e>
          <m:sup>
            <m:r>
              <m:t>i</m:t>
            </m:r>
            <m:r>
              <m:t>p</m:t>
            </m:r>
          </m:sup>
        </m:sSup>
      </m:oMath>
      <w:r>
        <w:t xml:space="preserve"> </w:t>
      </w:r>
      <w:r>
        <w:t xml:space="preserve">is accessibility of zone i to location of type p,</w:t>
      </w:r>
      <w:r>
        <w:t xml:space="preserve"> </w:t>
      </w:r>
      <m:oMath>
        <m:sSup>
          <m:e>
            <m:r>
              <m:t>L</m:t>
            </m:r>
          </m:e>
          <m:sup>
            <m:r>
              <m:t>p</m:t>
            </m:r>
          </m:sup>
        </m:sSup>
      </m:oMath>
      <w:r>
        <w:t xml:space="preserve"> </w:t>
      </w:r>
      <w:r>
        <w:t xml:space="preserve">is set of locations of type p, and</w:t>
      </w:r>
      <w:r>
        <w:t xml:space="preserve"> </w:t>
      </w:r>
      <m:oMath>
        <m:d>
          <m:dPr>
            <m:begChr m:val="("/>
            <m:endChr m:val=")"/>
            <m:sepChr m:val=""/>
            <m:grow/>
          </m:dPr>
          <m:e>
            <m:sSub>
              <m:e>
                <m:r>
                  <m:t>d</m:t>
                </m:r>
              </m:e>
              <m:sub>
                <m:r>
                  <m:t>i</m:t>
                </m:r>
                <m:r>
                  <m:t>j</m:t>
                </m:r>
              </m:sub>
            </m:sSub>
          </m:e>
        </m:d>
      </m:oMath>
      <w:r>
        <w:t xml:space="preserve"> </w:t>
      </w:r>
      <w:r>
        <w:t xml:space="preserve">is distance (or travel time for a given mode) from i to location j in set</w:t>
      </w:r>
      <w:r>
        <w:t xml:space="preserve"> </w:t>
      </w:r>
      <m:oMath>
        <m:sSub>
          <m:e>
            <m:r>
              <m:t>L</m:t>
            </m:r>
          </m:e>
          <m:sub>
            <m:r>
              <m:t>𝑝</m:t>
            </m:r>
          </m:sub>
        </m:sSub>
      </m:oMath>
      <w:r>
        <w:t xml:space="preserve">. This measure is consistent with an extremely simple location model in which the nearest location is always chosen with probability 1.0. (2)</w:t>
      </w:r>
    </w:p>
    <w:p>
      <w:pPr>
        <w:pStyle w:val="BodyText"/>
      </w:pPr>
      <m:oMathPara>
        <m:oMathParaPr>
          <m:jc m:val="center"/>
        </m:oMathParaPr>
        <m:oMath>
          <m:sSubSup>
            <m:e>
              <m:r>
                <m:t>P</m:t>
              </m:r>
            </m:e>
            <m:sub>
              <m:r>
                <m:t>j</m:t>
              </m:r>
            </m:sub>
            <m:sup>
              <m:r>
                <m:t>i</m:t>
              </m:r>
              <m:r>
                <m:t>p</m:t>
              </m:r>
            </m:sup>
          </m:sSubSup>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d</m:t>
                        </m:r>
                      </m:e>
                      <m:sub>
                        <m:r>
                          <m:t>i</m:t>
                        </m:r>
                        <m:r>
                          <m:t>j</m:t>
                        </m:r>
                      </m:sub>
                    </m:sSub>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e>
                </m:mr>
                <m:mr>
                  <m:e>
                    <m:r>
                      <m:t>0</m:t>
                    </m:r>
                  </m:e>
                  <m:e>
                    <m:r>
                      <m:rPr>
                        <m:nor/>
                        <m:sty m:val="p"/>
                      </m:rPr>
                      <m:t>otherwise</m:t>
                    </m:r>
                  </m:e>
                </m:mr>
              </m:m>
            </m:e>
          </m:d>
        </m:oMath>
      </m:oMathPara>
    </w:p>
    <w:p>
      <w:pPr>
        <w:pStyle w:val="FirstParagraph"/>
      </w:pPr>
      <w:r>
        <w:t xml:space="preserve">In equation 2,</w:t>
      </w:r>
      <w:r>
        <w:t xml:space="preserve"> </w:t>
      </w:r>
      <m:oMath>
        <m:sSubSup>
          <m:e>
            <m:r>
              <m:t>P</m:t>
            </m:r>
          </m:e>
          <m:sub>
            <m:r>
              <m:t>j</m:t>
            </m:r>
          </m:sub>
          <m:sup>
            <m:r>
              <m:t>i</m:t>
            </m:r>
            <m:r>
              <m:t>p</m:t>
            </m:r>
          </m:sup>
        </m:sSubSup>
      </m:oMath>
      <w:r>
        <w:t xml:space="preserve"> </w:t>
      </w:r>
      <w:r>
        <w:t xml:space="preserve">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bookmarkEnd w:id="27"/>
    <w:bookmarkStart w:id="28" w:name="X7e2c02c4dd152fe66463080a38895a363f240c4"/>
    <w:p>
      <w:pPr>
        <w:pStyle w:val="Heading5"/>
      </w:pPr>
      <w:r>
        <w:t xml:space="preserve">Topological or infrastructure-based measures</w:t>
      </w:r>
    </w:p>
    <w:p>
      <w:pPr>
        <w:pStyle w:val="FirstParagraph"/>
      </w:pPr>
      <w:r>
        <w:t xml:space="preserve">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pPr>
        <w:pStyle w:val="BodyText"/>
      </w:pPr>
      <w:r>
        <w:t xml:space="preserve">There are three types of topological measure: the first, this group evaluate the level of service (LOS) within a floating catchment area (FCA)</w:t>
      </w:r>
      <w:r>
        <w:t xml:space="preserve">(Sisson et al. 2006)</w:t>
      </w:r>
      <w:r>
        <w:t xml:space="preserve">. The second type is similar the first one. however, this one used a pre-defined spatial unit to evaluate LOS, and this is based on the segment instead of the point</w:t>
      </w:r>
      <w:r>
        <w:t xml:space="preserve"> </w:t>
      </w:r>
      <w:r>
        <w:t xml:space="preserve">(Emery and Crump 2011; Horacek et al. 2012; Lowry et al. 2012)</w:t>
      </w:r>
      <w:r>
        <w:t xml:space="preserve">. The third one is very different, since traffic is not considered as a relevant parameter</w:t>
      </w:r>
      <w:r>
        <w:t xml:space="preserve"> </w:t>
      </w:r>
      <w:r>
        <w:t xml:space="preserve">(Hoedl, Titze, and Oja 2010; Zielstra and Hochmair 2011; Jabbari, Fonseca, and Ramos 2021)</w:t>
      </w:r>
      <w:r>
        <w:t xml:space="preserve">. These measures are based on and the evaluation of network segments, infrastructure characteristics, and include variables such as sidewalk or bike path availability, quality, and length among others.</w:t>
      </w:r>
    </w:p>
    <w:bookmarkEnd w:id="28"/>
    <w:bookmarkStart w:id="29" w:name="utility-based-measures"/>
    <w:p>
      <w:pPr>
        <w:pStyle w:val="Heading5"/>
      </w:pPr>
      <w:r>
        <w:t xml:space="preserve">Utility-based measures</w:t>
      </w:r>
    </w:p>
    <w:p>
      <w:pPr>
        <w:pStyle w:val="FirstParagraph"/>
      </w:pPr>
      <w:r>
        <w:t xml:space="preserve">utility-based measures evaluate accessibility based on individual preferences and the log-sum of discrete choice models applied to destination choice analysis</w:t>
      </w:r>
      <w:r>
        <w:t xml:space="preserve"> </w:t>
      </w:r>
      <w:r>
        <w:t xml:space="preserve">(M. Ben-Akiva and Lerman 2021)</w:t>
      </w:r>
      <w:r>
        <w:t xml:space="preserve">. This measure, which is known as benefits measures, can better represent individual accessibility than location-based measures. In addition, individual-based accessibility yields more representative measures than placed-based accessibility and reflects population access. It is a common method of aggregating accessibility</w:t>
      </w:r>
      <w:r>
        <w:t xml:space="preserve"> </w:t>
      </w:r>
      <w:r>
        <w:t xml:space="preserve">(Geurs, Eck, et al. 2003; Wachs and Kumagai 1973)</w:t>
      </w:r>
      <w:r>
        <w:t xml:space="preserve">.</w:t>
      </w:r>
    </w:p>
    <w:p>
      <w:pPr>
        <w:pStyle w:val="BodyText"/>
      </w:pPr>
      <w:r>
        <w:t xml:space="preserve">Utility-based measure can be calculated using two methods:</w:t>
      </w:r>
    </w:p>
    <w:p>
      <w:pPr>
        <w:numPr>
          <w:ilvl w:val="0"/>
          <w:numId w:val="1002"/>
        </w:numPr>
        <w:pStyle w:val="Compact"/>
      </w:pPr>
      <w:r>
        <w:t xml:space="preserve">Assume that a decision-maker perceives the utility of a destination as:</w:t>
      </w:r>
      <w:r>
        <w:t xml:space="preserve"> </w:t>
      </w:r>
      <m:oMath>
        <m:sSub>
          <m:e>
            <m:r>
              <m:t>𝑈</m:t>
            </m:r>
          </m:e>
          <m:sub>
            <m:r>
              <m:t>𝑗</m:t>
            </m:r>
          </m:sub>
        </m:sSub>
        <m:r>
          <m:rPr>
            <m:sty m:val="p"/>
          </m:rPr>
          <m:t>=</m:t>
        </m:r>
        <m:sSub>
          <m:e>
            <m:r>
              <m:t>𝑉</m:t>
            </m:r>
          </m:e>
          <m:sub>
            <m:r>
              <m:t>𝑗</m:t>
            </m:r>
          </m:sub>
        </m:sSub>
        <m:r>
          <m:rPr>
            <m:sty m:val="p"/>
          </m:rPr>
          <m:t>+</m:t>
        </m:r>
        <m:sSub>
          <m:e>
            <m:r>
              <m:t>𝜀</m:t>
            </m:r>
          </m:e>
          <m:sub>
            <m:r>
              <m:t>𝑗</m:t>
            </m:r>
          </m:sub>
        </m:sSub>
      </m:oMath>
      <w:r>
        <w:t xml:space="preserve"> </w:t>
      </w:r>
      <w:r>
        <w:t xml:space="preserve">where</w:t>
      </w:r>
      <w:r>
        <w:t xml:space="preserve"> </w:t>
      </w:r>
      <m:oMath>
        <m:sSub>
          <m:e>
            <m:r>
              <m:t>𝜀</m:t>
            </m:r>
          </m:e>
          <m:sub>
            <m:r>
              <m:t>𝑗</m:t>
            </m:r>
          </m:sub>
        </m:sSub>
      </m:oMath>
      <w:r>
        <w:t xml:space="preserve"> </w:t>
      </w:r>
      <w:r>
        <w:t xml:space="preserve">is the individual’s idiosyncratic deviation in terms of how s/he perceives the utility of alternative j relative to the population average utility,</w:t>
      </w:r>
      <w:r>
        <w:t xml:space="preserve"> </w:t>
      </w:r>
      <m:oMath>
        <m:sSub>
          <m:e>
            <m:r>
              <m:t>𝑉</m:t>
            </m:r>
          </m:e>
          <m:sub>
            <m:r>
              <m:t>𝑗</m:t>
            </m:r>
          </m:sub>
        </m:sSub>
      </m:oMath>
      <w:r>
        <w:t xml:space="preserve">. The person chooses the alternative that generates the maximum perceived utility,</w:t>
      </w:r>
      <w:r>
        <w:t xml:space="preserve"> </w:t>
      </w:r>
      <m:oMath>
        <m:sSub>
          <m:e>
            <m:r>
              <m:t>𝑈</m:t>
            </m:r>
          </m:e>
          <m:sub>
            <m:r>
              <m:t>𝑗</m:t>
            </m:r>
          </m:sub>
        </m:sSub>
      </m:oMath>
      <w:r>
        <w:t xml:space="preserve">. Under very common assumptions, the probability that j is the maximum utility alternative and so is chosen is given by the multinomial logit (MNL) model</w:t>
      </w:r>
      <w:r>
        <w:t xml:space="preserve">(Train 2009)</w:t>
      </w:r>
      <w:r>
        <w:t xml:space="preserve">:</w:t>
      </w:r>
    </w:p>
    <w:p>
      <w:pPr>
        <w:pStyle w:val="FirstParagraph"/>
      </w:pPr>
      <m:oMathPara>
        <m:oMathParaPr>
          <m:jc m:val="center"/>
        </m:oMathParaPr>
        <m:oMath>
          <m:sSubSup>
            <m:e>
              <m:r>
                <m:t>P</m:t>
              </m:r>
            </m:e>
            <m:sub>
              <m:r>
                <m:t>j</m:t>
              </m:r>
            </m:sub>
            <m:sup>
              <m:r>
                <m:t>i</m:t>
              </m:r>
              <m:r>
                <m:t>p</m:t>
              </m:r>
            </m:sup>
          </m:sSubSup>
          <m:r>
            <m:rPr>
              <m:sty m:val="p"/>
            </m:rPr>
            <m:t>=</m:t>
          </m:r>
          <m:f>
            <m:fPr>
              <m:type m:val="bar"/>
            </m:fPr>
            <m:num>
              <m:sSup>
                <m:e>
                  <m:r>
                    <m:t>e</m:t>
                  </m:r>
                </m:e>
                <m:sup>
                  <m:sSub>
                    <m:e>
                      <m:r>
                        <m:t>V</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sSub>
                        <m:e>
                          <m:r>
                            <m:t>V</m:t>
                          </m:r>
                        </m:e>
                        <m:sub>
                          <m:r>
                            <m:t>j</m:t>
                          </m:r>
                        </m:sub>
                      </m:sSub>
                      <m:r>
                        <m:rPr>
                          <m:sty m:val="p"/>
                        </m:rPr>
                        <m:t>′</m:t>
                      </m:r>
                    </m:sup>
                  </m:sSup>
                </m:e>
              </m:nary>
            </m:den>
          </m:f>
          <m:r>
            <m:rPr>
              <m:sty m:val="p"/>
            </m:rPr>
            <m:t>=</m:t>
          </m:r>
          <m:f>
            <m:fPr>
              <m:type m:val="bar"/>
            </m:fPr>
            <m:num>
              <m:sSup>
                <m:e>
                  <m:r>
                    <m:t>e</m:t>
                  </m:r>
                </m:e>
                <m:sup>
                  <m:r>
                    <m:t>β</m:t>
                  </m:r>
                  <m:sSub>
                    <m:e>
                      <m:r>
                        <m:t>z</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r>
                        <m:t>β</m:t>
                      </m:r>
                      <m:sSub>
                        <m:e>
                          <m:r>
                            <m:t>z</m:t>
                          </m:r>
                        </m:e>
                        <m:sub>
                          <m:r>
                            <m:t>j</m:t>
                          </m:r>
                        </m:sub>
                      </m:sSub>
                    </m:sup>
                  </m:sSup>
                </m:e>
              </m:nary>
            </m:den>
          </m:f>
        </m:oMath>
      </m:oMathPara>
    </w:p>
    <w:p>
      <w:pPr>
        <w:pStyle w:val="FirstParagraph"/>
      </w:pPr>
      <w:r>
        <w:t xml:space="preserve">In this equation,</w:t>
      </w:r>
      <w:r>
        <w:t xml:space="preserve"> </w:t>
      </w:r>
      <m:oMath>
        <m:sSub>
          <m:e>
            <m:r>
              <m:t>𝑉</m:t>
            </m:r>
          </m:e>
          <m:sub>
            <m:r>
              <m:t>𝑗</m:t>
            </m:r>
          </m:sub>
        </m:sSub>
        <m:r>
          <m:rPr>
            <m:sty m:val="p"/>
          </m:rPr>
          <m:t>=</m:t>
        </m:r>
        <m:r>
          <m:t>β</m:t>
        </m:r>
        <m:sSub>
          <m:e>
            <m:r>
              <m:t>Z</m:t>
            </m:r>
          </m:e>
          <m:sub>
            <m:r>
              <m:t>j</m:t>
            </m:r>
          </m:sub>
        </m:sSub>
      </m:oMath>
      <w:r>
        <w:t xml:space="preserve">: The systematic utility of alternative j;</w:t>
      </w:r>
      <w:r>
        <w:t xml:space="preserve"> </w:t>
      </w:r>
      <m:oMath>
        <m:sSub>
          <m:e>
            <m:r>
              <m:t>Z</m:t>
            </m:r>
          </m:e>
          <m:sub>
            <m:r>
              <m:t>j</m:t>
            </m:r>
          </m:sub>
        </m:sSub>
      </m:oMath>
      <w:r>
        <w:t xml:space="preserve"> </w:t>
      </w:r>
      <w:r>
        <w:t xml:space="preserve">is a Vector of explanatory variables and Β is a (Row) vector of parameters.</w:t>
      </w:r>
    </w:p>
    <w:p>
      <w:pPr>
        <w:numPr>
          <w:ilvl w:val="0"/>
          <w:numId w:val="1003"/>
        </w:numPr>
        <w:pStyle w:val="Compact"/>
      </w:pPr>
      <w:r>
        <w:t xml:space="preserve">The actual perceived maximum utility is unobservable, but, for the case of the MNL model, it can be shown</w:t>
      </w:r>
      <w:r>
        <w:t xml:space="preserve"> </w:t>
      </w:r>
      <w:r>
        <w:t xml:space="preserve">(M. E. Ben-Akiva et al. 1985)</w:t>
      </w:r>
      <w:r>
        <w:t xml:space="preserve"> </w:t>
      </w:r>
      <w:r>
        <w:t xml:space="preserve">that the expected maximum utility</w:t>
      </w:r>
      <w:r>
        <w:t xml:space="preserve"> </w:t>
      </w:r>
      <m:oMath>
        <m:d>
          <m:dPr>
            <m:begChr m:val="("/>
            <m:endChr m:val=")"/>
            <m:sepChr m:val=""/>
            <m:grow/>
          </m:dPr>
          <m:e>
            <m:sSup>
              <m:e>
                <m:r>
                  <m:t>𝐼</m:t>
                </m:r>
              </m:e>
              <m:sup>
                <m:r>
                  <m:t>𝑖</m:t>
                </m:r>
                <m:r>
                  <m:t>𝑝</m:t>
                </m:r>
              </m:sup>
            </m:sSup>
          </m:e>
        </m:d>
      </m:oMath>
      <w:r>
        <w:t xml:space="preserve"> </w:t>
      </w:r>
      <w:r>
        <w:t xml:space="preserve">associated with this choice is given by:</w:t>
      </w:r>
    </w:p>
    <w:p>
      <w:pPr>
        <w:pStyle w:val="FirstParagraph"/>
      </w:pPr>
      <m:oMathPara>
        <m:oMathParaPr>
          <m:jc m:val="center"/>
        </m:oMathParaPr>
        <m:oMath>
          <m:sSup>
            <m:e>
              <m:r>
                <m:t>I</m:t>
              </m:r>
            </m:e>
            <m:sup>
              <m:r>
                <m:t>𝑖</m:t>
              </m:r>
              <m:r>
                <m:t>𝑝</m:t>
              </m:r>
            </m:sup>
          </m:sSup>
          <m:r>
            <m:rPr>
              <m:sty m:val="p"/>
            </m:rPr>
            <m:t>=</m:t>
          </m:r>
          <m:r>
            <m:t>E</m:t>
          </m:r>
          <m:d>
            <m:dPr>
              <m:begChr m:val="["/>
              <m:endChr m:val="]"/>
              <m:sepChr m:val=""/>
              <m:grow/>
            </m:dPr>
            <m:e>
              <m:r>
                <m:t>M</m:t>
              </m:r>
              <m:r>
                <m:t>A</m:t>
              </m:r>
              <m:sSub>
                <m:e>
                  <m:r>
                    <m:t>X</m:t>
                  </m:r>
                </m:e>
                <m:sub>
                  <m:r>
                    <m:t>j</m:t>
                  </m:r>
                </m:sub>
              </m:sSub>
              <m:d>
                <m:dPr>
                  <m:begChr m:val="("/>
                  <m:endChr m:val=")"/>
                  <m:sepChr m:val=""/>
                  <m:grow/>
                </m:dPr>
                <m:e>
                  <m:sSub>
                    <m:e>
                      <m:r>
                        <m:t>U</m:t>
                      </m:r>
                    </m:e>
                    <m:sub>
                      <m:r>
                        <m:t>j</m:t>
                      </m:r>
                    </m:sub>
                  </m:sSub>
                </m:e>
              </m:d>
            </m:e>
          </m:d>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That is, it is the natural logarithm of the denominator of the logit choice model (sometimes referred to as the</w:t>
      </w:r>
      <w:r>
        <w:t xml:space="preserve"> </w:t>
      </w:r>
      <w:r>
        <w:t xml:space="preserve">“</w:t>
      </w:r>
      <w:r>
        <w:t xml:space="preserve">logsum</w:t>
      </w:r>
      <w:r>
        <w:t xml:space="preserve">”</w:t>
      </w:r>
      <w:r>
        <w:t xml:space="preserve"> </w:t>
      </w:r>
      <w:r>
        <w:t xml:space="preserve">term). Further, it can also be shown that this expected maximum utility is the consumer’s surplus for this choice. Thus it is a standard measure of economic benefit. Given this, Ben-Akiva and Lerman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That is:</w:t>
      </w:r>
    </w:p>
    <w:p>
      <w:pPr>
        <w:pStyle w:val="BodyText"/>
      </w:pPr>
      <m:oMathPara>
        <m:oMathParaPr>
          <m:jc m:val="center"/>
        </m:oMathParaPr>
        <m:oMath>
          <m:sSubSup>
            <m:e>
              <m:r>
                <m:t>A</m:t>
              </m:r>
            </m:e>
            <m:sub>
              <m:r>
                <m:t>i</m:t>
              </m:r>
            </m:sub>
            <m:sup>
              <m:r>
                <m:t>p</m:t>
              </m:r>
            </m:sup>
          </m:sSubSup>
          <m:r>
            <m:rPr>
              <m:sty m:val="p"/>
            </m:rPr>
            <m:t>=</m:t>
          </m:r>
          <m:r>
            <m:rPr>
              <m:sty m:val="p"/>
            </m:rPr>
            <m:t>ln</m:t>
          </m:r>
          <m:d>
            <m:dPr>
              <m:begChr m:val="("/>
              <m:endChr m:val=")"/>
              <m:sepChr m:val=""/>
              <m:grow/>
            </m:dPr>
            <m:e>
              <m:nary>
                <m:naryPr>
                  <m:chr m:val="∑"/>
                  <m:limLoc m:val="undOvr"/>
                  <m:subHide m:val="0"/>
                  <m:supHide m:val="1"/>
                </m:naryPr>
                <m:sub>
                  <m:r>
                    <m:t>j</m:t>
                  </m:r>
                  <m:r>
                    <m:t>ϵ</m:t>
                  </m:r>
                  <m:sSup>
                    <m:e>
                      <m:r>
                        <m:t>L</m:t>
                      </m:r>
                    </m:e>
                    <m:sup>
                      <m:r>
                        <m:t>i</m:t>
                      </m:r>
                      <m:r>
                        <m:t>p</m:t>
                      </m:r>
                    </m:sup>
                  </m:sSup>
                </m:sub>
                <m:sup>
                  <m:r>
                    <m:t>​</m:t>
                  </m:r>
                </m:sup>
                <m:e>
                  <m:sSup>
                    <m:e>
                      <m:r>
                        <m:t>e</m:t>
                      </m:r>
                    </m:e>
                    <m:sup>
                      <m:r>
                        <m:t>β</m:t>
                      </m:r>
                      <m:sSub>
                        <m:e>
                          <m:r>
                            <m:t>z</m:t>
                          </m:r>
                        </m:e>
                        <m:sub>
                          <m:r>
                            <m:t>j</m:t>
                          </m:r>
                        </m:sub>
                      </m:sSub>
                    </m:sup>
                  </m:sSup>
                </m:e>
              </m:nary>
            </m:e>
          </m:d>
        </m:oMath>
      </m:oMathPara>
    </w:p>
    <w:p>
      <w:pPr>
        <w:pStyle w:val="FirstParagraph"/>
      </w:pPr>
      <w:r>
        <w:t xml:space="preserve">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p>
      <w:pPr>
        <w:pStyle w:val="TableCaption"/>
      </w:pPr>
      <w:r>
        <w:rPr>
          <w:bCs/>
          <w:b/>
        </w:rPr>
        <w:t xml:space="preserve">Table 1.</w:t>
      </w:r>
      <w:r>
        <w:t xml:space="preserve"> </w:t>
      </w:r>
      <w:r>
        <w:t xml:space="preserve">Studies employing cycling-specific accessibility measures</w:t>
      </w:r>
    </w:p>
    <w:tbl>
      <w:tblPr>
        <w:tblStyle w:val="Table"/>
        <w:tblW w:type="pct" w:w="5000"/>
        <w:tblLook w:firstRow="1" w:lastRow="0" w:firstColumn="0" w:lastColumn="0" w:noHBand="0" w:noVBand="0" w:val="0020"/>
        <w:tblCaption w:val="Table 1. Studies employing cycling-specific accessibility measures"/>
      </w:tblPr>
      <w:tblGrid>
        <w:gridCol w:w="963"/>
        <w:gridCol w:w="963"/>
        <w:gridCol w:w="1177"/>
        <w:gridCol w:w="963"/>
        <w:gridCol w:w="963"/>
        <w:gridCol w:w="963"/>
        <w:gridCol w:w="963"/>
        <w:gridCol w:w="963"/>
      </w:tblGrid>
      <w:tr>
        <w:trPr>
          <w:tblHeader w:val="true"/>
        </w:trPr>
        <w:tc>
          <w:tcPr/>
          <w:p>
            <w:pPr>
              <w:pStyle w:val="Compact"/>
              <w:jc w:val="left"/>
            </w:pPr>
            <w:r>
              <w:rPr>
                <w:bCs/>
                <w:b/>
              </w:rPr>
              <w:t xml:space="preserve">Type of metric</w:t>
            </w:r>
          </w:p>
        </w:tc>
        <w:tc>
          <w:tcPr/>
          <w:p>
            <w:pPr>
              <w:pStyle w:val="Compact"/>
              <w:jc w:val="left"/>
            </w:pPr>
            <w:r>
              <w:rPr>
                <w:bCs/>
                <w:b/>
              </w:rPr>
              <w:t xml:space="preserve">Study</w:t>
            </w:r>
          </w:p>
        </w:tc>
        <w:tc>
          <w:tcPr/>
          <w:p>
            <w:pPr>
              <w:pStyle w:val="Compact"/>
              <w:jc w:val="left"/>
            </w:pPr>
            <w:r>
              <w:rPr>
                <w:bCs/>
                <w:b/>
              </w:rPr>
              <w:t xml:space="preserve">Measure</w:t>
            </w:r>
          </w:p>
        </w:tc>
        <w:tc>
          <w:tcPr/>
          <w:p>
            <w:pPr>
              <w:pStyle w:val="Compact"/>
              <w:jc w:val="left"/>
            </w:pPr>
            <w:r>
              <w:rPr>
                <w:bCs/>
                <w:b/>
              </w:rPr>
              <w:t xml:space="preserve">Travel time / distance threshold</w:t>
            </w:r>
          </w:p>
        </w:tc>
        <w:tc>
          <w:tcPr/>
          <w:p>
            <w:pPr>
              <w:pStyle w:val="Compact"/>
              <w:jc w:val="left"/>
            </w:pPr>
            <w:r>
              <w:rPr>
                <w:bCs/>
                <w:b/>
              </w:rPr>
              <w:t xml:space="preserve">Origins / Destinations</w:t>
            </w:r>
          </w:p>
        </w:tc>
        <w:tc>
          <w:tcPr/>
          <w:p>
            <w:pPr>
              <w:pStyle w:val="Compact"/>
              <w:jc w:val="left"/>
            </w:pPr>
            <w:r>
              <w:rPr>
                <w:bCs/>
                <w:b/>
              </w:rPr>
              <w:t xml:space="preserve">Geographic scale</w:t>
            </w:r>
          </w:p>
        </w:tc>
        <w:tc>
          <w:tcPr/>
          <w:p>
            <w:pPr>
              <w:pStyle w:val="Compact"/>
              <w:jc w:val="left"/>
            </w:pPr>
            <w:r>
              <w:rPr>
                <w:bCs/>
                <w:b/>
              </w:rPr>
              <w:t xml:space="preserve">Travel time / distance calculation</w:t>
            </w:r>
          </w:p>
        </w:tc>
        <w:tc>
          <w:tcPr/>
          <w:p>
            <w:pPr>
              <w:pStyle w:val="Compact"/>
              <w:jc w:val="left"/>
            </w:pPr>
            <w:r>
              <w:t xml:space="preserve">positive / normative implementations</w:t>
            </w:r>
          </w:p>
        </w:tc>
      </w:tr>
      <w:tr>
        <w:tc>
          <w:tcPr/>
          <w:p>
            <w:pPr>
              <w:pStyle w:val="Compact"/>
              <w:jc w:val="left"/>
            </w:pPr>
            <w:r>
              <w:t xml:space="preserve">Activity-based</w:t>
            </w:r>
          </w:p>
        </w:tc>
        <w:tc>
          <w:tcPr/>
          <w:p>
            <w:pPr>
              <w:pStyle w:val="Compact"/>
              <w:jc w:val="left"/>
            </w:pPr>
            <w:r>
              <w:t xml:space="preserve">Murphy and Owen (2019)</w:t>
            </w:r>
          </w:p>
        </w:tc>
        <w:tc>
          <w:tcPr/>
          <w:p>
            <w:pPr>
              <w:pStyle w:val="Compact"/>
              <w:jc w:val="left"/>
            </w:pPr>
            <w:r>
              <w:t xml:space="preserve">Cumulative job opportunities Access gap: comparing LTS 1-4 Weighted accessibility by a number of workers</w:t>
            </w:r>
          </w:p>
        </w:tc>
        <w:tc>
          <w:tcPr/>
          <w:p>
            <w:pPr>
              <w:pStyle w:val="Compact"/>
              <w:jc w:val="left"/>
            </w:pPr>
            <w:r>
              <w:t xml:space="preserve">20 mins (Tested 5 to 6 mins)</w:t>
            </w:r>
          </w:p>
        </w:tc>
        <w:tc>
          <w:tcPr/>
          <w:p>
            <w:pPr>
              <w:pStyle w:val="Compact"/>
              <w:jc w:val="left"/>
            </w:pPr>
            <w:r>
              <w:t xml:space="preserve">Census block centroids</w:t>
            </w:r>
          </w:p>
        </w:tc>
        <w:tc>
          <w:tcPr/>
          <w:p>
            <w:pPr>
              <w:pStyle w:val="Compact"/>
              <w:jc w:val="left"/>
            </w:pPr>
            <w:r>
              <w:t xml:space="preserve">Neighbourhoods -&gt; city level</w:t>
            </w:r>
          </w:p>
        </w:tc>
        <w:tc>
          <w:tcPr/>
          <w:p>
            <w:pPr>
              <w:pStyle w:val="Compact"/>
              <w:jc w:val="left"/>
            </w:pPr>
            <w:r>
              <w:t xml:space="preserve">Network travel time 15 km/h</w:t>
            </w:r>
          </w:p>
        </w:tc>
        <w:tc>
          <w:tcPr/>
          <w:p>
            <w:pPr>
              <w:pStyle w:val="Compact"/>
              <w:jc w:val="left"/>
            </w:pPr>
            <w:r>
              <w:t xml:space="preserve">Normative</w:t>
            </w:r>
          </w:p>
        </w:tc>
      </w:tr>
      <w:tr>
        <w:tc>
          <w:tcPr/>
          <w:p>
            <w:pPr>
              <w:pStyle w:val="Compact"/>
            </w:pPr>
          </w:p>
        </w:tc>
        <w:tc>
          <w:tcPr/>
          <w:p>
            <w:pPr>
              <w:pStyle w:val="Compact"/>
              <w:jc w:val="left"/>
            </w:pPr>
            <w:r>
              <w:t xml:space="preserve">Faghih Imani, Miller et al. (2019)</w:t>
            </w:r>
          </w:p>
        </w:tc>
        <w:tc>
          <w:tcPr/>
          <w:p>
            <w:pPr>
              <w:pStyle w:val="Compact"/>
              <w:jc w:val="left"/>
            </w:pPr>
            <w:r>
              <w:t xml:space="preserve">Cumulative opportunities: jobs &amp; population access Calculated isochrones for LTS 1-4</w:t>
            </w:r>
          </w:p>
        </w:tc>
        <w:tc>
          <w:tcPr/>
          <w:p>
            <w:pPr>
              <w:pStyle w:val="Compact"/>
              <w:jc w:val="left"/>
            </w:pPr>
            <w:r>
              <w:t xml:space="preserve">30 mins</w:t>
            </w:r>
          </w:p>
        </w:tc>
        <w:tc>
          <w:tcPr/>
          <w:p>
            <w:pPr>
              <w:pStyle w:val="Compact"/>
              <w:jc w:val="left"/>
            </w:pPr>
            <w:r>
              <w:t xml:space="preserve">Dissemination area centroids</w:t>
            </w:r>
          </w:p>
        </w:tc>
        <w:tc>
          <w:tcPr/>
          <w:p>
            <w:pPr>
              <w:pStyle w:val="Compact"/>
              <w:jc w:val="left"/>
            </w:pPr>
            <w:r>
              <w:t xml:space="preserve">Dissemination areas</w:t>
            </w:r>
          </w:p>
        </w:tc>
        <w:tc>
          <w:tcPr/>
          <w:p>
            <w:pPr>
              <w:pStyle w:val="Compact"/>
              <w:jc w:val="left"/>
            </w:pPr>
            <w:r>
              <w:t xml:space="preserve">Network travel time</w:t>
            </w:r>
          </w:p>
        </w:tc>
        <w:tc>
          <w:tcPr/>
          <w:p>
            <w:pPr>
              <w:pStyle w:val="Compact"/>
              <w:jc w:val="left"/>
            </w:pPr>
            <w:r>
              <w:t xml:space="preserve">Normative</w:t>
            </w:r>
          </w:p>
        </w:tc>
      </w:tr>
      <w:tr>
        <w:tc>
          <w:tcPr/>
          <w:p>
            <w:pPr>
              <w:pStyle w:val="Compact"/>
            </w:pPr>
          </w:p>
        </w:tc>
        <w:tc>
          <w:tcPr/>
          <w:p>
            <w:pPr>
              <w:pStyle w:val="Compact"/>
              <w:jc w:val="left"/>
            </w:pPr>
            <w:r>
              <w:t xml:space="preserve">Wu, Lu et al. (2019)</w:t>
            </w:r>
          </w:p>
        </w:tc>
        <w:tc>
          <w:tcPr/>
          <w:p>
            <w:pPr>
              <w:pStyle w:val="Compact"/>
              <w:jc w:val="left"/>
            </w:pPr>
            <w:r>
              <w:t xml:space="preserve">Gravity-based measure: accessibility to POIS at metro stations Lognormal distance decay function (confirmed using distribution of bicycle-metro trip data)</w:t>
            </w:r>
          </w:p>
        </w:tc>
        <w:tc>
          <w:tcPr/>
          <w:p>
            <w:pPr>
              <w:pStyle w:val="Compact"/>
              <w:jc w:val="left"/>
            </w:pPr>
            <w:r>
              <w:t xml:space="preserve">2.5 Km</w:t>
            </w:r>
          </w:p>
        </w:tc>
        <w:tc>
          <w:tcPr/>
          <w:p>
            <w:pPr>
              <w:pStyle w:val="Compact"/>
              <w:jc w:val="left"/>
            </w:pPr>
            <w:r>
              <w:t xml:space="preserve">Metro stations (origins) POIs (destinations)</w:t>
            </w:r>
          </w:p>
        </w:tc>
        <w:tc>
          <w:tcPr/>
          <w:p>
            <w:pPr>
              <w:pStyle w:val="Compact"/>
              <w:jc w:val="left"/>
            </w:pPr>
            <w:r>
              <w:t xml:space="preserve">2.5 km buffer</w:t>
            </w:r>
          </w:p>
        </w:tc>
        <w:tc>
          <w:tcPr/>
          <w:p>
            <w:pPr>
              <w:pStyle w:val="Compact"/>
              <w:jc w:val="left"/>
            </w:pPr>
            <w:r>
              <w:t xml:space="preserve">Euclidean distance</w:t>
            </w:r>
          </w:p>
        </w:tc>
        <w:tc>
          <w:tcPr/>
          <w:p>
            <w:pPr>
              <w:pStyle w:val="Compact"/>
              <w:jc w:val="left"/>
            </w:pPr>
            <w:r>
              <w:t xml:space="preserve">Normative</w:t>
            </w:r>
          </w:p>
        </w:tc>
      </w:tr>
      <w:tr>
        <w:tc>
          <w:tcPr/>
          <w:p>
            <w:pPr>
              <w:pStyle w:val="Compact"/>
              <w:jc w:val="left"/>
            </w:pPr>
            <w:r>
              <w:t xml:space="preserve">Distance-based</w:t>
            </w:r>
          </w:p>
        </w:tc>
        <w:tc>
          <w:tcPr/>
          <w:p>
            <w:pPr>
              <w:pStyle w:val="Compact"/>
              <w:jc w:val="left"/>
            </w:pPr>
            <w:r>
              <w:t xml:space="preserve">Houde, Apparicio et al. (2018)</w:t>
            </w:r>
          </w:p>
        </w:tc>
        <w:tc>
          <w:tcPr/>
          <w:p>
            <w:pPr>
              <w:pStyle w:val="Compact"/>
              <w:jc w:val="left"/>
            </w:pPr>
            <w:r>
              <w:t xml:space="preserve">Proximity of bike paths: 1. Network distance to nearest section of cycling network 2.Network distance to cyclist-only bike path</w:t>
            </w:r>
          </w:p>
        </w:tc>
        <w:tc>
          <w:tcPr/>
          <w:p>
            <w:pPr>
              <w:pStyle w:val="Compact"/>
            </w:pPr>
          </w:p>
        </w:tc>
        <w:tc>
          <w:tcPr/>
          <w:p>
            <w:pPr>
              <w:pStyle w:val="Compact"/>
              <w:jc w:val="left"/>
            </w:pPr>
            <w:r>
              <w:t xml:space="preserve">Census tract centroids (origins) Bike paths (destinations)</w:t>
            </w:r>
          </w:p>
        </w:tc>
        <w:tc>
          <w:tcPr/>
          <w:p>
            <w:pPr>
              <w:pStyle w:val="Compact"/>
              <w:jc w:val="left"/>
            </w:pPr>
            <w:r>
              <w:t xml:space="preserve">Census tracts</w:t>
            </w:r>
          </w:p>
        </w:tc>
        <w:tc>
          <w:tcPr/>
          <w:p>
            <w:pPr>
              <w:pStyle w:val="Compact"/>
              <w:jc w:val="left"/>
            </w:pPr>
            <w:r>
              <w:t xml:space="preserve">Network distance</w:t>
            </w:r>
          </w:p>
        </w:tc>
        <w:tc>
          <w:tcPr/>
          <w:p>
            <w:pPr>
              <w:pStyle w:val="Compact"/>
              <w:jc w:val="left"/>
            </w:pPr>
            <w:r>
              <w:t xml:space="preserve">Positive</w:t>
            </w:r>
          </w:p>
        </w:tc>
      </w:tr>
      <w:tr>
        <w:tc>
          <w:tcPr/>
          <w:p>
            <w:pPr>
              <w:pStyle w:val="Compact"/>
            </w:pPr>
          </w:p>
        </w:tc>
        <w:tc>
          <w:tcPr/>
          <w:p>
            <w:pPr>
              <w:pStyle w:val="Compact"/>
              <w:jc w:val="left"/>
            </w:pPr>
            <w:r>
              <w:t xml:space="preserve">Pérez, Buck et al. (2017)</w:t>
            </w:r>
          </w:p>
        </w:tc>
        <w:tc>
          <w:tcPr/>
          <w:p>
            <w:pPr>
              <w:pStyle w:val="Compact"/>
              <w:jc w:val="left"/>
            </w:pPr>
            <w:r>
              <w:t xml:space="preserve">1.the dedicated cycling network - The distance from census tract centroid to nearest bike network segment was measured to estimate the accessibility of each tract. 2. Level of traffic stress (LTS network) was used to assess accessibility in the district.</w:t>
            </w:r>
          </w:p>
        </w:tc>
        <w:tc>
          <w:tcPr/>
          <w:p>
            <w:pPr>
              <w:pStyle w:val="Compact"/>
            </w:pPr>
          </w:p>
        </w:tc>
        <w:tc>
          <w:tcPr/>
          <w:p>
            <w:pPr>
              <w:pStyle w:val="Compact"/>
              <w:jc w:val="left"/>
            </w:pPr>
            <w:r>
              <w:t xml:space="preserve">census tract centroid to nearest bike network</w:t>
            </w:r>
          </w:p>
        </w:tc>
        <w:tc>
          <w:tcPr/>
          <w:p>
            <w:pPr>
              <w:pStyle w:val="Compact"/>
              <w:jc w:val="left"/>
            </w:pPr>
            <w:r>
              <w:t xml:space="preserve">The District of Columbia</w:t>
            </w:r>
          </w:p>
        </w:tc>
        <w:tc>
          <w:tcPr/>
          <w:p>
            <w:pPr>
              <w:pStyle w:val="Compact"/>
              <w:jc w:val="left"/>
            </w:pPr>
            <w:r>
              <w:t xml:space="preserve">Euclidean distance</w:t>
            </w:r>
          </w:p>
        </w:tc>
        <w:tc>
          <w:tcPr/>
          <w:p>
            <w:pPr>
              <w:pStyle w:val="Compact"/>
              <w:jc w:val="left"/>
            </w:pPr>
            <w:r>
              <w:t xml:space="preserve">Positive</w:t>
            </w:r>
          </w:p>
        </w:tc>
      </w:tr>
      <w:tr>
        <w:tc>
          <w:tcPr/>
          <w:p>
            <w:pPr>
              <w:pStyle w:val="Compact"/>
              <w:jc w:val="left"/>
            </w:pPr>
            <w:r>
              <w:t xml:space="preserve">Topology-based</w:t>
            </w:r>
          </w:p>
        </w:tc>
        <w:tc>
          <w:tcPr/>
          <w:p>
            <w:pPr>
              <w:pStyle w:val="Compact"/>
              <w:jc w:val="left"/>
            </w:pPr>
            <w:r>
              <w:t xml:space="preserve">Mekuria (2012)</w:t>
            </w:r>
          </w:p>
        </w:tc>
        <w:tc>
          <w:tcPr/>
          <w:p>
            <w:pPr>
              <w:pStyle w:val="Compact"/>
              <w:jc w:val="left"/>
            </w:pPr>
            <w:r>
              <w:t xml:space="preserve">Network connectivity by LTS 1-4: percent trips connected percent nodes connected</w:t>
            </w:r>
          </w:p>
        </w:tc>
        <w:tc>
          <w:tcPr/>
          <w:p>
            <w:pPr>
              <w:pStyle w:val="Compact"/>
            </w:pPr>
          </w:p>
        </w:tc>
        <w:tc>
          <w:tcPr/>
          <w:p>
            <w:pPr>
              <w:pStyle w:val="Compact"/>
              <w:jc w:val="left"/>
            </w:pPr>
            <w:r>
              <w:t xml:space="preserve">Home-to-work O-D pairs from regional trip table Land parcel</w:t>
            </w:r>
            <w:r>
              <w:t xml:space="preserve"> </w:t>
            </w:r>
            <w:r>
              <w:t xml:space="preserve">‘</w:t>
            </w:r>
            <w:r>
              <w:t xml:space="preserve">attraction strength</w:t>
            </w:r>
            <w:r>
              <w:t xml:space="preserve">’</w:t>
            </w:r>
            <w:r>
              <w:t xml:space="preserve"> </w:t>
            </w:r>
            <w:r>
              <w:t xml:space="preserve">(size and land-use attraction) (destinations)</w:t>
            </w:r>
          </w:p>
        </w:tc>
        <w:tc>
          <w:tcPr/>
          <w:p>
            <w:pPr>
              <w:pStyle w:val="Compact"/>
              <w:jc w:val="left"/>
            </w:pPr>
            <w:r>
              <w:t xml:space="preserve">Census blocks</w:t>
            </w:r>
          </w:p>
        </w:tc>
        <w:tc>
          <w:tcPr/>
          <w:p>
            <w:pPr>
              <w:pStyle w:val="Compact"/>
              <w:jc w:val="left"/>
            </w:pPr>
            <w:r>
              <w:t xml:space="preserve">Network</w:t>
            </w:r>
          </w:p>
        </w:tc>
        <w:tc>
          <w:tcPr/>
          <w:p>
            <w:pPr>
              <w:pStyle w:val="Compact"/>
              <w:jc w:val="left"/>
            </w:pPr>
            <w:r>
              <w:t xml:space="preserve">Positive</w:t>
            </w:r>
          </w:p>
        </w:tc>
      </w:tr>
    </w:tbl>
    <w:p>
      <w:pPr>
        <w:pStyle w:val="BodyText"/>
      </w:pPr>
      <w:r>
        <w:t xml:space="preserve"> </w:t>
      </w:r>
    </w:p>
    <w:p>
      <w:pPr>
        <w:pStyle w:val="TableCaption"/>
      </w:pPr>
      <w:r>
        <w:rPr>
          <w:bCs/>
          <w:b/>
        </w:rPr>
        <w:t xml:space="preserve">Table 2.</w:t>
      </w:r>
      <w:r>
        <w:t xml:space="preserve"> </w:t>
      </w:r>
      <w:r>
        <w:t xml:space="preserve">Studies examining walking-specific accessibility</w:t>
      </w:r>
    </w:p>
    <w:tbl>
      <w:tblPr>
        <w:tblStyle w:val="Table"/>
        <w:tblW w:type="pct" w:w="5000"/>
        <w:tblLook w:firstRow="1" w:lastRow="0" w:firstColumn="0" w:lastColumn="0" w:noHBand="0" w:noVBand="0" w:val="0020"/>
        <w:tblCaption w:val="Table 2. Studies examining walking-specific accessibility"/>
      </w:tblPr>
      <w:tblGrid>
        <w:gridCol w:w="2376"/>
        <w:gridCol w:w="792"/>
        <w:gridCol w:w="792"/>
        <w:gridCol w:w="792"/>
        <w:gridCol w:w="792"/>
        <w:gridCol w:w="792"/>
        <w:gridCol w:w="792"/>
        <w:gridCol w:w="792"/>
      </w:tblGrid>
      <w:tr>
        <w:trPr>
          <w:tblHeader w:val="true"/>
        </w:trPr>
        <w:tc>
          <w:tcPr/>
          <w:p>
            <w:pPr>
              <w:pStyle w:val="Compact"/>
              <w:jc w:val="center"/>
            </w:pPr>
            <w:r>
              <w:rPr>
                <w:bCs/>
                <w:b/>
              </w:rPr>
              <w:t xml:space="preserve">Type of metric</w:t>
            </w:r>
          </w:p>
        </w:tc>
        <w:tc>
          <w:tcPr/>
          <w:p>
            <w:pPr>
              <w:pStyle w:val="Compact"/>
              <w:jc w:val="center"/>
            </w:pPr>
            <w:r>
              <w:rPr>
                <w:bCs/>
                <w:b/>
              </w:rPr>
              <w:t xml:space="preserve">Study</w:t>
            </w:r>
          </w:p>
        </w:tc>
        <w:tc>
          <w:tcPr/>
          <w:p>
            <w:pPr>
              <w:pStyle w:val="Compact"/>
              <w:jc w:val="center"/>
            </w:pPr>
            <w:r>
              <w:rPr>
                <w:bCs/>
                <w:b/>
              </w:rPr>
              <w:t xml:space="preserve">Measure</w:t>
            </w:r>
          </w:p>
        </w:tc>
        <w:tc>
          <w:tcPr/>
          <w:p>
            <w:pPr>
              <w:pStyle w:val="Compact"/>
              <w:jc w:val="center"/>
            </w:pPr>
            <w:r>
              <w:rPr>
                <w:bCs/>
                <w:b/>
              </w:rPr>
              <w:t xml:space="preserve">Travel time / distance threshold</w:t>
            </w:r>
          </w:p>
        </w:tc>
        <w:tc>
          <w:tcPr/>
          <w:p>
            <w:pPr>
              <w:pStyle w:val="Compact"/>
              <w:jc w:val="center"/>
            </w:pPr>
            <w:r>
              <w:rPr>
                <w:bCs/>
                <w:b/>
              </w:rPr>
              <w:t xml:space="preserve">Origins / Destinations</w:t>
            </w:r>
          </w:p>
        </w:tc>
        <w:tc>
          <w:tcPr/>
          <w:p>
            <w:pPr>
              <w:pStyle w:val="Compact"/>
              <w:jc w:val="center"/>
            </w:pPr>
            <w:r>
              <w:rPr>
                <w:bCs/>
                <w:b/>
              </w:rPr>
              <w:t xml:space="preserve">Geographic scale</w:t>
            </w:r>
          </w:p>
        </w:tc>
        <w:tc>
          <w:tcPr/>
          <w:p>
            <w:pPr>
              <w:pStyle w:val="Compact"/>
              <w:jc w:val="center"/>
            </w:pPr>
            <w:r>
              <w:rPr>
                <w:bCs/>
                <w:b/>
              </w:rPr>
              <w:t xml:space="preserve">Travel time / distance calculation</w:t>
            </w:r>
          </w:p>
        </w:tc>
        <w:tc>
          <w:tcPr/>
          <w:p>
            <w:pPr>
              <w:pStyle w:val="Compact"/>
              <w:jc w:val="left"/>
            </w:pPr>
            <w:r>
              <w:t xml:space="preserve">positive / normative implementations</w:t>
            </w:r>
          </w:p>
        </w:tc>
      </w:tr>
      <w:tr>
        <w:tc>
          <w:tcPr/>
          <w:p>
            <w:pPr>
              <w:pStyle w:val="Compact"/>
              <w:jc w:val="center"/>
            </w:pPr>
            <w:r>
              <w:t xml:space="preserve">Activity-based</w:t>
            </w:r>
          </w:p>
        </w:tc>
        <w:tc>
          <w:tcPr/>
          <w:p>
            <w:pPr>
              <w:pStyle w:val="Compact"/>
              <w:jc w:val="center"/>
            </w:pPr>
            <w:r>
              <w:t xml:space="preserve">Cheng, Caset et al. (2019)</w:t>
            </w:r>
          </w:p>
        </w:tc>
        <w:tc>
          <w:tcPr/>
          <w:p>
            <w:pPr>
              <w:pStyle w:val="Compact"/>
              <w:jc w:val="center"/>
            </w:pPr>
            <w:r>
              <w:t xml:space="preserve">Cumulative opportunities: chess/card rooms and urban parks for older and younger adults Park spaces weighted by their size</w:t>
            </w:r>
          </w:p>
        </w:tc>
        <w:tc>
          <w:tcPr/>
          <w:p>
            <w:pPr>
              <w:pStyle w:val="Compact"/>
              <w:jc w:val="center"/>
            </w:pPr>
            <w:r>
              <w:t xml:space="preserve">Adaptive distance thresholds (based on location and socio-economic variables)</w:t>
            </w:r>
          </w:p>
        </w:tc>
        <w:tc>
          <w:tcPr/>
          <w:p>
            <w:pPr>
              <w:pStyle w:val="Compact"/>
              <w:jc w:val="center"/>
            </w:pPr>
            <w:r>
              <w:t xml:space="preserve">locations from travel survey (origins) Parks and chess/card rooms (destinations)</w:t>
            </w:r>
          </w:p>
        </w:tc>
        <w:tc>
          <w:tcPr/>
          <w:p>
            <w:pPr>
              <w:pStyle w:val="Compact"/>
              <w:jc w:val="center"/>
            </w:pPr>
            <w:r>
              <w:t xml:space="preserve">Traffic analysis zones</w:t>
            </w:r>
          </w:p>
        </w:tc>
        <w:tc>
          <w:tcPr/>
          <w:p>
            <w:pPr>
              <w:pStyle w:val="Compact"/>
              <w:jc w:val="center"/>
            </w:pPr>
            <w:r>
              <w:t xml:space="preserve">Network distance</w:t>
            </w:r>
          </w:p>
        </w:tc>
        <w:tc>
          <w:tcPr/>
          <w:p>
            <w:pPr>
              <w:pStyle w:val="Compact"/>
              <w:jc w:val="left"/>
            </w:pPr>
            <w:r>
              <w:t xml:space="preserve">Positive</w:t>
            </w:r>
          </w:p>
        </w:tc>
      </w:tr>
      <w:tr>
        <w:tc>
          <w:tcPr/>
          <w:p>
            <w:pPr>
              <w:pStyle w:val="Compact"/>
            </w:pPr>
          </w:p>
        </w:tc>
        <w:tc>
          <w:tcPr/>
          <w:p>
            <w:pPr>
              <w:pStyle w:val="Compact"/>
              <w:jc w:val="center"/>
            </w:pPr>
            <w:r>
              <w:t xml:space="preserve">eyes, Páez et al. (2014)</w:t>
            </w:r>
          </w:p>
        </w:tc>
        <w:tc>
          <w:tcPr/>
          <w:p>
            <w:pPr>
              <w:pStyle w:val="Compact"/>
              <w:jc w:val="center"/>
            </w:pPr>
            <w:r>
              <w:t xml:space="preserve">Cumulative opportunities to urban parks for children parks spaces weighted by their size: 1. Accessibility based on all individual attributes from travel survey 2. Accessibility based on scenario profiles (gender, age, income,etc)</w:t>
            </w:r>
          </w:p>
        </w:tc>
        <w:tc>
          <w:tcPr/>
          <w:p>
            <w:pPr>
              <w:pStyle w:val="Compact"/>
              <w:jc w:val="center"/>
            </w:pPr>
            <w:r>
              <w:t xml:space="preserve">Based on statistical model of travel behavior</w:t>
            </w:r>
          </w:p>
        </w:tc>
        <w:tc>
          <w:tcPr/>
          <w:p>
            <w:pPr>
              <w:pStyle w:val="Compact"/>
              <w:jc w:val="center"/>
            </w:pPr>
            <w:r>
              <w:t xml:space="preserve">Locations from household travel survey Rasterized parks 25*25 m (destinations)</w:t>
            </w:r>
          </w:p>
        </w:tc>
        <w:tc>
          <w:tcPr/>
          <w:p>
            <w:pPr>
              <w:pStyle w:val="Compact"/>
              <w:jc w:val="center"/>
            </w:pPr>
            <w:r>
              <w:t xml:space="preserve">Dissemination areas (weighted average)</w:t>
            </w:r>
          </w:p>
        </w:tc>
        <w:tc>
          <w:tcPr/>
          <w:p>
            <w:pPr>
              <w:pStyle w:val="Compact"/>
              <w:jc w:val="center"/>
            </w:pPr>
            <w:r>
              <w:t xml:space="preserve">Euclidean distance</w:t>
            </w:r>
          </w:p>
        </w:tc>
        <w:tc>
          <w:tcPr/>
          <w:p>
            <w:pPr>
              <w:pStyle w:val="Compact"/>
              <w:jc w:val="left"/>
            </w:pPr>
            <w:r>
              <w:t xml:space="preserve">Normative</w:t>
            </w:r>
          </w:p>
        </w:tc>
      </w:tr>
      <w:tr>
        <w:tc>
          <w:tcPr/>
          <w:p>
            <w:pPr>
              <w:pStyle w:val="Compact"/>
            </w:pPr>
          </w:p>
        </w:tc>
        <w:tc>
          <w:tcPr/>
          <w:p>
            <w:pPr>
              <w:pStyle w:val="Compact"/>
              <w:jc w:val="center"/>
            </w:pPr>
            <w:r>
              <w:t xml:space="preserve">García-Palomares, Gutiérrez et al. (2013)</w:t>
            </w:r>
          </w:p>
        </w:tc>
        <w:tc>
          <w:tcPr/>
          <w:p>
            <w:pPr>
              <w:pStyle w:val="Compact"/>
              <w:jc w:val="center"/>
            </w:pPr>
            <w:r>
              <w:t xml:space="preserve">Access quality indicator for metro stations: population served Access by age group Distance decay function by age group</w:t>
            </w:r>
          </w:p>
        </w:tc>
        <w:tc>
          <w:tcPr/>
          <w:p>
            <w:pPr>
              <w:pStyle w:val="Compact"/>
              <w:jc w:val="center"/>
            </w:pPr>
            <w:r>
              <w:t xml:space="preserve">1500m &amp; Distance thresholds calculated for different age groups</w:t>
            </w:r>
          </w:p>
        </w:tc>
        <w:tc>
          <w:tcPr/>
          <w:p>
            <w:pPr>
              <w:pStyle w:val="Compact"/>
              <w:jc w:val="center"/>
            </w:pPr>
            <w:r>
              <w:t xml:space="preserve">Metro stations (origins) Transport-zone level populations</w:t>
            </w:r>
          </w:p>
        </w:tc>
        <w:tc>
          <w:tcPr/>
          <w:p>
            <w:pPr>
              <w:pStyle w:val="Compact"/>
              <w:jc w:val="center"/>
            </w:pPr>
            <w:r>
              <w:t xml:space="preserve">1500m metro station catchment areas</w:t>
            </w:r>
          </w:p>
        </w:tc>
        <w:tc>
          <w:tcPr/>
          <w:p>
            <w:pPr>
              <w:pStyle w:val="Compact"/>
              <w:jc w:val="center"/>
            </w:pPr>
            <w:r>
              <w:t xml:space="preserve">Network distance</w:t>
            </w:r>
          </w:p>
        </w:tc>
        <w:tc>
          <w:tcPr/>
          <w:p>
            <w:pPr>
              <w:pStyle w:val="Compact"/>
              <w:jc w:val="left"/>
            </w:pPr>
            <w:r>
              <w:t xml:space="preserve">Normative</w:t>
            </w:r>
          </w:p>
        </w:tc>
      </w:tr>
      <w:tr>
        <w:tc>
          <w:tcPr/>
          <w:p>
            <w:pPr>
              <w:pStyle w:val="Compact"/>
            </w:pPr>
          </w:p>
        </w:tc>
        <w:tc>
          <w:tcPr/>
          <w:p>
            <w:pPr>
              <w:pStyle w:val="Compact"/>
              <w:jc w:val="center"/>
            </w:pPr>
            <w:r>
              <w:t xml:space="preserve">Papa, Carpentieri et al. (2018)</w:t>
            </w:r>
          </w:p>
        </w:tc>
        <w:tc>
          <w:tcPr/>
          <w:p>
            <w:pPr>
              <w:pStyle w:val="Compact"/>
              <w:jc w:val="center"/>
            </w:pPr>
            <w:r>
              <w:t xml:space="preserve">Contour accessibility measure: bus catchment areas Number of inhabitants served by age group Catchment areas calculated with and without network slope</w:t>
            </w:r>
          </w:p>
        </w:tc>
        <w:tc>
          <w:tcPr/>
          <w:p>
            <w:pPr>
              <w:pStyle w:val="Compact"/>
              <w:jc w:val="center"/>
            </w:pPr>
            <w:r>
              <w:t xml:space="preserve">Dependent on frequency of bus service</w:t>
            </w:r>
          </w:p>
        </w:tc>
        <w:tc>
          <w:tcPr/>
          <w:p>
            <w:pPr>
              <w:pStyle w:val="Compact"/>
              <w:jc w:val="center"/>
            </w:pPr>
            <w:r>
              <w:t xml:space="preserve">Bus stops</w:t>
            </w:r>
          </w:p>
        </w:tc>
        <w:tc>
          <w:tcPr/>
          <w:p>
            <w:pPr>
              <w:pStyle w:val="Compact"/>
              <w:jc w:val="center"/>
            </w:pPr>
            <w:r>
              <w:t xml:space="preserve">Hexagonal cells 50m</w:t>
            </w:r>
          </w:p>
        </w:tc>
        <w:tc>
          <w:tcPr/>
          <w:p>
            <w:pPr>
              <w:pStyle w:val="Compact"/>
              <w:jc w:val="center"/>
            </w:pPr>
            <w:r>
              <w:t xml:space="preserve">Network distance Walking speeds dependent on age</w:t>
            </w:r>
          </w:p>
        </w:tc>
        <w:tc>
          <w:tcPr/>
          <w:p>
            <w:pPr>
              <w:pStyle w:val="Compact"/>
              <w:jc w:val="left"/>
            </w:pPr>
            <w:r>
              <w:t xml:space="preserve">Normative</w:t>
            </w:r>
          </w:p>
        </w:tc>
      </w:tr>
      <w:tr>
        <w:tc>
          <w:tcPr/>
          <w:p>
            <w:pPr>
              <w:pStyle w:val="Compact"/>
              <w:jc w:val="center"/>
            </w:pPr>
            <w:r>
              <w:t xml:space="preserve">Utility-based</w:t>
            </w:r>
          </w:p>
        </w:tc>
        <w:tc>
          <w:tcPr/>
          <w:p>
            <w:pPr>
              <w:pStyle w:val="Compact"/>
              <w:jc w:val="center"/>
            </w:pPr>
            <w:r>
              <w:t xml:space="preserve">Blecic, Ivan, et 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(2013)</w:t>
            </w:r>
          </w:p>
        </w:tc>
        <w:tc>
          <w:tcPr/>
          <w:p>
            <w:pPr>
              <w:pStyle w:val="Compact"/>
              <w:jc w:val="center"/>
            </w:pPr>
            <w:r>
              <w:t xml:space="preserve">modeling how residents from various points in space can walk to places of interest in an urban area using utility based accessibility</w:t>
            </w:r>
          </w:p>
        </w:tc>
        <w:tc>
          <w:tcPr/>
          <w:p>
            <w:pPr>
              <w:pStyle w:val="Compact"/>
            </w:pPr>
          </w:p>
        </w:tc>
        <w:tc>
          <w:tcPr/>
          <w:p>
            <w:pPr>
              <w:pStyle w:val="Compact"/>
              <w:jc w:val="center"/>
            </w:pPr>
            <w:r>
              <w:t xml:space="preserve">all the points of origin of trips to accessible destinations</w:t>
            </w:r>
          </w:p>
        </w:tc>
        <w:tc>
          <w:tcPr/>
          <w:p>
            <w:pPr>
              <w:pStyle w:val="Compact"/>
              <w:jc w:val="center"/>
            </w:pPr>
            <w:r>
              <w:t xml:space="preserve">creating 100 m x 100 m cell grids that covering the whole map</w:t>
            </w:r>
          </w:p>
        </w:tc>
        <w:tc>
          <w:tcPr/>
          <w:p>
            <w:pPr>
              <w:pStyle w:val="Compact"/>
              <w:jc w:val="center"/>
            </w:pPr>
            <w:r>
              <w:t xml:space="preserve">Network distance</w:t>
            </w:r>
          </w:p>
        </w:tc>
        <w:tc>
          <w:tcPr/>
          <w:p>
            <w:pPr>
              <w:pStyle w:val="Compact"/>
              <w:jc w:val="center"/>
            </w:pPr>
            <w:r>
              <w:t xml:space="preserve">Normative</w:t>
            </w:r>
          </w:p>
        </w:tc>
        <w:tc>
          <w:tcPr/>
          <w:p>
            <w:pPr>
              <w:pStyle w:val="Compact"/>
            </w:pPr>
          </w:p>
        </w:tc>
      </w:tr>
    </w:tbl>
    <w:bookmarkEnd w:id="29"/>
    <w:bookmarkStart w:id="30" w:name="walkability-measures"/>
    <w:p>
      <w:pPr>
        <w:pStyle w:val="Heading5"/>
      </w:pPr>
      <w:r>
        <w:t xml:space="preserve">Walkability measures</w:t>
      </w:r>
    </w:p>
    <w:p>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w:t>
      </w:r>
      <w:r>
        <w:t xml:space="preserve"> </w:t>
      </w:r>
      <w:r>
        <w:t xml:space="preserve">(L. D. Frank, Andresen, and Schmid 2004; L. D. Frank et al. 2006)</w:t>
      </w:r>
      <w:r>
        <w:t xml:space="preserve"> </w:t>
      </w:r>
      <w:r>
        <w:t xml:space="preserve">who walk to different destinations and for different purposes (i.e., from a clear origin to a clear set of destinations)</w:t>
      </w:r>
      <w:r>
        <w:t xml:space="preserve"> </w:t>
      </w:r>
      <w:r>
        <w:t xml:space="preserve">(Saelens and Handy 2008; Blečić et al. 2015; D. S. Vale, Saraiva, and Pereira 2016; Dovey and Pafka 2020)</w:t>
      </w:r>
      <w:r>
        <w:t xml:space="preserve">. There is a difference between gravity- and distance-based accessibility measures and the walkability index so that for measuring walkability, area characteristics around the origins and destinations are also taken into account in the calculation, but still, this index does not consider route characteristics.</w:t>
      </w:r>
    </w:p>
    <w:p>
      <w:pPr>
        <w:pStyle w:val="BodyText"/>
      </w:pPr>
      <w:r>
        <w:t xml:space="preserve">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w:t>
      </w:r>
      <w:r>
        <w:t xml:space="preserve"> </w:t>
      </w:r>
      <w:r>
        <w:t xml:space="preserve">(Grasser et al. 2013)</w:t>
      </w:r>
      <w:r>
        <w:t xml:space="preserve">.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t>
      </w:r>
      <w:r>
        <w:t xml:space="preserve">(Weiss, Maantay, and Fahs 2010)</w:t>
      </w:r>
      <w:r>
        <w:t xml:space="preserve">.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w:t>
      </w:r>
      <w:r>
        <w:t xml:space="preserve">Duncan et al. (2011)</w:t>
      </w:r>
      <w:r>
        <w:t xml:space="preserve">; WalkScore 2020].</w:t>
      </w:r>
    </w:p>
    <w:p>
      <w:pPr>
        <w:pStyle w:val="BodyText"/>
      </w:pPr>
      <w:r>
        <w:t xml:space="preserve">most of the studies assessed walkability using two Frank’s index and walk score</w:t>
      </w:r>
      <w:r>
        <w:t xml:space="preserve"> </w:t>
      </w:r>
      <w:r>
        <w:t xml:space="preserve">(L. D. Frank et al. 2005, 2006, 2010; D. S. Vale, Saraiva, and Pereira 2016)</w:t>
      </w:r>
      <w:r>
        <w:t xml:space="preserve">.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p>
      <w:pPr>
        <w:pStyle w:val="TableCaption"/>
      </w:pPr>
      <w:r>
        <w:rPr>
          <w:bCs/>
          <w:b/>
        </w:rPr>
        <w:t xml:space="preserve">Table 3.</w:t>
      </w:r>
      <w:r>
        <w:t xml:space="preserve"> </w:t>
      </w:r>
      <w:r>
        <w:t xml:space="preserve">Studies examining walkability</w:t>
      </w:r>
    </w:p>
    <w:tbl>
      <w:tblPr>
        <w:tblStyle w:val="Table"/>
        <w:tblW w:type="pct" w:w="5150"/>
        <w:tblLook w:firstRow="1" w:lastRow="0" w:firstColumn="0" w:lastColumn="0" w:noHBand="0" w:noVBand="0" w:val="0020"/>
        <w:tblCaption w:val="Table 3. Studies examining walkability"/>
      </w:tblPr>
      <w:tblGrid>
        <w:gridCol w:w="3009"/>
        <w:gridCol w:w="1029"/>
        <w:gridCol w:w="1029"/>
        <w:gridCol w:w="1029"/>
        <w:gridCol w:w="1029"/>
        <w:gridCol w:w="1029"/>
      </w:tblGrid>
      <w:tr>
        <w:trPr>
          <w:tblHeader w:val="true"/>
        </w:trPr>
        <w:tc>
          <w:tcPr/>
          <w:p>
            <w:pPr>
              <w:pStyle w:val="Compact"/>
              <w:jc w:val="left"/>
            </w:pPr>
            <w:r>
              <w:rPr>
                <w:bCs/>
                <w:b/>
              </w:rPr>
              <w:t xml:space="preserve">Methods</w:t>
            </w:r>
          </w:p>
        </w:tc>
        <w:tc>
          <w:tcPr/>
          <w:p>
            <w:pPr>
              <w:pStyle w:val="Compact"/>
              <w:jc w:val="left"/>
            </w:pPr>
            <w:r>
              <w:rPr>
                <w:bCs/>
                <w:b/>
              </w:rPr>
              <w:t xml:space="preserve">Author</w:t>
            </w:r>
          </w:p>
        </w:tc>
        <w:tc>
          <w:tcPr/>
          <w:p>
            <w:pPr>
              <w:pStyle w:val="Compact"/>
              <w:jc w:val="left"/>
            </w:pPr>
            <w:r>
              <w:rPr>
                <w:bCs/>
                <w:b/>
              </w:rPr>
              <w:t xml:space="preserve">Variables</w:t>
            </w:r>
          </w:p>
        </w:tc>
        <w:tc>
          <w:tcPr/>
          <w:p>
            <w:pPr>
              <w:pStyle w:val="Compact"/>
              <w:jc w:val="left"/>
            </w:pPr>
            <w:r>
              <w:rPr>
                <w:bCs/>
                <w:b/>
              </w:rPr>
              <w:t xml:space="preserve">Data</w:t>
            </w:r>
          </w:p>
        </w:tc>
        <w:tc>
          <w:tcPr/>
          <w:p>
            <w:pPr>
              <w:pStyle w:val="Compact"/>
              <w:jc w:val="left"/>
            </w:pPr>
            <w:r>
              <w:rPr>
                <w:bCs/>
                <w:b/>
              </w:rPr>
              <w:t xml:space="preserve">Descriptions</w:t>
            </w:r>
          </w:p>
        </w:tc>
        <w:tc>
          <w:tcPr/>
          <w:p>
            <w:pPr>
              <w:pStyle w:val="Compact"/>
              <w:jc w:val="left"/>
            </w:pPr>
            <w:r>
              <w:t xml:space="preserve">positive / normative implementations</w:t>
            </w:r>
          </w:p>
        </w:tc>
      </w:tr>
      <w:tr>
        <w:tc>
          <w:tcPr/>
          <w:p>
            <w:pPr>
              <w:pStyle w:val="Compact"/>
              <w:jc w:val="left"/>
            </w:pPr>
            <w:r>
              <w:t xml:space="preserve">Methods based on a theory-driven approach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Frank’s Walkability Index</w:t>
            </w:r>
          </w:p>
        </w:tc>
        <w:tc>
          <w:tcPr/>
          <w:p>
            <w:pPr>
              <w:pStyle w:val="Compact"/>
              <w:jc w:val="left"/>
            </w:pPr>
            <w:r>
              <w:t xml:space="preserve">Frank, Schmid et al. (2005), Frank, Sallis et al. (2010)</w:t>
            </w:r>
          </w:p>
        </w:tc>
        <w:tc>
          <w:tcPr/>
          <w:p>
            <w:pPr>
              <w:pStyle w:val="Compact"/>
              <w:jc w:val="left"/>
            </w:pPr>
            <w:r>
              <w:t xml:space="preserve">Net residential/ Population density</w:t>
            </w:r>
          </w:p>
        </w:tc>
        <w:tc>
          <w:tcPr/>
          <w:p>
            <w:pPr>
              <w:pStyle w:val="Compact"/>
              <w:jc w:val="left"/>
            </w:pPr>
            <w:r>
              <w:t xml:space="preserve">· travel data from both Census Journey to Work for both regions</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Household Travel Survey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census-based demographic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Manaugh and El-Geneidy (2011)</w:t>
            </w:r>
          </w:p>
        </w:tc>
        <w:tc>
          <w:tcPr/>
          <w:p>
            <w:pPr>
              <w:pStyle w:val="Compact"/>
              <w:jc w:val="left"/>
            </w:pPr>
            <w:r>
              <w:t xml:space="preserve">· Net residential/ Population density</w:t>
            </w:r>
          </w:p>
        </w:tc>
        <w:tc>
          <w:tcPr/>
          <w:p>
            <w:pPr>
              <w:pStyle w:val="Compact"/>
              <w:jc w:val="left"/>
            </w:pPr>
            <w:r>
              <w:t xml:space="preserve">· Retail information (shopping and school) was obtained from the Dun and Bradstreet business database and combined with a weighted intersection index.</w:t>
            </w:r>
          </w:p>
        </w:tc>
        <w:tc>
          <w:tcPr/>
          <w:p>
            <w:pPr>
              <w:pStyle w:val="Compact"/>
              <w:jc w:val="left"/>
            </w:pPr>
            <w:r>
              <w:t xml:space="preserve">· nine models were generated for each trip purpose using a different walkability measure in every run (Walkscore, walk opportunities, the WI at four scales and three sizes for the pedshed connectivity measure)</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used a database of over 100,000 postal code points from Walkscore.[1]</w:t>
            </w:r>
          </w:p>
        </w:tc>
        <w:tc>
          <w:tcPr/>
          <w:p>
            <w:pPr>
              <w:pStyle w:val="Compact"/>
              <w:jc w:val="left"/>
            </w:pPr>
            <w:r>
              <w:t xml:space="preserve">· The walkability index generated at four scales: 400, 800 and 1200 m network buffers as well as at the census tract level.</w:t>
            </w: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Household level data and travel behavior characteristics are obtained from the 2003 Montréal Origin–Destination survey.</w:t>
            </w:r>
          </w:p>
        </w:tc>
        <w:tc>
          <w:tcPr/>
          <w:p>
            <w:pPr>
              <w:pStyle w:val="Compact"/>
              <w:jc w:val="left"/>
            </w:pPr>
            <w:r>
              <w:t xml:space="preserve">· used a simple gravity-based measure to weight nearby locations higher than those more distant.</w:t>
            </w: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jc w:val="left"/>
            </w:pPr>
            <w:r>
              <w:t xml:space="preserve">· census tract level demographic data derived from Statistics Canada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Adhikari, Delgado-Ron et al. (2021)</w:t>
            </w:r>
          </w:p>
        </w:tc>
        <w:tc>
          <w:tcPr/>
          <w:p>
            <w:pPr>
              <w:pStyle w:val="Compact"/>
              <w:jc w:val="left"/>
            </w:pPr>
            <w:r>
              <w:t xml:space="preserve">· residential density</w:t>
            </w:r>
          </w:p>
        </w:tc>
        <w:tc>
          <w:tcPr/>
          <w:p>
            <w:pPr>
              <w:pStyle w:val="Compact"/>
              <w:jc w:val="left"/>
            </w:pPr>
            <w:r>
              <w:t xml:space="preserve">· demographic characteristics of participants</w:t>
            </w:r>
          </w:p>
        </w:tc>
        <w:tc>
          <w:tcPr/>
          <w:p>
            <w:pPr>
              <w:pStyle w:val="Compact"/>
              <w:jc w:val="left"/>
            </w:pPr>
            <w:r>
              <w:t xml:space="preserve">· The walkability index uses 1 km pedestrian</w:t>
            </w:r>
            <w:r>
              <w:t xml:space="preserve"> </w:t>
            </w:r>
            <w:r>
              <w:t xml:space="preserve">“</w:t>
            </w:r>
            <w:r>
              <w:t xml:space="preserve">walksheds</w:t>
            </w:r>
            <w:r>
              <w:t xml:space="preserve">”</w:t>
            </w:r>
            <w:r>
              <w:t xml:space="preserve"> </w:t>
            </w:r>
            <w:r>
              <w:t xml:space="preserve">that map pedestrian-accessible roads around each postal code centroid.</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the commercial floor-to-area ratio</w:t>
            </w:r>
          </w:p>
        </w:tc>
        <w:tc>
          <w:tcPr/>
          <w:p>
            <w:pPr>
              <w:pStyle w:val="Compact"/>
            </w:pPr>
          </w:p>
        </w:tc>
        <w:tc>
          <w:tcPr/>
          <w:p>
            <w:pPr>
              <w:pStyle w:val="Compact"/>
              <w:jc w:val="left"/>
            </w:pPr>
            <w:r>
              <w:t xml:space="preserve">· Each walkshed corresponds to approximately 10–15 min of walking time, a commonly used time frame to assess perceived proximity to amenities and services.</w:t>
            </w:r>
          </w:p>
        </w:tc>
        <w:tc>
          <w:tcPr/>
          <w:p>
            <w:pPr>
              <w:pStyle w:val="Compact"/>
            </w:pPr>
          </w:p>
        </w:tc>
      </w:tr>
      <w:tr>
        <w:tc>
          <w:tcPr/>
          <w:p>
            <w:pPr>
              <w:pStyle w:val="Compact"/>
            </w:pPr>
          </w:p>
        </w:tc>
        <w:tc>
          <w:tcPr/>
          <w:p>
            <w:pPr>
              <w:pStyle w:val="Compact"/>
            </w:pPr>
          </w:p>
        </w:tc>
        <w:tc>
          <w:tcPr/>
          <w:p>
            <w:pPr>
              <w:pStyle w:val="Compact"/>
              <w:jc w:val="left"/>
            </w:pPr>
            <w:r>
              <w:t xml:space="preserve">·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Azmi, Karim et al. (2013)</w:t>
            </w:r>
          </w:p>
        </w:tc>
        <w:tc>
          <w:tcPr/>
          <w:p>
            <w:pPr>
              <w:pStyle w:val="Compact"/>
              <w:jc w:val="left"/>
            </w:pPr>
            <w:r>
              <w:t xml:space="preserve">· Mixed-use planning</w:t>
            </w:r>
          </w:p>
        </w:tc>
        <w:tc>
          <w:tcPr/>
          <w:p>
            <w:pPr>
              <w:pStyle w:val="Compact"/>
              <w:jc w:val="left"/>
            </w:pPr>
            <w:r>
              <w:t xml:space="preserve">· data was gathered by using the questionnaire survey</w:t>
            </w:r>
          </w:p>
        </w:tc>
        <w:tc>
          <w:tcPr/>
          <w:p>
            <w:pPr>
              <w:pStyle w:val="Compact"/>
              <w:jc w:val="left"/>
            </w:pPr>
            <w:r>
              <w:t xml:space="preserve">· the type of community facilities or services selected was based on the availability of the services provided within a radius of 400 meter (approximately 5 minute of walking)</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Density</w:t>
            </w:r>
          </w:p>
        </w:tc>
        <w:tc>
          <w:tcPr/>
          <w:p>
            <w:pPr>
              <w:pStyle w:val="Compact"/>
              <w:jc w:val="left"/>
            </w:pPr>
            <w:r>
              <w:t xml:space="preserve">· asking the accessibility of residents walk from their home to community facilities or services provided within the walkable catchment</w:t>
            </w:r>
          </w:p>
        </w:tc>
        <w:tc>
          <w:tcPr/>
          <w:p>
            <w:pPr>
              <w:pStyle w:val="Compact"/>
              <w:jc w:val="left"/>
            </w:pPr>
            <w:r>
              <w:t xml:space="preserve">· There are a total of 13 community facilities and services such as grocery store/supermarket, park or recreational facility (indoor or outdoor), elementary school, other school, community center, restaurant or other places, bank, medical clinic/pharmacy, personal shop (laundry, salon), workplace, bus stop, post office and place of worship.</w:t>
            </w:r>
          </w:p>
        </w:tc>
        <w:tc>
          <w:tcPr/>
          <w:p>
            <w:pPr>
              <w:pStyle w:val="Compact"/>
            </w:pPr>
          </w:p>
        </w:tc>
      </w:tr>
      <w:tr>
        <w:tc>
          <w:tcPr/>
          <w:p>
            <w:pPr>
              <w:pStyle w:val="Compact"/>
            </w:pPr>
          </w:p>
        </w:tc>
        <w:tc>
          <w:tcPr/>
          <w:p>
            <w:pPr>
              <w:pStyle w:val="Compact"/>
            </w:pPr>
          </w:p>
        </w:tc>
        <w:tc>
          <w:tcPr/>
          <w:p>
            <w:pPr>
              <w:pStyle w:val="Compact"/>
              <w:jc w:val="left"/>
            </w:pPr>
            <w:r>
              <w:t xml:space="preserve">· Street connectivity</w:t>
            </w:r>
          </w:p>
        </w:tc>
        <w:tc>
          <w:tcPr/>
          <w:p>
            <w:pPr>
              <w:pStyle w:val="Compact"/>
              <w:jc w:val="left"/>
            </w:pPr>
            <w:r>
              <w:t xml:space="preserve">· indicated the amount of time they thought it would take for them to walk from their home to the nearest destination.</w:t>
            </w:r>
          </w:p>
        </w:tc>
        <w:tc>
          <w:tcPr/>
          <w:p>
            <w:pPr>
              <w:pStyle w:val="Compact"/>
            </w:pPr>
          </w:p>
        </w:tc>
        <w:tc>
          <w:tcPr/>
          <w:p>
            <w:pPr>
              <w:pStyle w:val="Compact"/>
            </w:pPr>
          </w:p>
        </w:tc>
      </w:tr>
      <w:tr>
        <w:tc>
          <w:tcPr/>
          <w:p>
            <w:pPr>
              <w:pStyle w:val="Compact"/>
            </w:pPr>
          </w:p>
        </w:tc>
        <w:tc>
          <w:tcPr/>
          <w:p>
            <w:pPr>
              <w:pStyle w:val="Compact"/>
              <w:jc w:val="left"/>
            </w:pPr>
            <w:r>
              <w:t xml:space="preserve">Liao, van den Berg et al. (2020)</w:t>
            </w:r>
          </w:p>
        </w:tc>
        <w:tc>
          <w:tcPr/>
          <w:p>
            <w:pPr>
              <w:pStyle w:val="Compact"/>
              <w:jc w:val="left"/>
            </w:pPr>
            <w:r>
              <w:t xml:space="preserve">· The variables of this section are divided into four parts:</w:t>
            </w:r>
          </w:p>
        </w:tc>
        <w:tc>
          <w:tcPr/>
          <w:p>
            <w:pPr>
              <w:pStyle w:val="Compact"/>
              <w:jc w:val="left"/>
            </w:pPr>
            <w:r>
              <w:t xml:space="preserve">· as a source of walking frequency data, the Dutch national travel survey.</w:t>
            </w:r>
          </w:p>
        </w:tc>
        <w:tc>
          <w:tcPr/>
          <w:p>
            <w:pPr>
              <w:pStyle w:val="Compact"/>
              <w:jc w:val="left"/>
            </w:pPr>
            <w:r>
              <w:t xml:space="preserve">· density variables: population density, intersection density, and business property density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ü density</w:t>
            </w:r>
          </w:p>
        </w:tc>
        <w:tc>
          <w:tcPr/>
          <w:p>
            <w:pPr>
              <w:pStyle w:val="Compact"/>
              <w:jc w:val="left"/>
            </w:pPr>
            <w:r>
              <w:t xml:space="preserve">· neighborhood data as a source for socio-demographic and physical neighborhood variables and used as control variables include gender, age, income status, work status, household status, and migration background.</w:t>
            </w:r>
          </w:p>
        </w:tc>
        <w:tc>
          <w:tcPr/>
          <w:p>
            <w:pPr>
              <w:pStyle w:val="Compact"/>
              <w:jc w:val="left"/>
            </w:pPr>
            <w:r>
              <w:t xml:space="preserve">· facilities variables: a range of facilities the distance to the nearest facility (average distance from the center of the neighborhood) and the number of facilities available within a 1 km radius (from the center of the neighborhood)</w:t>
            </w:r>
          </w:p>
        </w:tc>
        <w:tc>
          <w:tcPr/>
          <w:p>
            <w:pPr>
              <w:pStyle w:val="Compact"/>
            </w:pPr>
          </w:p>
        </w:tc>
      </w:tr>
      <w:tr>
        <w:tc>
          <w:tcPr/>
          <w:p>
            <w:pPr>
              <w:pStyle w:val="Compact"/>
            </w:pPr>
          </w:p>
        </w:tc>
        <w:tc>
          <w:tcPr/>
          <w:p>
            <w:pPr>
              <w:pStyle w:val="Compact"/>
            </w:pPr>
          </w:p>
        </w:tc>
        <w:tc>
          <w:tcPr/>
          <w:p>
            <w:pPr>
              <w:pStyle w:val="Compact"/>
              <w:jc w:val="left"/>
            </w:pPr>
            <w:r>
              <w:t xml:space="preserve">ü facilities</w:t>
            </w:r>
          </w:p>
        </w:tc>
        <w:tc>
          <w:tcPr/>
          <w:p>
            <w:pPr>
              <w:pStyle w:val="Compact"/>
              <w:jc w:val="left"/>
            </w:pPr>
            <w:r>
              <w:t xml:space="preserve">· All walkability variables were derived from the Esri-open postcode plane and the CBS data.</w:t>
            </w:r>
          </w:p>
        </w:tc>
        <w:tc>
          <w:tcPr/>
          <w:p>
            <w:pPr>
              <w:pStyle w:val="Compact"/>
              <w:jc w:val="left"/>
            </w:pPr>
            <w:r>
              <w:t xml:space="preserve">· green space variables: total area of different types of open green space and recreational space.</w:t>
            </w:r>
          </w:p>
        </w:tc>
        <w:tc>
          <w:tcPr/>
          <w:p>
            <w:pPr>
              <w:pStyle w:val="Compact"/>
            </w:pPr>
          </w:p>
        </w:tc>
      </w:tr>
      <w:tr>
        <w:tc>
          <w:tcPr/>
          <w:p>
            <w:pPr>
              <w:pStyle w:val="Compact"/>
            </w:pPr>
          </w:p>
        </w:tc>
        <w:tc>
          <w:tcPr/>
          <w:p>
            <w:pPr>
              <w:pStyle w:val="Compact"/>
            </w:pPr>
          </w:p>
        </w:tc>
        <w:tc>
          <w:tcPr/>
          <w:p>
            <w:pPr>
              <w:pStyle w:val="Compact"/>
              <w:jc w:val="left"/>
            </w:pPr>
            <w:r>
              <w:t xml:space="preserve">ü green space</w:t>
            </w:r>
          </w:p>
        </w:tc>
        <w:tc>
          <w:tcPr/>
          <w:p>
            <w:pPr>
              <w:pStyle w:val="Compact"/>
            </w:pPr>
          </w:p>
        </w:tc>
        <w:tc>
          <w:tcPr/>
          <w:p>
            <w:pPr>
              <w:pStyle w:val="Compact"/>
              <w:jc w:val="left"/>
            </w:pPr>
            <w:r>
              <w:t xml:space="preserve">· land use mix variables: the separate lower-level land-use variables in the form of a percentage of the total land covered by the land-use were used</w:t>
            </w:r>
          </w:p>
        </w:tc>
        <w:tc>
          <w:tcPr/>
          <w:p>
            <w:pPr>
              <w:pStyle w:val="Compact"/>
            </w:pPr>
          </w:p>
        </w:tc>
      </w:tr>
      <w:tr>
        <w:tc>
          <w:tcPr/>
          <w:p>
            <w:pPr>
              <w:pStyle w:val="Compact"/>
            </w:pPr>
          </w:p>
        </w:tc>
        <w:tc>
          <w:tcPr/>
          <w:p>
            <w:pPr>
              <w:pStyle w:val="Compact"/>
            </w:pPr>
          </w:p>
        </w:tc>
        <w:tc>
          <w:tcPr/>
          <w:p>
            <w:pPr>
              <w:pStyle w:val="Compact"/>
              <w:jc w:val="left"/>
            </w:pPr>
            <w:r>
              <w:t xml:space="preserve">ü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Arellana, Alvarez et al. (2021)</w:t>
            </w:r>
          </w:p>
        </w:tc>
        <w:tc>
          <w:tcPr/>
          <w:p>
            <w:pPr>
              <w:pStyle w:val="Compact"/>
              <w:jc w:val="left"/>
            </w:pPr>
            <w:r>
              <w:t xml:space="preserve">· intersection density</w:t>
            </w:r>
          </w:p>
        </w:tc>
        <w:tc>
          <w:tcPr/>
          <w:p>
            <w:pPr>
              <w:pStyle w:val="Compact"/>
              <w:jc w:val="left"/>
            </w:pPr>
            <w:r>
              <w:t xml:space="preserve">· latest household Origin Destination survey.</w:t>
            </w:r>
          </w:p>
        </w:tc>
        <w:tc>
          <w:tcPr/>
          <w:p>
            <w:pPr>
              <w:pStyle w:val="Compact"/>
              <w:jc w:val="left"/>
            </w:pPr>
            <w:r>
              <w:t xml:space="preserve">· Calculated potential accessibility.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land use entropy score</w:t>
            </w:r>
          </w:p>
        </w:tc>
        <w:tc>
          <w:tcPr/>
          <w:p>
            <w:pPr>
              <w:pStyle w:val="Compact"/>
              <w:jc w:val="left"/>
            </w:pPr>
            <w:r>
              <w:t xml:space="preserve">· Land use data, the location of commercial zones, the population, and the characteristics of the walking trips from each zone (TAZ).</w:t>
            </w:r>
          </w:p>
        </w:tc>
        <w:tc>
          <w:tcPr/>
          <w:p>
            <w:pPr>
              <w:pStyle w:val="Compact"/>
              <w:jc w:val="left"/>
            </w:pPr>
            <w:r>
              <w:t xml:space="preserve">· The measure evaluates the access to shop, job, study, and institutional opportunities</w:t>
            </w:r>
          </w:p>
        </w:tc>
        <w:tc>
          <w:tcPr/>
          <w:p>
            <w:pPr>
              <w:pStyle w:val="Compact"/>
            </w:pPr>
          </w:p>
        </w:tc>
      </w:tr>
      <w:tr>
        <w:tc>
          <w:tcPr/>
          <w:p>
            <w:pPr>
              <w:pStyle w:val="Compact"/>
            </w:pPr>
          </w:p>
        </w:tc>
        <w:tc>
          <w:tcPr/>
          <w:p>
            <w:pPr>
              <w:pStyle w:val="Compact"/>
            </w:pPr>
          </w:p>
        </w:tc>
        <w:tc>
          <w:tcPr/>
          <w:p>
            <w:pPr>
              <w:pStyle w:val="Compact"/>
              <w:jc w:val="left"/>
            </w:pPr>
            <w:r>
              <w:t xml:space="preserve">· population density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commercial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Ruiz-Padillo, Pasqual et al. (2018)</w:t>
            </w:r>
          </w:p>
        </w:tc>
        <w:tc>
          <w:tcPr/>
          <w:p>
            <w:pPr>
              <w:pStyle w:val="Compact"/>
              <w:jc w:val="left"/>
            </w:pPr>
            <w:r>
              <w:t xml:space="preserve">· Public Security</w:t>
            </w:r>
          </w:p>
        </w:tc>
        <w:tc>
          <w:tcPr/>
          <w:p>
            <w:pPr>
              <w:pStyle w:val="Compact"/>
              <w:jc w:val="left"/>
            </w:pPr>
            <w:r>
              <w:t xml:space="preserve">· Census tracts were used that including size and number of households</w:t>
            </w:r>
          </w:p>
        </w:tc>
        <w:tc>
          <w:tcPr/>
          <w:p>
            <w:pPr>
              <w:pStyle w:val="Compact"/>
              <w:jc w:val="left"/>
            </w:pPr>
            <w:r>
              <w:t xml:space="preserve">all census tracts were classified according to three variables:</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Traffic Safety</w:t>
            </w:r>
          </w:p>
        </w:tc>
        <w:tc>
          <w:tcPr/>
          <w:p>
            <w:pPr>
              <w:pStyle w:val="Compact"/>
            </w:pPr>
          </w:p>
        </w:tc>
        <w:tc>
          <w:tcPr/>
          <w:p>
            <w:pPr>
              <w:pStyle w:val="Compact"/>
              <w:jc w:val="left"/>
            </w:pPr>
            <w:r>
              <w:t xml:space="preserve">ü motorization rate</w:t>
            </w:r>
          </w:p>
        </w:tc>
        <w:tc>
          <w:tcPr/>
          <w:p>
            <w:pPr>
              <w:pStyle w:val="Compact"/>
            </w:pPr>
          </w:p>
        </w:tc>
      </w:tr>
      <w:tr>
        <w:tc>
          <w:tcPr/>
          <w:p>
            <w:pPr>
              <w:pStyle w:val="Compact"/>
            </w:pPr>
          </w:p>
        </w:tc>
        <w:tc>
          <w:tcPr/>
          <w:p>
            <w:pPr>
              <w:pStyle w:val="Compact"/>
            </w:pPr>
          </w:p>
        </w:tc>
        <w:tc>
          <w:tcPr/>
          <w:p>
            <w:pPr>
              <w:pStyle w:val="Compact"/>
              <w:jc w:val="left"/>
            </w:pPr>
            <w:r>
              <w:t xml:space="preserve">· Convenience and attractiveness:</w:t>
            </w:r>
          </w:p>
        </w:tc>
        <w:tc>
          <w:tcPr/>
          <w:p>
            <w:pPr>
              <w:pStyle w:val="Compact"/>
            </w:pPr>
          </w:p>
        </w:tc>
        <w:tc>
          <w:tcPr/>
          <w:p>
            <w:pPr>
              <w:pStyle w:val="Compact"/>
              <w:jc w:val="left"/>
            </w:pPr>
            <w:r>
              <w:t xml:space="preserve">ü density of commercial and service establishments</w:t>
            </w:r>
          </w:p>
        </w:tc>
        <w:tc>
          <w:tcPr/>
          <w:p>
            <w:pPr>
              <w:pStyle w:val="Compact"/>
            </w:pPr>
          </w:p>
        </w:tc>
      </w:tr>
      <w:tr>
        <w:tc>
          <w:tcPr/>
          <w:p>
            <w:pPr>
              <w:pStyle w:val="Compact"/>
            </w:pPr>
          </w:p>
        </w:tc>
        <w:tc>
          <w:tcPr/>
          <w:p>
            <w:pPr>
              <w:pStyle w:val="Compact"/>
            </w:pPr>
          </w:p>
        </w:tc>
        <w:tc>
          <w:tcPr/>
          <w:p>
            <w:pPr>
              <w:pStyle w:val="Compact"/>
              <w:jc w:val="left"/>
            </w:pPr>
            <w:r>
              <w:t xml:space="preserve">ü Street connectivity</w:t>
            </w:r>
          </w:p>
        </w:tc>
        <w:tc>
          <w:tcPr/>
          <w:p>
            <w:pPr>
              <w:pStyle w:val="Compact"/>
            </w:pPr>
          </w:p>
        </w:tc>
        <w:tc>
          <w:tcPr/>
          <w:p>
            <w:pPr>
              <w:pStyle w:val="Compact"/>
              <w:jc w:val="left"/>
            </w:pPr>
            <w:r>
              <w:t xml:space="preserve">ü average slope</w:t>
            </w:r>
          </w:p>
        </w:tc>
        <w:tc>
          <w:tcPr/>
          <w:p>
            <w:pPr>
              <w:pStyle w:val="Compact"/>
            </w:pPr>
          </w:p>
        </w:tc>
      </w:tr>
      <w:tr>
        <w:tc>
          <w:tcPr/>
          <w:p>
            <w:pPr>
              <w:pStyle w:val="Compact"/>
            </w:pPr>
          </w:p>
        </w:tc>
        <w:tc>
          <w:tcPr/>
          <w:p>
            <w:pPr>
              <w:pStyle w:val="Compact"/>
            </w:pPr>
          </w:p>
        </w:tc>
        <w:tc>
          <w:tcPr/>
          <w:p>
            <w:pPr>
              <w:pStyle w:val="Compact"/>
              <w:jc w:val="left"/>
            </w:pPr>
            <w:r>
              <w:t xml:space="preserve">ü Destination’s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Mix of uses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attractiveness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Characters of the roots: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Quality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width</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Slope</w:t>
            </w:r>
          </w:p>
        </w:tc>
        <w:tc>
          <w:tcPr/>
          <w:p>
            <w:pPr>
              <w:pStyle w:val="Compact"/>
            </w:pPr>
          </w:p>
        </w:tc>
        <w:tc>
          <w:tcPr/>
          <w:p>
            <w:pPr>
              <w:pStyle w:val="Compact"/>
            </w:pPr>
          </w:p>
        </w:tc>
        <w:tc>
          <w:tcPr/>
          <w:p>
            <w:pPr>
              <w:pStyle w:val="Compact"/>
            </w:pPr>
          </w:p>
        </w:tc>
      </w:tr>
      <w:tr>
        <w:tc>
          <w:tcPr/>
          <w:p>
            <w:pPr>
              <w:pStyle w:val="Compact"/>
              <w:jc w:val="left"/>
            </w:pPr>
            <w:r>
              <w:t xml:space="preserve">Walk Score (Walk Score calculates a score by determining the walking distance to amenities in nine different amenity categories)</w:t>
            </w:r>
          </w:p>
        </w:tc>
        <w:tc>
          <w:tcPr/>
          <w:p>
            <w:pPr>
              <w:pStyle w:val="Compact"/>
              <w:jc w:val="left"/>
            </w:pPr>
            <w:r>
              <w:t xml:space="preserve">Duncan, Aldstadt et al. (2011)</w:t>
            </w:r>
          </w:p>
        </w:tc>
        <w:tc>
          <w:tcPr/>
          <w:p>
            <w:pPr>
              <w:pStyle w:val="Compact"/>
              <w:jc w:val="left"/>
            </w:pPr>
            <w:r>
              <w:t xml:space="preserve">· Walking distance to amenities</w:t>
            </w:r>
          </w:p>
        </w:tc>
        <w:tc>
          <w:tcPr/>
          <w:p>
            <w:pPr>
              <w:pStyle w:val="Compact"/>
              <w:jc w:val="left"/>
            </w:pPr>
            <w:r>
              <w:t xml:space="preserve">· Google AJAX Search application program interface (API) provides data for the Walk Score.</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 metrics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Average block length</w:t>
            </w:r>
          </w:p>
        </w:tc>
        <w:tc>
          <w:tcPr/>
          <w:p>
            <w:pPr>
              <w:pStyle w:val="Compact"/>
            </w:pPr>
          </w:p>
        </w:tc>
        <w:tc>
          <w:tcPr/>
          <w:p>
            <w:pPr>
              <w:pStyle w:val="Compact"/>
            </w:pPr>
          </w:p>
        </w:tc>
        <w:tc>
          <w:tcPr/>
          <w:p>
            <w:pPr>
              <w:pStyle w:val="Compact"/>
            </w:pPr>
          </w:p>
        </w:tc>
      </w:tr>
      <w:tr>
        <w:tc>
          <w:tcPr/>
          <w:p>
            <w:pPr>
              <w:pStyle w:val="Compact"/>
              <w:jc w:val="left"/>
            </w:pPr>
            <w:r>
              <w:t xml:space="preserve">Graz Walkability Index (based on American city and Frank’s walkability index)</w:t>
            </w:r>
          </w:p>
        </w:tc>
        <w:tc>
          <w:tcPr/>
          <w:p>
            <w:pPr>
              <w:pStyle w:val="Compact"/>
              <w:jc w:val="left"/>
            </w:pPr>
            <w:r>
              <w:t xml:space="preserve">Grasser, van Dyck et al. (2017)</w:t>
            </w:r>
          </w:p>
        </w:tc>
        <w:tc>
          <w:tcPr/>
          <w:p>
            <w:pPr>
              <w:pStyle w:val="Compact"/>
              <w:jc w:val="left"/>
            </w:pPr>
            <w:r>
              <w:t xml:space="preserve">· Net residential/ Population density/ household density</w:t>
            </w:r>
          </w:p>
        </w:tc>
        <w:tc>
          <w:tcPr/>
          <w:p>
            <w:pPr>
              <w:pStyle w:val="Compact"/>
              <w:jc w:val="left"/>
            </w:pPr>
            <w:r>
              <w:t xml:space="preserve">· Outcome data were derived from the representative cross-sectional survey</w:t>
            </w:r>
          </w:p>
        </w:tc>
        <w:tc>
          <w:tcPr/>
          <w:p>
            <w:pPr>
              <w:pStyle w:val="Compact"/>
              <w:jc w:val="left"/>
            </w:pPr>
            <w:r>
              <w:t xml:space="preserve">present study reported the results of the 1000 m circular buffer and the 1500 m street network buffer[2].</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Walking (for at least 10 min) and cycling (in the warm season)</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 (entropy index for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Walkscore.com.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[2]most studies (conducted mainly in USA and Australia) use 1000 m buffers. The European environmental questionnaire ALPHA used a distance of 10- to 15-min walk (i.e. _1–1.6 km) as a neighborhood scale.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0"/>
    <w:bookmarkStart w:id="31" w:name="bikeability-measures"/>
    <w:p>
      <w:pPr>
        <w:pStyle w:val="Heading5"/>
      </w:pPr>
      <w:r>
        <w:t xml:space="preserve">Bikeability measures</w:t>
      </w:r>
    </w:p>
    <w:p>
      <w:pPr>
        <w:pStyle w:val="FirstParagraph"/>
      </w:pPr>
      <w:r>
        <w:t xml:space="preserve">Bikeability can be defined as the ability of a person to bike or the ability of the urban landscape to be biked or as a baseline definition of the likelihood that individuals or groups of people will choose the bicycle as a mode of transport or leisure</w:t>
      </w:r>
      <w:r>
        <w:t xml:space="preserve"> </w:t>
      </w:r>
      <w:r>
        <w:t xml:space="preserve">(Krizek, Handy, and Forsyth 2009; Winters et al. 2013; Nielsen and Skov-Petersen 2018)</w:t>
      </w:r>
      <w:r>
        <w:t xml:space="preserve"> </w:t>
      </w:r>
      <w:r>
        <w:t xml:space="preserve">.However,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w:t>
      </w:r>
      <w:r>
        <w:t xml:space="preserve"> </w:t>
      </w:r>
      <w:r>
        <w:t xml:space="preserve">(Lowry et al. 2012)</w:t>
      </w:r>
      <w:r>
        <w:t xml:space="preserve">. In additional, The Bikeability Index described by Winters, Brauer et al. (2013)includes the three basic measures, but adds the length of bicycle routes, slope, and the separation from car traffic. Each variable is given a score of 1 to 10, which is then summed to produce the final score</w:t>
      </w:r>
      <w:r>
        <w:t xml:space="preserve"> </w:t>
      </w:r>
      <w:r>
        <w:t xml:space="preserve">(Winters et al. 2013)</w:t>
      </w:r>
      <w:r>
        <w:t xml:space="preserve">.</w:t>
      </w:r>
    </w:p>
    <w:p>
      <w:pPr>
        <w:pStyle w:val="BodyText"/>
      </w:pPr>
      <w:r>
        <w:t xml:space="preserve">Explaining the Bikeability of an environment has included the following characteristics:</w:t>
      </w:r>
    </w:p>
    <w:p>
      <w:pPr>
        <w:numPr>
          <w:ilvl w:val="0"/>
          <w:numId w:val="1004"/>
        </w:numPr>
      </w:pPr>
      <w:r>
        <w:t xml:space="preserve">Single principles of the townscape or the infrastructure, such as bicycle tracks, crossings, and parking facilities, which are referred to by Lowry, Callister et al. (2012) as</w:t>
      </w:r>
      <w:r>
        <w:t xml:space="preserve"> </w:t>
      </w:r>
      <w:r>
        <w:t xml:space="preserve">“</w:t>
      </w:r>
      <w:r>
        <w:t xml:space="preserve">bicycle suitability</w:t>
      </w:r>
      <w:r>
        <w:t xml:space="preserve">”</w:t>
      </w:r>
      <w:r>
        <w:t xml:space="preserve">(Lowry et al. 2012)</w:t>
      </w:r>
      <w:r>
        <w:t xml:space="preserve">.</w:t>
      </w:r>
    </w:p>
    <w:p>
      <w:pPr>
        <w:numPr>
          <w:ilvl w:val="0"/>
          <w:numId w:val="1004"/>
        </w:numPr>
      </w:pPr>
      <w:r>
        <w:t xml:space="preserve">Neighbourhoods are delineated based on airline/Euclidean distance rather than network distance</w:t>
      </w:r>
      <w:r>
        <w:t xml:space="preserve"> </w:t>
      </w:r>
      <w:r>
        <w:t xml:space="preserve">(Greenberg and Renne 2005; Nielsen and Skov-Petersen 2018)</w:t>
      </w:r>
    </w:p>
    <w:p>
      <w:pPr>
        <w:numPr>
          <w:ilvl w:val="0"/>
          <w:numId w:val="1004"/>
        </w:numPr>
      </w:pPr>
      <w:r>
        <w:t xml:space="preserve">Explicit polygon features generated around specific trajectories of individual respondents – e.g., as recorded by GPS. Such features can be purely geometric, such as buffers or ellipsoids, or be based on the topology of a transport network</w:t>
      </w:r>
      <w:r>
        <w:t xml:space="preserve"> </w:t>
      </w:r>
      <w:r>
        <w:t xml:space="preserve">(Madsen et al. 2014; L. D. Frank et al. 2017)</w:t>
      </w:r>
      <w:r>
        <w:t xml:space="preserve">.</w:t>
      </w:r>
    </w:p>
    <w:p>
      <w:pPr>
        <w:numPr>
          <w:ilvl w:val="0"/>
          <w:numId w:val="1004"/>
        </w:numPr>
      </w:pPr>
      <w:r>
        <w:t xml:space="preserve">Connected infrastructures as a functional component of entire towns and urban fabrics</w:t>
      </w:r>
      <w:r>
        <w:t xml:space="preserve"> </w:t>
      </w:r>
      <w:r>
        <w:t xml:space="preserve">(Lowry et al. 2012)</w:t>
      </w:r>
      <w:r>
        <w:t xml:space="preserve">. According to Lowry, Callister et al. (2012), this is in fact what covers the term</w:t>
      </w:r>
      <w:r>
        <w:t xml:space="preserve"> </w:t>
      </w:r>
      <w:r>
        <w:t xml:space="preserve">“</w:t>
      </w:r>
      <w:r>
        <w:t xml:space="preserve">Bikeability</w:t>
      </w:r>
      <w:r>
        <w:t xml:space="preserve">”</w:t>
      </w:r>
      <w:r>
        <w:t xml:space="preserve">. In the following, Table 4 prepares some of the studies that used bikeability index.</w:t>
      </w:r>
    </w:p>
    <w:p>
      <w:pPr>
        <w:pStyle w:val="TableCaption"/>
      </w:pPr>
      <w:r>
        <w:rPr>
          <w:bCs/>
          <w:b/>
        </w:rPr>
        <w:t xml:space="preserve">Table 4.</w:t>
      </w:r>
      <w:r>
        <w:t xml:space="preserve"> </w:t>
      </w:r>
      <w:r>
        <w:t xml:space="preserve">Studies examining bikeability</w:t>
      </w:r>
    </w:p>
    <w:tbl>
      <w:tblPr>
        <w:tblStyle w:val="Table"/>
        <w:tblW w:type="pct" w:w="5150"/>
        <w:tblLook w:firstRow="1" w:lastRow="0" w:firstColumn="0" w:lastColumn="0" w:noHBand="0" w:noVBand="0" w:val="0020"/>
        <w:tblCaption w:val="Table 4. Studies examining bikeability"/>
      </w:tblPr>
      <w:tblGrid>
        <w:gridCol w:w="3009"/>
        <w:gridCol w:w="1029"/>
        <w:gridCol w:w="1029"/>
        <w:gridCol w:w="1029"/>
        <w:gridCol w:w="1029"/>
        <w:gridCol w:w="1029"/>
      </w:tblGrid>
      <w:tr>
        <w:trPr>
          <w:tblHeader w:val="true"/>
        </w:trPr>
        <w:tc>
          <w:tcPr/>
          <w:p>
            <w:pPr>
              <w:pStyle w:val="Compact"/>
              <w:jc w:val="center"/>
            </w:pPr>
            <w:r>
              <w:rPr>
                <w:bCs/>
                <w:b/>
              </w:rPr>
              <w:t xml:space="preserve">Author</w:t>
            </w:r>
          </w:p>
        </w:tc>
        <w:tc>
          <w:tcPr/>
          <w:p>
            <w:pPr>
              <w:pStyle w:val="Compact"/>
              <w:jc w:val="center"/>
            </w:pPr>
            <w:r>
              <w:rPr>
                <w:bCs/>
                <w:b/>
              </w:rPr>
              <w:t xml:space="preserve">Study area</w:t>
            </w:r>
          </w:p>
        </w:tc>
        <w:tc>
          <w:tcPr/>
          <w:p>
            <w:pPr>
              <w:pStyle w:val="Compact"/>
              <w:jc w:val="center"/>
            </w:pPr>
            <w:r>
              <w:rPr>
                <w:bCs/>
                <w:b/>
              </w:rPr>
              <w:t xml:space="preserve">Measure</w:t>
            </w:r>
          </w:p>
        </w:tc>
        <w:tc>
          <w:tcPr/>
          <w:p>
            <w:pPr>
              <w:pStyle w:val="Compact"/>
              <w:jc w:val="center"/>
            </w:pPr>
            <w:r>
              <w:rPr>
                <w:bCs/>
                <w:b/>
              </w:rPr>
              <w:t xml:space="preserve">Data</w:t>
            </w:r>
          </w:p>
        </w:tc>
        <w:tc>
          <w:tcPr/>
          <w:p>
            <w:pPr>
              <w:pStyle w:val="Compact"/>
              <w:jc w:val="center"/>
            </w:pPr>
            <w:r>
              <w:rPr>
                <w:bCs/>
                <w:b/>
              </w:rPr>
              <w:t xml:space="preserve">Descriptions</w:t>
            </w:r>
          </w:p>
        </w:tc>
        <w:tc>
          <w:tcPr/>
          <w:p>
            <w:pPr>
              <w:pStyle w:val="Compact"/>
              <w:jc w:val="left"/>
            </w:pPr>
            <w:r>
              <w:t xml:space="preserve">positive / normative implementations</w:t>
            </w:r>
          </w:p>
        </w:tc>
      </w:tr>
      <w:tr>
        <w:tc>
          <w:tcPr/>
          <w:p>
            <w:pPr>
              <w:pStyle w:val="Compact"/>
              <w:jc w:val="center"/>
            </w:pPr>
            <w:r>
              <w:t xml:space="preserve">Lowry, Callister et al. (2012)</w:t>
            </w:r>
          </w:p>
        </w:tc>
        <w:tc>
          <w:tcPr/>
          <w:p>
            <w:pPr>
              <w:pStyle w:val="Compact"/>
              <w:jc w:val="center"/>
            </w:pPr>
            <w:r>
              <w:t xml:space="preserve">Moscow, Idaho</w:t>
            </w:r>
          </w:p>
        </w:tc>
        <w:tc>
          <w:tcPr/>
          <w:p>
            <w:pPr>
              <w:pStyle w:val="Compact"/>
              <w:jc w:val="center"/>
            </w:pPr>
            <w:r>
              <w:t xml:space="preserve">· proposed calculation for bikeability was developed on the basis of a common accessibility equation (Hansen’s model).</w:t>
            </w:r>
          </w:p>
        </w:tc>
        <w:tc>
          <w:tcPr/>
          <w:p>
            <w:pPr>
              <w:pStyle w:val="Compact"/>
              <w:jc w:val="center"/>
            </w:pPr>
            <w:r>
              <w:t xml:space="preserve">· bikeway is any roadway where bicycle travel is permitted regardless of the presence of a bike lane</w:t>
            </w:r>
          </w:p>
        </w:tc>
        <w:tc>
          <w:tcPr/>
          <w:p>
            <w:pPr>
              <w:pStyle w:val="Compact"/>
              <w:jc w:val="center"/>
            </w:pPr>
            <w:r>
              <w:t xml:space="preserve">· Assessment of bikeability considers comfort and safety of the entire bikeway network for access to important destinations.</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 calculation finds the shortest routes between zone i and every destination j</w:t>
            </w:r>
          </w:p>
        </w:tc>
        <w:tc>
          <w:tcPr/>
          <w:p>
            <w:pPr>
              <w:pStyle w:val="Compact"/>
              <w:jc w:val="center"/>
            </w:pPr>
            <w:r>
              <w:t xml:space="preserve">· Complete entire bikeway network and important destinations in the case study community</w:t>
            </w:r>
          </w:p>
        </w:tc>
        <w:tc>
          <w:tcPr/>
          <w:p>
            <w:pPr>
              <w:pStyle w:val="Compact"/>
              <w:jc w:val="center"/>
            </w:pPr>
            <w:r>
              <w:t xml:space="preserve">· impedance functions were estimated based on a negative exponential function.</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only arterials, collectors, and shared-use paths were considered part of the major bikeway network.</w:t>
            </w:r>
          </w:p>
        </w:tc>
        <w:tc>
          <w:tcPr/>
          <w:p>
            <w:pPr>
              <w:pStyle w:val="Compact"/>
              <w:jc w:val="center"/>
            </w:pPr>
            <w:r>
              <w:t xml:space="preserve">· bikeability was assessed for all commercial destinations</w:t>
            </w:r>
          </w:p>
        </w:tc>
        <w:tc>
          <w:tcPr/>
          <w:p>
            <w:pPr>
              <w:pStyle w:val="Compact"/>
            </w:pPr>
          </w:p>
        </w:tc>
      </w:tr>
      <w:tr>
        <w:tc>
          <w:tcPr/>
          <w:p>
            <w:pPr>
              <w:pStyle w:val="Compact"/>
              <w:jc w:val="center"/>
            </w:pPr>
            <w:r>
              <w:t xml:space="preserve">Nielsen and Skov-Petersen (2018)</w:t>
            </w:r>
          </w:p>
        </w:tc>
        <w:tc>
          <w:tcPr/>
          <w:p>
            <w:pPr>
              <w:pStyle w:val="Compact"/>
              <w:jc w:val="center"/>
            </w:pPr>
            <w:r>
              <w:t xml:space="preserve">Denmark</w:t>
            </w:r>
          </w:p>
        </w:tc>
        <w:tc>
          <w:tcPr/>
          <w:p>
            <w:pPr>
              <w:pStyle w:val="Compact"/>
              <w:jc w:val="center"/>
            </w:pPr>
            <w:r>
              <w:t xml:space="preserve">· presented a micro-level analysis of the Bikeability variables included density/accessibility,</w:t>
            </w:r>
          </w:p>
        </w:tc>
        <w:tc>
          <w:tcPr/>
          <w:p>
            <w:pPr>
              <w:pStyle w:val="Compact"/>
              <w:jc w:val="center"/>
            </w:pPr>
            <w:r>
              <w:t xml:space="preserve">· cycling data obtained from the Danish National Travel survey</w:t>
            </w:r>
          </w:p>
        </w:tc>
        <w:tc>
          <w:tcPr/>
          <w:p>
            <w:pPr>
              <w:pStyle w:val="Compact"/>
            </w:pP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infrastructure provision and terrain measured</w:t>
            </w:r>
          </w:p>
        </w:tc>
        <w:tc>
          <w:tcPr/>
          <w:p>
            <w:pPr>
              <w:pStyle w:val="Compact"/>
              <w:jc w:val="center"/>
            </w:pPr>
            <w:r>
              <w:t xml:space="preserve">· a classification of all roads and paths into seven classes is provided: roads without bicycle infrastructure, roads with bicycle lanes, roads with bicycle paths (protection by kerb and/or separating strip), fully separated bicycle and foot paths, fully separated foot paths, roads without access for pedestrians or bicycles, and roads without public access.</w:t>
            </w:r>
          </w:p>
        </w:tc>
        <w:tc>
          <w:tcPr/>
          <w:p>
            <w:pPr>
              <w:pStyle w:val="Compact"/>
              <w:jc w:val="center"/>
            </w:pPr>
            <w:r>
              <w:t xml:space="preserve">· The survey’s account of cycling includes cycling as the main mode of transport as well as cycling as a stage mode, e.g., connecting to public transport and leisure cycling without a destination purpose.</w:t>
            </w:r>
          </w:p>
        </w:tc>
        <w:tc>
          <w:tcPr/>
          <w:p>
            <w:pPr>
              <w:pStyle w:val="Compact"/>
            </w:pPr>
          </w:p>
        </w:tc>
      </w:tr>
      <w:tr>
        <w:tc>
          <w:tcPr/>
          <w:p>
            <w:pPr>
              <w:pStyle w:val="Compact"/>
            </w:pPr>
          </w:p>
        </w:tc>
        <w:tc>
          <w:tcPr/>
          <w:p>
            <w:pPr>
              <w:pStyle w:val="Compact"/>
            </w:pPr>
          </w:p>
        </w:tc>
        <w:tc>
          <w:tcPr/>
          <w:p>
            <w:pPr>
              <w:pStyle w:val="Compact"/>
              <w:jc w:val="center"/>
            </w:pPr>
            <w:r>
              <w:t xml:space="preserve">· The accessibility was based on the shortest path network distance from trip origins.</w:t>
            </w:r>
          </w:p>
        </w:tc>
        <w:tc>
          <w:tcPr/>
          <w:p>
            <w:pPr>
              <w:pStyle w:val="Compact"/>
              <w:jc w:val="center"/>
            </w:pPr>
            <w:r>
              <w:t xml:space="preserve">· the number of residents, jobs, retail jobs, schools, high schools, and further education were counted within 1 km, 2 km, 3 km, 4 km, and 5 km of each trip origin and added to the travel survey dataset.</w:t>
            </w:r>
          </w:p>
        </w:tc>
        <w:tc>
          <w:tcPr/>
          <w:p>
            <w:pPr>
              <w:pStyle w:val="Compact"/>
              <w:jc w:val="center"/>
            </w:pPr>
            <w:r>
              <w:t xml:space="preserve">· The average slope of the terrain within the same distances (Euclidian measure) was applied.</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McNeil (2011)</w:t>
            </w:r>
          </w:p>
        </w:tc>
        <w:tc>
          <w:tcPr/>
          <w:p>
            <w:pPr>
              <w:pStyle w:val="Compact"/>
              <w:jc w:val="center"/>
            </w:pPr>
            <w:r>
              <w:t xml:space="preserve">Portland, Oregon</w:t>
            </w:r>
          </w:p>
        </w:tc>
        <w:tc>
          <w:tcPr/>
          <w:p>
            <w:pPr>
              <w:pStyle w:val="Compact"/>
              <w:jc w:val="center"/>
            </w:pPr>
            <w:r>
              <w:t xml:space="preserve">· assessing a neighborhood’s bicycle accessibility or</w:t>
            </w:r>
            <w:r>
              <w:t xml:space="preserve"> </w:t>
            </w:r>
            <w:r>
              <w:t xml:space="preserve">“</w:t>
            </w:r>
            <w:r>
              <w:t xml:space="preserve">bikeability</w:t>
            </w:r>
            <w:r>
              <w:t xml:space="preserve">”</w:t>
            </w:r>
            <w:r>
              <w:t xml:space="preserve"> </w:t>
            </w:r>
            <w:r>
              <w:t xml:space="preserve">on the basis of 20-min neighborhood for bicycles.</w:t>
            </w:r>
          </w:p>
        </w:tc>
        <w:tc>
          <w:tcPr/>
          <w:p>
            <w:pPr>
              <w:pStyle w:val="Compact"/>
              <w:jc w:val="center"/>
            </w:pPr>
            <w:r>
              <w:t xml:space="preserve">· the 2009 National Household Transportation Survey</w:t>
            </w:r>
          </w:p>
        </w:tc>
        <w:tc>
          <w:tcPr/>
          <w:p>
            <w:pPr>
              <w:pStyle w:val="Compact"/>
              <w:jc w:val="center"/>
            </w:pPr>
            <w:r>
              <w:t xml:space="preserve">· this research focused on home-based utilitarian trips and excluded any trips to and from work.</w:t>
            </w:r>
          </w:p>
        </w:tc>
        <w:tc>
          <w:tcPr/>
          <w:p>
            <w:pPr>
              <w:pStyle w:val="Compact"/>
              <w:jc w:val="left"/>
            </w:pPr>
            <w:r>
              <w:t xml:space="preserve">Normative</w:t>
            </w:r>
          </w:p>
        </w:tc>
      </w:tr>
      <w:tr>
        <w:tc>
          <w:tcPr/>
          <w:p>
            <w:pPr>
              <w:pStyle w:val="Compact"/>
            </w:pPr>
          </w:p>
        </w:tc>
        <w:tc>
          <w:tcPr/>
          <w:p>
            <w:pPr>
              <w:pStyle w:val="Compact"/>
            </w:pPr>
          </w:p>
        </w:tc>
        <w:tc>
          <w:tcPr/>
          <w:p>
            <w:pPr>
              <w:pStyle w:val="Compact"/>
              <w:jc w:val="center"/>
            </w:pPr>
            <w:r>
              <w:t xml:space="preserve">· Using a scoring method in order to assessment the bikeability,</w:t>
            </w:r>
          </w:p>
        </w:tc>
        <w:tc>
          <w:tcPr/>
          <w:p>
            <w:pPr>
              <w:pStyle w:val="Compact"/>
              <w:jc w:val="center"/>
            </w:pPr>
            <w:r>
              <w:t xml:space="preserve">· Geocoded data for parks, schools, libraries, and transit connections (light rail stops and bus lines) were obtained from Metro’s Regional Land Information System.</w:t>
            </w:r>
          </w:p>
        </w:tc>
        <w:tc>
          <w:tcPr/>
          <w:p>
            <w:pPr>
              <w:pStyle w:val="Compact"/>
              <w:jc w:val="center"/>
            </w:pPr>
            <w:r>
              <w:t xml:space="preserve">· Business addresses were gathered and geocoded for all childcare providers, grocery stores, clothing stores, general goods stores, beauty services (e.g., salons, barbers), banks, mail services (e.g., post offices, private mail providers), laundries and cleaners, gyms, general entertainment (e.g., bowling, performance venues), drinking establishments, movie theaters, restaurants, coffee and snack shops, and religious organizations.</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Business address data for other destination types were acquired through a data clearinghouse, Reference USA.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Saghapour (2017)</w:t>
            </w:r>
          </w:p>
        </w:tc>
        <w:tc>
          <w:tcPr/>
          <w:p>
            <w:pPr>
              <w:pStyle w:val="Compact"/>
              <w:jc w:val="center"/>
            </w:pPr>
            <w:r>
              <w:t xml:space="preserve">·</w:t>
            </w:r>
          </w:p>
        </w:tc>
        <w:tc>
          <w:tcPr/>
          <w:p>
            <w:pPr>
              <w:pStyle w:val="Compact"/>
              <w:jc w:val="center"/>
            </w:pPr>
            <w:r>
              <w:t xml:space="preserve">· Introducing a new index for measuring bikeability;</w:t>
            </w:r>
          </w:p>
        </w:tc>
        <w:tc>
          <w:tcPr/>
          <w:p>
            <w:pPr>
              <w:pStyle w:val="Compact"/>
              <w:jc w:val="center"/>
            </w:pPr>
            <w:r>
              <w:t xml:space="preserve">database included urban centres, significant buildings, landmarks, public spaces, community facilities and indigenous locations.- considered as destinations and categorized into four groups of activities.</w:t>
            </w:r>
          </w:p>
        </w:tc>
        <w:tc>
          <w:tcPr/>
          <w:p>
            <w:pPr>
              <w:pStyle w:val="Compact"/>
              <w:jc w:val="center"/>
            </w:pPr>
            <w:r>
              <w:t xml:space="preserve">· Service area and OD-cost matrix analysis was undertaken for each set of destinations separately:</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Cycling Accessibility Index (CAI) was developed for quantifying cycling accessibility using the travel distance as impedance along with cycling catchments within local areas in metropolitan area</w:t>
            </w:r>
          </w:p>
        </w:tc>
        <w:tc>
          <w:tcPr/>
          <w:p>
            <w:pPr>
              <w:pStyle w:val="Compact"/>
              <w:jc w:val="center"/>
            </w:pPr>
            <w:r>
              <w:t xml:space="preserve">ü A datab`ase of Mesh Blocks from the 2011 Census and contained the total usual resident population and total number of dwellings.</w:t>
            </w:r>
          </w:p>
        </w:tc>
        <w:tc>
          <w:tcPr/>
          <w:p>
            <w:pPr>
              <w:pStyle w:val="Compact"/>
              <w:jc w:val="center"/>
            </w:pPr>
            <w:r>
              <w:t xml:space="preserve">· 4 km buffers were calculated for education centres and health and care facilities</w:t>
            </w:r>
          </w:p>
        </w:tc>
        <w:tc>
          <w:tcPr/>
          <w:p>
            <w:pPr>
              <w:pStyle w:val="Compact"/>
            </w:pPr>
          </w:p>
        </w:tc>
      </w:tr>
      <w:tr>
        <w:tc>
          <w:tcPr/>
          <w:p>
            <w:pPr>
              <w:pStyle w:val="Compact"/>
            </w:pPr>
          </w:p>
        </w:tc>
        <w:tc>
          <w:tcPr/>
          <w:p>
            <w:pPr>
              <w:pStyle w:val="Compact"/>
            </w:pPr>
          </w:p>
        </w:tc>
        <w:tc>
          <w:tcPr/>
          <w:p>
            <w:pPr>
              <w:pStyle w:val="Compact"/>
              <w:jc w:val="center"/>
            </w:pPr>
            <w:r>
              <w:t xml:space="preserve">Using gravity-based measures of accessibility.</w:t>
            </w:r>
          </w:p>
        </w:tc>
        <w:tc>
          <w:tcPr/>
          <w:p>
            <w:pPr>
              <w:pStyle w:val="Compact"/>
              <w:jc w:val="center"/>
            </w:pPr>
            <w:r>
              <w:t xml:space="preserve">· Point of Interests (POIs):</w:t>
            </w:r>
          </w:p>
        </w:tc>
        <w:tc>
          <w:tcPr/>
          <w:p>
            <w:pPr>
              <w:pStyle w:val="Compact"/>
              <w:jc w:val="center"/>
            </w:pPr>
            <w:r>
              <w:t xml:space="preserve">· used the median desirable travel time/distance</w:t>
            </w:r>
          </w:p>
        </w:tc>
        <w:tc>
          <w:tcPr/>
          <w:p>
            <w:pPr>
              <w:pStyle w:val="Compact"/>
            </w:pPr>
          </w:p>
        </w:tc>
      </w:tr>
      <w:tr>
        <w:tc>
          <w:tcPr/>
          <w:p>
            <w:pPr>
              <w:pStyle w:val="Compact"/>
            </w:pPr>
          </w:p>
        </w:tc>
        <w:tc>
          <w:tcPr/>
          <w:p>
            <w:pPr>
              <w:pStyle w:val="Compact"/>
            </w:pPr>
          </w:p>
        </w:tc>
        <w:tc>
          <w:tcPr/>
          <w:p>
            <w:pPr>
              <w:pStyle w:val="Compact"/>
              <w:jc w:val="center"/>
            </w:pPr>
            <w:r>
              <w:t xml:space="preserve">· Network models are applied to identify acceptable cycling catchments as well as an Origin-Destination (O-D) cost matrix</w:t>
            </w:r>
          </w:p>
        </w:tc>
        <w:tc>
          <w:tcPr/>
          <w:p>
            <w:pPr>
              <w:pStyle w:val="Compact"/>
              <w:jc w:val="center"/>
            </w:pPr>
            <w:r>
              <w:t xml:space="preserve">ØEducation Centres</w:t>
            </w:r>
          </w:p>
        </w:tc>
        <w:tc>
          <w:tcPr/>
          <w:p>
            <w:pPr>
              <w:pStyle w:val="Compact"/>
              <w:jc w:val="center"/>
            </w:pPr>
            <w:r>
              <w:t xml:space="preserve">· uses the speed of 16 km/h which has been adopted from the Austroads network operation planning framework</w:t>
            </w:r>
          </w:p>
        </w:tc>
        <w:tc>
          <w:tcPr/>
          <w:p>
            <w:pPr>
              <w:pStyle w:val="Compact"/>
            </w:pPr>
          </w:p>
        </w:tc>
      </w:tr>
    </w:tbl>
    <w:bookmarkEnd w:id="31"/>
    <w:bookmarkEnd w:id="32"/>
    <w:bookmarkStart w:id="33" w:name="Xf49e08b9e0a2caef44f2a5ffd0d51f850be5845"/>
    <w:p>
      <w:pPr>
        <w:pStyle w:val="Heading2"/>
      </w:pPr>
      <w:r>
        <w:t xml:space="preserve">A framework for assessing data sources and needs</w:t>
      </w:r>
    </w:p>
    <w:p>
      <w:pPr>
        <w:pStyle w:val="FirstParagraph"/>
      </w:pPr>
      <w:r>
        <w:t xml:space="preserve">For calculating accessibility in active transport mode, multiple data sources are required. Following a review of the relevant literature, it was discovered that various data sources such as Travel data (trips), Users data (Socio-economic and personal data), Origin- destination, Cycling and walking network, Spatial data (boundary, land use, postal code, . . . ), additional data (such as Traffic data, weather data, slope, Level of Traffic Stress, impedance value, speed ) are required in order to determine the accessibility of active transportation.</w:t>
      </w:r>
    </w:p>
    <w:p>
      <w:pPr>
        <w:pStyle w:val="BodyText"/>
      </w:pPr>
      <w:r>
        <w:t xml:space="preserve">A particular kind of data management system is a data warehouse. Data warehousing is a topic that includes application tools, architectures, information services, and communication infrastructures to combine information from disparate heterogeneous operational data sources that is valuable for decision-making. This data is collected into a single repository known as a data warehouse (DW), which may be used for direct querying and analysis, and as a source for creating logical data marts focused on particular parts of the organization</w:t>
      </w:r>
      <w:r>
        <w:t xml:space="preserve"> </w:t>
      </w:r>
      <w:r>
        <w:t xml:space="preserve">(Kimball and Ross 2011)</w:t>
      </w:r>
      <w:r>
        <w:t xml:space="preserve">. Important data for decision making is often retrieved from the organization’s data sources, processed (i.e., cleaned and homogenized), and then integrated within a sizable data repository (the data warehouse), in what is known as the ETL (extraction/transform/loading) process</w:t>
      </w:r>
      <w:r>
        <w:t xml:space="preserve"> </w:t>
      </w:r>
      <w:r>
        <w:t xml:space="preserve">(Romero and Abelló 2010)</w:t>
      </w:r>
      <w:r>
        <w:t xml:space="preserve">.Inconsistent data, incompatible data formats, data granularity, and other common problems with distributed heterogeneous information services are covered in the first phase (for instance, see</w:t>
      </w:r>
      <w:r>
        <w:t xml:space="preserve"> </w:t>
      </w:r>
      <w:r>
        <w:t xml:space="preserve">(Zhuge, Garcia-Molina, and Wiener 1996)</w:t>
      </w:r>
      <w:r>
        <w:t xml:space="preserve">).Regarding the second step, creating the DW necessitates methodologies entirely distinct from those used for operational information systems.In this article, the approach used to design the data warehouse is based on the multidimensional paradigm.The fact/dimension dichotomy serves to distinguish the multidimensional view of data, which is characterized by its representation of data (i.e., the relevant fact) as though it were in an n-dimensional space (with as many axes as dimensions of analysis of interest). This paradigm makes it simple to comprehend and evaluate data illustrating the various angles from which a subject may be examined. As a result, the multidimensional model is appropriate for non-expert users such as knowledge workers (from here on, the data warehouse end-users).The third phase needs for the ability to leverage aggregate navigation</w:t>
      </w:r>
      <w:r>
        <w:t xml:space="preserve"> </w:t>
      </w:r>
      <w:r>
        <w:t xml:space="preserve">(Gupta, Harinarayan, and Quass 1995)</w:t>
      </w:r>
      <w:r>
        <w:t xml:space="preserve">, complex query optimization</w:t>
      </w:r>
      <w:r>
        <w:t xml:space="preserve"> </w:t>
      </w:r>
      <w:r>
        <w:t xml:space="preserve">(Chaudhuri and Shim 1994)</w:t>
      </w:r>
      <w:r>
        <w:t xml:space="preserve">, advanced indexing strategies</w:t>
      </w:r>
      <w:r>
        <w:t xml:space="preserve"> </w:t>
      </w:r>
      <w:r>
        <w:t xml:space="preserve">(Lomet and Salzberg 1990)</w:t>
      </w:r>
      <w:r>
        <w:t xml:space="preserve">, and user-friendly visual user interfaces for OLAP (On-line Analytical Processing)</w:t>
      </w:r>
      <w:r>
        <w:t xml:space="preserve"> </w:t>
      </w:r>
      <w:r>
        <w:t xml:space="preserve">(Chaudhuri and Dayal 1997; Colliat 1996)</w:t>
      </w:r>
      <w:r>
        <w:t xml:space="preserve"> </w:t>
      </w:r>
      <w:r>
        <w:t xml:space="preserve">and data mining</w:t>
      </w:r>
      <w:r>
        <w:t xml:space="preserve"> </w:t>
      </w:r>
      <w:r>
        <w:t xml:space="preserve">(Fayyad, Piatetsky-Shapiro, and Smyth 1996)</w:t>
      </w:r>
      <w:r>
        <w:t xml:space="preserve">.</w:t>
      </w:r>
    </w:p>
    <w:p>
      <w:pPr>
        <w:pStyle w:val="BodyText"/>
      </w:pPr>
      <w:r>
        <w:t xml:space="preserve">In this study, the multidimensional data warehouse design and end-user requirements elicitation tasks are supported by a user-centered methodology. Three steps make up the process:</w:t>
      </w:r>
    </w:p>
    <w:p>
      <w:pPr>
        <w:pStyle w:val="BodyText"/>
      </w:pPr>
      <w:r>
        <w:t xml:space="preserve">First, our method begins by thoroughly examining the data sources to determine, without yet taking requirements into consideration, the multidimensional knowledge they capture (i.e., data likely to be analyzed from a multidimensional point of view).</w:t>
      </w:r>
    </w:p>
    <w:p>
      <w:pPr>
        <w:pStyle w:val="BodyText"/>
      </w:pPr>
      <w:r>
        <w:t xml:space="preserve">Second, we suggest using this knowledge to aid in the work of needs elicitation. By doing this, we are able to fully utilize the sources’ analytical skills while already balancing requirements with the data sources.</w:t>
      </w:r>
    </w:p>
    <w:p>
      <w:pPr>
        <w:pStyle w:val="BodyText"/>
      </w:pPr>
      <w:r>
        <w:t xml:space="preserve">Third, once the requirements are established, we automatically generate the data warehouse conceptual schema and the multidimensional knowledge extracted from the sources.</w:t>
      </w:r>
    </w:p>
    <w:p>
      <w:pPr>
        <w:pStyle w:val="BodyText"/>
      </w:pPr>
      <w:r>
        <w:t xml:space="preserve">`</w:t>
      </w:r>
    </w:p>
    <w:p>
      <w:pPr>
        <w:pStyle w:val="BodyText"/>
      </w:pPr>
      <w:r>
        <w:t xml:space="preserve">Table 5, shows required data based on the each measure.</w:t>
      </w:r>
    </w:p>
    <w:p>
      <w:pPr>
        <w:pStyle w:val="TableCaption"/>
      </w:pPr>
      <w:r>
        <w:rPr>
          <w:bCs/>
          <w:b/>
        </w:rPr>
        <w:t xml:space="preserve">Table 5.</w:t>
      </w:r>
      <w:r>
        <w:t xml:space="preserve"> </w:t>
      </w:r>
      <w:r>
        <w:t xml:space="preserve">Required data according to each measure</w:t>
      </w:r>
    </w:p>
    <w:tbl>
      <w:tblPr>
        <w:tblStyle w:val="Table"/>
        <w:tblW w:type="pct" w:w="4950"/>
        <w:tblLook w:firstRow="1" w:lastRow="0" w:firstColumn="0" w:lastColumn="0" w:noHBand="0" w:noVBand="0" w:val="0020"/>
        <w:tblCaption w:val="Table 5. Required data according to each measure"/>
      </w:tblPr>
      <w:tblGrid>
        <w:gridCol w:w="2613"/>
        <w:gridCol w:w="871"/>
        <w:gridCol w:w="871"/>
        <w:gridCol w:w="871"/>
        <w:gridCol w:w="871"/>
        <w:gridCol w:w="871"/>
        <w:gridCol w:w="871"/>
      </w:tblGrid>
      <w:tr>
        <w:trPr>
          <w:tblHeader w:val="true"/>
        </w:trPr>
        <w:tc>
          <w:tcPr/>
          <w:p>
            <w:pPr>
              <w:pStyle w:val="Compact"/>
              <w:jc w:val="center"/>
            </w:pPr>
            <w:r>
              <w:rPr>
                <w:bCs/>
                <w:b/>
              </w:rPr>
              <w:t xml:space="preserve">Data / Methods</w:t>
            </w:r>
          </w:p>
        </w:tc>
        <w:tc>
          <w:tcPr/>
          <w:p>
            <w:pPr>
              <w:pStyle w:val="Compact"/>
              <w:jc w:val="center"/>
            </w:pPr>
            <w:r>
              <w:rPr>
                <w:bCs/>
                <w:b/>
              </w:rPr>
              <w:t xml:space="preserve">Travel Data</w:t>
            </w:r>
          </w:p>
        </w:tc>
        <w:tc>
          <w:tcPr/>
          <w:p>
            <w:pPr>
              <w:pStyle w:val="Compact"/>
              <w:jc w:val="center"/>
            </w:pPr>
            <w:r>
              <w:rPr>
                <w:bCs/>
                <w:b/>
              </w:rPr>
              <w:t xml:space="preserve">Users Data</w:t>
            </w:r>
          </w:p>
        </w:tc>
        <w:tc>
          <w:tcPr/>
          <w:p>
            <w:pPr>
              <w:pStyle w:val="Compact"/>
              <w:jc w:val="center"/>
            </w:pPr>
            <w:r>
              <w:rPr>
                <w:bCs/>
                <w:b/>
              </w:rPr>
              <w:t xml:space="preserve">Origin- destination Data</w:t>
            </w:r>
          </w:p>
        </w:tc>
        <w:tc>
          <w:tcPr/>
          <w:p>
            <w:pPr>
              <w:pStyle w:val="Compact"/>
              <w:jc w:val="center"/>
            </w:pPr>
            <w:r>
              <w:rPr>
                <w:bCs/>
                <w:b/>
              </w:rPr>
              <w:t xml:space="preserve">Cycling and walking network</w:t>
            </w:r>
          </w:p>
        </w:tc>
        <w:tc>
          <w:tcPr/>
          <w:p>
            <w:pPr>
              <w:pStyle w:val="Compact"/>
              <w:jc w:val="center"/>
            </w:pPr>
            <w:r>
              <w:rPr>
                <w:bCs/>
                <w:b/>
              </w:rPr>
              <w:t xml:space="preserve">Spatial data</w:t>
            </w:r>
          </w:p>
        </w:tc>
        <w:tc>
          <w:tcPr/>
          <w:p>
            <w:pPr>
              <w:pStyle w:val="Compact"/>
              <w:jc w:val="center"/>
            </w:pPr>
            <w:r>
              <w:rPr>
                <w:bCs/>
                <w:b/>
              </w:rPr>
              <w:t xml:space="preserve">additional data</w:t>
            </w:r>
          </w:p>
        </w:tc>
      </w:tr>
      <w:tr>
        <w:tc>
          <w:tcPr/>
          <w:p>
            <w:pPr>
              <w:pStyle w:val="Compact"/>
              <w:jc w:val="center"/>
            </w:pPr>
            <w:r>
              <w:t xml:space="preserve">Activity-based</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such as age, gender, income, can be considered if the data are available</w:t>
            </w:r>
          </w:p>
        </w:tc>
        <w:tc>
          <w:tcPr/>
          <w:p>
            <w:pPr>
              <w:pStyle w:val="Compact"/>
              <w:jc w:val="center"/>
            </w:pPr>
            <w:r>
              <w:t xml:space="preserve">The origin and destinations spatial data or a database of POIs that is obtained from local map. Indeed, a database of POIs consists of the location of all of the facilities such as home, workplace, parks, schools, groceries, etc.</w:t>
            </w:r>
          </w:p>
        </w:tc>
        <w:tc>
          <w:tcPr/>
          <w:p>
            <w:pPr>
              <w:pStyle w:val="Compact"/>
              <w:jc w:val="center"/>
            </w:pPr>
            <w:r>
              <w:t xml:space="preserve">Walking and cycling network data are required for calculating time or distances (using network analysis or nearest distance) that can be obtained from both the OpenStreetMap and the local government data portals.</w:t>
            </w:r>
          </w:p>
        </w:tc>
        <w:tc>
          <w:tcPr/>
          <w:p>
            <w:pPr>
              <w:pStyle w:val="Compact"/>
              <w:jc w:val="center"/>
            </w:pPr>
            <w:r>
              <w:t xml:space="preserve">spatial data of statistical areas such as blocks, mesh, zones, areas, etc. This data set includes some information such as population, number of dwellings, employment data, etc. This dataset is required for calculating accessibility in each area.</w:t>
            </w:r>
          </w:p>
        </w:tc>
        <w:tc>
          <w:tcPr/>
          <w:p>
            <w:pPr>
              <w:pStyle w:val="Compact"/>
              <w:jc w:val="center"/>
            </w:pPr>
            <w:r>
              <w:t xml:space="preserve">· Impedance functions are required that are usually estimated based on a negative exponential function and it is mostly based on the travel time.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 Slope can be considered for calculating accessibility.</w:t>
            </w:r>
          </w:p>
        </w:tc>
      </w:tr>
      <w:tr>
        <w:tc>
          <w:tcPr/>
          <w:p>
            <w:pPr>
              <w:pStyle w:val="Compact"/>
              <w:jc w:val="center"/>
            </w:pPr>
            <w:r>
              <w:t xml:space="preserve">Distance-based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Required to calculating the shortest distance to nearest facilities.</w:t>
            </w:r>
          </w:p>
        </w:tc>
        <w:tc>
          <w:tcPr/>
          <w:p>
            <w:pPr>
              <w:pStyle w:val="Compact"/>
              <w:jc w:val="center"/>
            </w:pPr>
            <w:r>
              <w:t xml:space="preserve">Required to calculating nearest distance or time to facilities using network analysis.</w:t>
            </w:r>
          </w:p>
        </w:tc>
        <w:tc>
          <w:tcPr/>
          <w:p>
            <w:pPr>
              <w:pStyle w:val="Compact"/>
              <w:jc w:val="center"/>
            </w:pPr>
            <w:r>
              <w:t xml:space="preserve">Required to census tracts data.</w:t>
            </w:r>
          </w:p>
        </w:tc>
        <w:tc>
          <w:tcPr/>
          <w:p>
            <w:pPr>
              <w:pStyle w:val="Compact"/>
            </w:pPr>
          </w:p>
        </w:tc>
      </w:tr>
      <w:tr>
        <w:tc>
          <w:tcPr/>
          <w:p>
            <w:pPr>
              <w:pStyle w:val="Compact"/>
              <w:jc w:val="center"/>
            </w:pPr>
            <w:r>
              <w:t xml:space="preserve">infrastructure-based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 or origins/destinations are required. For example, grocery stores, hospitals, schools, bikeshare systems etc</w:t>
            </w:r>
          </w:p>
        </w:tc>
        <w:tc>
          <w:tcPr/>
          <w:p>
            <w:pPr>
              <w:pStyle w:val="Compact"/>
            </w:pPr>
          </w:p>
        </w:tc>
      </w:tr>
      <w:tr>
        <w:tc>
          <w:tcPr/>
          <w:p>
            <w:pPr>
              <w:pStyle w:val="Compact"/>
              <w:jc w:val="center"/>
            </w:pPr>
            <w:r>
              <w:t xml:space="preserve">Utility-based</w:t>
            </w:r>
          </w:p>
        </w:tc>
        <w:tc>
          <w:tcPr/>
          <w:p>
            <w:pPr>
              <w:pStyle w:val="Compact"/>
              <w:jc w:val="center"/>
            </w:pPr>
            <w:r>
              <w:t xml:space="preserve">Travel data is required.</w:t>
            </w:r>
          </w:p>
        </w:tc>
        <w:tc>
          <w:tcPr/>
          <w:p>
            <w:pPr>
              <w:pStyle w:val="Compact"/>
              <w:jc w:val="center"/>
            </w:pPr>
            <w:r>
              <w:t xml:space="preserve">travel behavior characteristics are required such as age, gender, etc.</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w:t>
            </w:r>
          </w:p>
        </w:tc>
        <w:tc>
          <w:tcPr/>
          <w:p>
            <w:pPr>
              <w:pStyle w:val="Compact"/>
            </w:pPr>
          </w:p>
        </w:tc>
      </w:tr>
      <w:tr>
        <w:tc>
          <w:tcPr/>
          <w:p>
            <w:pPr>
              <w:pStyle w:val="Compact"/>
              <w:jc w:val="center"/>
            </w:pPr>
            <w:r>
              <w:t xml:space="preserve">Walkability</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are required such as age, gender, income, car availability and etc.</w:t>
            </w:r>
          </w:p>
        </w:tc>
        <w:tc>
          <w:tcPr/>
          <w:p>
            <w:pPr>
              <w:pStyle w:val="Compact"/>
              <w:jc w:val="center"/>
            </w:pPr>
            <w:r>
              <w:t xml:space="preserve">The origin and destinations database is required</w:t>
            </w:r>
          </w:p>
        </w:tc>
        <w:tc>
          <w:tcPr/>
          <w:p>
            <w:pPr>
              <w:pStyle w:val="Compact"/>
              <w:jc w:val="center"/>
            </w:pPr>
            <w:r>
              <w:t xml:space="preserve">Walking and cycling network data are required</w:t>
            </w:r>
          </w:p>
        </w:tc>
        <w:tc>
          <w:tcPr/>
          <w:p>
            <w:pPr>
              <w:pStyle w:val="Compact"/>
              <w:jc w:val="center"/>
            </w:pPr>
            <w:r>
              <w:t xml:space="preserve">Spatial data of net residential/ Population density, Retail floor area, Intersection density, and Land use mix are required</w:t>
            </w:r>
          </w:p>
        </w:tc>
        <w:tc>
          <w:tcPr/>
          <w:p>
            <w:pPr>
              <w:pStyle w:val="Compact"/>
            </w:pPr>
          </w:p>
        </w:tc>
      </w:tr>
      <w:tr>
        <w:tc>
          <w:tcPr/>
          <w:p>
            <w:pPr>
              <w:pStyle w:val="Compact"/>
              <w:jc w:val="center"/>
            </w:pPr>
            <w:r>
              <w:t xml:space="preserve">Bikeability</w:t>
            </w:r>
          </w:p>
        </w:tc>
        <w:tc>
          <w:tcPr/>
          <w:p>
            <w:pPr>
              <w:pStyle w:val="Compact"/>
              <w:jc w:val="center"/>
            </w:pPr>
            <w:r>
              <w:t xml:space="preserve">Travel data is required and includes information about each trip such as duration, start point, end point, origin and destination.</w:t>
            </w:r>
          </w:p>
        </w:tc>
        <w:tc>
          <w:tcPr/>
          <w:p>
            <w:pPr>
              <w:pStyle w:val="Compact"/>
              <w:jc w:val="center"/>
            </w:pPr>
            <w:r>
              <w:t xml:space="preserve">-</w:t>
            </w:r>
          </w:p>
        </w:tc>
        <w:tc>
          <w:tcPr/>
          <w:p>
            <w:pPr>
              <w:pStyle w:val="Compact"/>
              <w:jc w:val="center"/>
            </w:pPr>
            <w:r>
              <w:t xml:space="preserve">The origin and destinations database is required .</w:t>
            </w:r>
          </w:p>
        </w:tc>
        <w:tc>
          <w:tcPr/>
          <w:p>
            <w:pPr>
              <w:pStyle w:val="Compact"/>
              <w:jc w:val="center"/>
            </w:pPr>
            <w:r>
              <w:t xml:space="preserve">Walking and cycling network data are required for calculating time or distances (using network analysis or nearest distance)</w:t>
            </w:r>
          </w:p>
        </w:tc>
        <w:tc>
          <w:tcPr/>
          <w:p>
            <w:pPr>
              <w:pStyle w:val="Compact"/>
              <w:jc w:val="center"/>
            </w:pPr>
            <w:r>
              <w:t xml:space="preserve">spatial data of statistical areas such as blocks, mesh, zones, areas, etc. is required for calculating accessibility in each area.</w:t>
            </w:r>
          </w:p>
        </w:tc>
        <w:tc>
          <w:tcPr/>
          <w:p>
            <w:pPr>
              <w:pStyle w:val="Compact"/>
              <w:jc w:val="center"/>
            </w:pPr>
            <w:r>
              <w:t xml:space="preserve">Impedance functions are required that are usually estimated based on a negative exponential function and it is mostly based on the travel time.</w:t>
            </w:r>
          </w:p>
        </w:tc>
      </w:tr>
    </w:tbl>
    <w:bookmarkEnd w:id="33"/>
    <w:bookmarkStart w:id="34" w:name="data-needs-and-sources"/>
    <w:p>
      <w:pPr>
        <w:pStyle w:val="Heading2"/>
      </w:pPr>
      <w:r>
        <w:t xml:space="preserve">Data needs and sources</w:t>
      </w:r>
    </w:p>
    <w:p>
      <w:pPr>
        <w:pStyle w:val="FirstParagraph"/>
      </w:pPr>
      <w:r>
        <w:rPr>
          <w:bCs/>
          <w:b/>
        </w:rPr>
        <w:t xml:space="preserve">Travel data (trips)</w:t>
      </w:r>
    </w:p>
    <w:p>
      <w:pPr>
        <w:pStyle w:val="BodyText"/>
      </w:pPr>
      <w:r>
        <w:t xml:space="preserve">Travel data provides information about the trips, including the mode of travel, duration of travel, and trip origins and destinations. This data can obtain from General social survey (GSS) for all over the Canada. The (GSS)-time uses is conducting every 5 years and the last survey was done in 2015. This survey monitors changes in time use to better understand how Canadians spend and manage their time. This dataset contains travel time data of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 In addition, this dataset contains 301 bicycle and 4236 walking trips. Each trip contains pumID, start time, end time, duration, origin and destination.</w:t>
      </w:r>
    </w:p>
    <w:p>
      <w:pPr>
        <w:pStyle w:val="BodyText"/>
      </w:pPr>
      <w:r>
        <w:t xml:space="preserve">In addition to the general social survey, travel time data can be obtained for the cities of Toronto and Montreal from the Transportation Tomorrow Survey (TTS) and the Autorité régionale de transport métropolitain (ARTM) survey. The 2016 Transportation Tomorrow Survey (TTS) was conducted on behalf of 22 local, regional, provincial and transit operating agencies in Greater Toronto and surrounding regions. the TTS database for the city of Toronto includes Travel data (e.g., mode, trip length), personal data (e.g., age, gender), household data (e.g., number of persons, income), and transit data (e.g., access distance, access mode to transit). As well, the Autorité régionale de transport métropolitain (ARTM) is an origin-destination survey and one of the most critical transportation studies in Quebec that has been carried out every five years since 1970. Data are collected for each household (home location, size, number of cars), each person in the household (age, gender, driving license ownership, main occupation, public transit monthly pass ownership), and each trip made by each person of 5 years and older (departure time, origin and destination locations, trip purpose, mode sequence, and others).</w:t>
      </w:r>
    </w:p>
    <w:p>
      <w:pPr>
        <w:pStyle w:val="BodyText"/>
      </w:pPr>
      <w:r>
        <w:rPr>
          <w:bCs/>
          <w:b/>
        </w:rPr>
        <w:t xml:space="preserve">Users data (Socio-economic and personal data)</w:t>
      </w:r>
    </w:p>
    <w:p>
      <w:pPr>
        <w:pStyle w:val="BodyText"/>
      </w:pPr>
      <w: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w:t>
      </w:r>
      <w:r>
        <w:t xml:space="preserve"> </w:t>
      </w:r>
      <w:r>
        <w:rPr>
          <w:bCs/>
          <w:b/>
        </w:rPr>
        <w:t xml:space="preserve">(StatisticsCanada 2021)</w:t>
      </w:r>
    </w:p>
    <w:p>
      <w:pPr>
        <w:pStyle w:val="BodyText"/>
      </w:pPr>
      <w:r>
        <w:rPr>
          <w:bCs/>
          <w:b/>
        </w:rPr>
        <w:t xml:space="preserve">Origin- destination data</w:t>
      </w:r>
    </w:p>
    <w:p>
      <w:pPr>
        <w:pStyle w:val="BodyText"/>
      </w:pPr>
      <w:r>
        <w:t xml:space="preserve">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 etc ), work, and home. Origins and destinations data of cycling and walking trips all over Canada can be obtained from two sources of General Social Survey (GSS)-time uses data and The Linkable Open Data Environment (LODE).</w:t>
      </w:r>
    </w:p>
    <w:p>
      <w:pPr>
        <w:pStyle w:val="BodyText"/>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p>
      <w:pPr>
        <w:pStyle w:val="BodyText"/>
      </w:pPr>
      <w:r>
        <w:t xml:space="preserve">In addition, 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 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pStyle w:val="BodyText"/>
      </w:pPr>
      <w:r>
        <w:rPr>
          <w:bCs/>
          <w:b/>
        </w:rPr>
        <w:t xml:space="preserve">Cycling and walking networks</w:t>
      </w:r>
    </w:p>
    <w:p>
      <w:pPr>
        <w:pStyle w:val="BodyText"/>
      </w:pPr>
      <w:r>
        <w:t xml:space="preserve">Cycling and walking networks can be obtained from different sources such as Can-BICS, open street map (OSM), and municipal open data.</w:t>
      </w:r>
    </w:p>
    <w:p>
      <w:pPr>
        <w:pStyle w:val="BodyText"/>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pPr>
        <w:pStyle w:val="BodyText"/>
      </w:pPr>
      <w:r>
        <w:t xml:space="preserve">Can-BICS measured bicycle infrastructure for all communities in Canada, at the neighborhood level, using open data sources such as OpenStreetMap (OSM). This data was completed in 15 pilot cities such as Edmonton, Ottawa, Montreal, Vancouver, Winnipeg, Halifax, Regina, Saint John, Victoria, Canmore, Cornwall, Courtenay, Whistler, and Whitehorse.</w:t>
      </w:r>
    </w:p>
    <w:p>
      <w:pPr>
        <w:pStyle w:val="BodyText"/>
      </w:pP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pPr>
        <w:pStyle w:val="BodyText"/>
      </w:pPr>
      <w:r>
        <w:t xml:space="preserve">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pPr>
        <w:pStyle w:val="BodyText"/>
      </w:pPr>
      <w:r>
        <w:rPr>
          <w:bCs/>
          <w:b/>
        </w:rPr>
        <w:t xml:space="preserve">Spatial data (boundary, land use, postal code, etc)</w:t>
      </w:r>
    </w:p>
    <w:p>
      <w:pPr>
        <w:pStyle w:val="BodyText"/>
      </w:pPr>
      <w:r>
        <w:t xml:space="preserve">Spatial data such as boundary, land use, postal code, origin and destinations and etc can be obtained from scholars Geoportal and open street map (OMP).</w:t>
      </w:r>
    </w:p>
    <w:p>
      <w:pPr>
        <w:pStyle w:val="BodyText"/>
      </w:pPr>
      <w:r>
        <w:t xml:space="preserve">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p>
      <w:pPr>
        <w:pStyle w:val="BodyText"/>
      </w:pPr>
      <w:r>
        <w:t xml:space="preserve">In Table 6, each database was examined based on seven data categories.</w:t>
      </w:r>
    </w:p>
    <w:p>
      <w:pPr>
        <w:pStyle w:val="TableCaption"/>
      </w:pPr>
      <w:r>
        <w:rPr>
          <w:bCs/>
          <w:b/>
        </w:rPr>
        <w:t xml:space="preserve">Table 6.</w:t>
      </w:r>
      <w:r>
        <w:t xml:space="preserve"> </w:t>
      </w:r>
      <w:r>
        <w:t xml:space="preserve">Availability of datasets</w:t>
      </w:r>
    </w:p>
    <w:tbl>
      <w:tblPr>
        <w:tblStyle w:val="Table"/>
        <w:tblW w:type="pct" w:w="4950"/>
        <w:tblLook w:firstRow="1" w:lastRow="0" w:firstColumn="0" w:lastColumn="0" w:noHBand="0" w:noVBand="0" w:val="0020"/>
        <w:tblCaption w:val="Table 6. Availability of datasets"/>
      </w:tblPr>
      <w:tblGrid>
        <w:gridCol w:w="2613"/>
        <w:gridCol w:w="871"/>
        <w:gridCol w:w="871"/>
        <w:gridCol w:w="871"/>
        <w:gridCol w:w="871"/>
        <w:gridCol w:w="871"/>
        <w:gridCol w:w="871"/>
      </w:tblGrid>
      <w:tr>
        <w:trPr>
          <w:tblHeader w:val="true"/>
        </w:trPr>
        <w:tc>
          <w:tcPr/>
          <w:p>
            <w:pPr>
              <w:pStyle w:val="Compact"/>
              <w:jc w:val="left"/>
            </w:pPr>
            <w:r>
              <w:t xml:space="preserve">Dataset</w:t>
            </w:r>
          </w:p>
        </w:tc>
        <w:tc>
          <w:tcPr/>
          <w:p>
            <w:pPr>
              <w:pStyle w:val="Compact"/>
              <w:jc w:val="left"/>
            </w:pPr>
            <w:r>
              <w:t xml:space="preserve">Travel Data</w:t>
            </w:r>
          </w:p>
        </w:tc>
        <w:tc>
          <w:tcPr/>
          <w:p>
            <w:pPr>
              <w:pStyle w:val="Compact"/>
              <w:jc w:val="left"/>
            </w:pPr>
            <w:r>
              <w:t xml:space="preserve">Users Data</w:t>
            </w:r>
          </w:p>
        </w:tc>
        <w:tc>
          <w:tcPr/>
          <w:p>
            <w:pPr>
              <w:pStyle w:val="Compact"/>
              <w:jc w:val="left"/>
            </w:pPr>
            <w:r>
              <w:t xml:space="preserve">Origin-Destination Data</w:t>
            </w:r>
          </w:p>
        </w:tc>
        <w:tc>
          <w:tcPr/>
          <w:p>
            <w:pPr>
              <w:pStyle w:val="Compact"/>
              <w:jc w:val="left"/>
            </w:pPr>
            <w:r>
              <w:t xml:space="preserve">Cycling and Walking data</w:t>
            </w:r>
          </w:p>
        </w:tc>
        <w:tc>
          <w:tcPr/>
          <w:p>
            <w:pPr>
              <w:pStyle w:val="Compact"/>
              <w:jc w:val="left"/>
            </w:pPr>
            <w:r>
              <w:t xml:space="preserve">Spatial data</w:t>
            </w:r>
          </w:p>
        </w:tc>
        <w:tc>
          <w:tcPr/>
          <w:p>
            <w:pPr>
              <w:pStyle w:val="Compact"/>
              <w:jc w:val="left"/>
            </w:pPr>
            <w:r>
              <w:t xml:space="preserve">additional data</w:t>
            </w:r>
          </w:p>
        </w:tc>
      </w:tr>
      <w:tr>
        <w:tc>
          <w:tcPr/>
          <w:p>
            <w:pPr>
              <w:pStyle w:val="Compact"/>
              <w:jc w:val="left"/>
            </w:pPr>
            <w:r>
              <w:t xml:space="preserve">General social survey (GSS)</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Transportation Tomorrow Survey (TTS) of Toronto</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r>
              <w:t xml:space="preserve">Autorité régionale de transport métropolitain (ARTM) survey of Montreal</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r>
              <w:t xml:space="preserve">The Linkable Open Data Environment (LODE)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Can-BICS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Stress Level</w:t>
            </w:r>
          </w:p>
        </w:tc>
      </w:tr>
      <w:tr>
        <w:tc>
          <w:tcPr/>
          <w:p>
            <w:pPr>
              <w:pStyle w:val="Compact"/>
              <w:jc w:val="left"/>
            </w:pPr>
            <w:r>
              <w:t xml:space="preserve">open street map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r>
      <w:tr>
        <w:tc>
          <w:tcPr/>
          <w:p>
            <w:pPr>
              <w:pStyle w:val="Compact"/>
              <w:jc w:val="left"/>
            </w:pPr>
            <w:r>
              <w:t xml:space="preserve">municipal open data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bl>
    <w:bookmarkEnd w:id="34"/>
    <w:bookmarkStart w:id="41" w:name="X256c34c98bf2a6739221a5ce567eb24d91b222a"/>
    <w:p>
      <w:pPr>
        <w:pStyle w:val="Heading2"/>
      </w:pPr>
      <w:r>
        <w:t xml:space="preserve">Important considerations and possible challenges</w:t>
      </w:r>
    </w:p>
    <w:p>
      <w:pPr>
        <w:pStyle w:val="FirstParagraph"/>
      </w:pPr>
      <w:r>
        <w:rPr>
          <w:bCs/>
          <w:b/>
        </w:rPr>
        <w:t xml:space="preserve">Travel time/distance thresholds</w:t>
      </w:r>
    </w:p>
    <w:p>
      <w:pPr>
        <w:pStyle w:val="BodyText"/>
      </w:pPr>
      <w:r>
        <w:t xml:space="preserve">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pPr>
        <w:pStyle w:val="BodyText"/>
      </w:pPr>
      <w:r>
        <w:t xml:space="preserve">Some analyses choose to vary thresholds according to the destination type, or by population group. For example, Saghapour (2017) use a 10-minute travel time for retail and recreation centres and a 20-minute travel time for cycling to community services</w:t>
      </w:r>
      <w:r>
        <w:t xml:space="preserve">(Saghapour, Moridpour, and Thompson 2017)</w:t>
      </w:r>
      <w:r>
        <w:t xml:space="preserve">.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7 shows the thresholds of bicycle and walking travel time and distance in different studies.</w:t>
      </w:r>
    </w:p>
    <w:p>
      <w:pPr>
        <w:pStyle w:val="TableCaption"/>
      </w:pPr>
      <w:r>
        <w:rPr>
          <w:bCs/>
          <w:b/>
        </w:rPr>
        <w:t xml:space="preserve">Table 7.</w:t>
      </w:r>
      <w:r>
        <w:t xml:space="preserve"> </w:t>
      </w:r>
      <w:r>
        <w:t xml:space="preserve">Thresholds of bicycle and walking travel time and distance</w:t>
      </w:r>
    </w:p>
    <w:tbl>
      <w:tblPr>
        <w:tblStyle w:val="Table"/>
        <w:tblW w:type="pct" w:w="5000"/>
        <w:tblLook w:firstRow="1" w:lastRow="0" w:firstColumn="0" w:lastColumn="0" w:noHBand="0" w:noVBand="0" w:val="0020"/>
        <w:tblCaption w:val="Table 7. Thresholds of bicycle and walking travel time and distance"/>
      </w:tblPr>
      <w:tblGrid>
        <w:gridCol w:w="5940"/>
        <w:gridCol w:w="1980"/>
      </w:tblGrid>
      <w:tr>
        <w:trPr>
          <w:tblHeader w:val="true"/>
        </w:trPr>
        <w:tc>
          <w:tcPr/>
          <w:p>
            <w:pPr>
              <w:pStyle w:val="Compact"/>
              <w:jc w:val="center"/>
            </w:pPr>
            <w:r>
              <w:rPr>
                <w:bCs/>
                <w:b/>
              </w:rPr>
              <w:t xml:space="preserve">Distance/Time thresholds</w:t>
            </w:r>
          </w:p>
        </w:tc>
        <w:tc>
          <w:tcPr/>
          <w:p>
            <w:pPr>
              <w:pStyle w:val="Compact"/>
            </w:pPr>
          </w:p>
        </w:tc>
      </w:tr>
      <w:tr>
        <w:tc>
          <w:tcPr/>
          <w:p>
            <w:pPr>
              <w:pStyle w:val="Compact"/>
              <w:jc w:val="center"/>
            </w:pPr>
            <w:r>
              <w:rPr>
                <w:bCs/>
                <w:b/>
              </w:rPr>
              <w:t xml:space="preserve">walking trips</w:t>
            </w:r>
          </w:p>
        </w:tc>
        <w:tc>
          <w:tcPr/>
          <w:p>
            <w:pPr>
              <w:pStyle w:val="Compact"/>
            </w:pPr>
          </w:p>
        </w:tc>
      </w:tr>
      <w:tr>
        <w:tc>
          <w:tcPr/>
          <w:p>
            <w:pPr>
              <w:pStyle w:val="Compact"/>
              <w:jc w:val="center"/>
            </w:pPr>
            <w:r>
              <w:t xml:space="preserve">Neilson and Fowler (1972), O’Neill, Ramsey et al. (1992), Hsiao, Lu et al. (1997), Murray and Wu (2003), Zhao, Chow et al. (2003), Kimpel, Dueker et al. (2007), Gutiérrez and García-Palomares (2008)</w:t>
            </w:r>
          </w:p>
        </w:tc>
        <w:tc>
          <w:tcPr/>
          <w:p>
            <w:pPr>
              <w:pStyle w:val="Compact"/>
              <w:jc w:val="left"/>
            </w:pPr>
            <w:r>
              <w:t xml:space="preserve">The most common standard measure of walking distance to transit stops and stations has been 400 m (0.25 miles).</w:t>
            </w:r>
          </w:p>
        </w:tc>
      </w:tr>
      <w:tr>
        <w:tc>
          <w:tcPr/>
          <w:p>
            <w:pPr>
              <w:pStyle w:val="Compact"/>
              <w:jc w:val="center"/>
            </w:pPr>
            <w:r>
              <w:t xml:space="preserve">Lam and Morrall (1982)</w:t>
            </w:r>
          </w:p>
        </w:tc>
        <w:tc>
          <w:tcPr/>
          <w:p>
            <w:pPr>
              <w:pStyle w:val="Compact"/>
              <w:jc w:val="left"/>
            </w:pPr>
            <w:r>
              <w:t xml:space="preserve">In Calgary, Canada, observed a median walking distance to bus stops of 292 m, while the average was 327 m and the 75th percentile, 450 m.</w:t>
            </w:r>
          </w:p>
        </w:tc>
      </w:tr>
      <w:tr>
        <w:tc>
          <w:tcPr/>
          <w:p>
            <w:pPr>
              <w:pStyle w:val="Compact"/>
              <w:jc w:val="center"/>
            </w:pPr>
            <w:r>
              <w:t xml:space="preserve">O’Sullivan and Morrall (1996)</w:t>
            </w:r>
          </w:p>
        </w:tc>
        <w:tc>
          <w:tcPr/>
          <w:p>
            <w:pPr>
              <w:pStyle w:val="Compact"/>
              <w:jc w:val="left"/>
            </w:pPr>
            <w:r>
              <w:t xml:space="preserve">distinguished between walking to light-rail transit stations in the suburbs and in the central business district. They found an average distance of 649 m and a 75th percentile equal to 840 m in the former, while the average distance was 326 metres and the 75th percentile was 419 metres in the latter (Calgary, Canada)</w:t>
            </w:r>
          </w:p>
        </w:tc>
      </w:tr>
      <w:tr>
        <w:tc>
          <w:tcPr/>
          <w:p>
            <w:pPr>
              <w:pStyle w:val="Compact"/>
              <w:jc w:val="center"/>
            </w:pPr>
            <w:r>
              <w:t xml:space="preserve">Arasan, Rengaraju et al. (1996)</w:t>
            </w:r>
          </w:p>
        </w:tc>
        <w:tc>
          <w:tcPr/>
          <w:p>
            <w:pPr>
              <w:pStyle w:val="Compact"/>
              <w:jc w:val="left"/>
            </w:pPr>
            <w:r>
              <w:t xml:space="preserve">an average critical trip time is 20 min for walking.</w:t>
            </w:r>
          </w:p>
        </w:tc>
      </w:tr>
      <w:tr>
        <w:tc>
          <w:tcPr/>
          <w:p>
            <w:pPr>
              <w:pStyle w:val="Compact"/>
              <w:jc w:val="center"/>
            </w:pPr>
            <w:r>
              <w:t xml:space="preserve">Nicholls (2001), Smoyer?Tomic, Hewko et al. (2004)</w:t>
            </w:r>
          </w:p>
        </w:tc>
        <w:tc>
          <w:tcPr/>
          <w:p>
            <w:pPr>
              <w:pStyle w:val="Compact"/>
              <w:jc w:val="left"/>
            </w:pPr>
            <w:r>
              <w:t xml:space="preserve">used a distance of 0.8 km as a reasonable threshold for walking trips (the threshold is not specific to a population group)</w:t>
            </w:r>
          </w:p>
        </w:tc>
      </w:tr>
      <w:tr>
        <w:tc>
          <w:tcPr/>
          <w:p>
            <w:pPr>
              <w:pStyle w:val="Compact"/>
              <w:jc w:val="center"/>
            </w:pPr>
            <w:r>
              <w:t xml:space="preserve">Zhao, Chow et al. (2003)</w:t>
            </w:r>
          </w:p>
        </w:tc>
        <w:tc>
          <w:tcPr/>
          <w:p>
            <w:pPr>
              <w:pStyle w:val="Compact"/>
              <w:jc w:val="left"/>
            </w:pPr>
            <w:r>
              <w:t xml:space="preserve">in southeast Florida, the number of riders walking over half a mile (800m) was negligible.</w:t>
            </w:r>
          </w:p>
        </w:tc>
      </w:tr>
      <w:tr>
        <w:tc>
          <w:tcPr/>
          <w:p>
            <w:pPr>
              <w:pStyle w:val="Compact"/>
              <w:jc w:val="center"/>
            </w:pPr>
            <w:r>
              <w:t xml:space="preserve">Van Herzele and Wiedemann (2003)</w:t>
            </w:r>
          </w:p>
        </w:tc>
        <w:tc>
          <w:tcPr/>
          <w:p>
            <w:pPr>
              <w:pStyle w:val="Compact"/>
              <w:jc w:val="left"/>
            </w:pPr>
            <w:r>
              <w:t xml:space="preserve">Maximum distance from home to: 1) Residential green (150 m); Neighborhood green (400 m); Quarter green (800 m); District green (1600 m); City green (3200 m); Urban forest (5000 m)</w:t>
            </w:r>
          </w:p>
        </w:tc>
      </w:tr>
      <w:tr>
        <w:tc>
          <w:tcPr/>
          <w:p>
            <w:pPr>
              <w:pStyle w:val="Compact"/>
              <w:jc w:val="center"/>
            </w:pPr>
            <w:r>
              <w:t xml:space="preserve">Tsou, Hung et al. (2005)</w:t>
            </w:r>
          </w:p>
        </w:tc>
        <w:tc>
          <w:tcPr/>
          <w:p>
            <w:pPr>
              <w:pStyle w:val="Compact"/>
              <w:jc w:val="left"/>
            </w:pPr>
            <w:r>
              <w:t xml:space="preserve">Defined varying distances that depended on the type of facility:</w:t>
            </w:r>
          </w:p>
        </w:tc>
      </w:tr>
      <w:tr>
        <w:tc>
          <w:tcPr/>
          <w:p>
            <w:pPr>
              <w:pStyle w:val="Compact"/>
            </w:pPr>
          </w:p>
        </w:tc>
        <w:tc>
          <w:tcPr/>
          <w:p>
            <w:pPr>
              <w:pStyle w:val="Compact"/>
              <w:jc w:val="left"/>
            </w:pPr>
            <w:r>
              <w:t xml:space="preserve">· the service range of municipal facilities such as town parks, universities, museums and dump sites cover the entire city.</w:t>
            </w:r>
          </w:p>
        </w:tc>
      </w:tr>
      <w:tr>
        <w:tc>
          <w:tcPr/>
          <w:p>
            <w:pPr>
              <w:pStyle w:val="Compact"/>
            </w:pPr>
          </w:p>
        </w:tc>
        <w:tc>
          <w:tcPr/>
          <w:p>
            <w:pPr>
              <w:pStyle w:val="Compact"/>
              <w:jc w:val="left"/>
            </w:pPr>
            <w:r>
              <w:t xml:space="preserve">· community facilities, including junior and senior high schools, transformer stations, etc., are typically in the 2 km range.</w:t>
            </w:r>
          </w:p>
        </w:tc>
      </w:tr>
      <w:tr>
        <w:tc>
          <w:tcPr/>
          <w:p>
            <w:pPr>
              <w:pStyle w:val="Compact"/>
            </w:pPr>
          </w:p>
        </w:tc>
        <w:tc>
          <w:tcPr/>
          <w:p>
            <w:pPr>
              <w:pStyle w:val="Compact"/>
              <w:jc w:val="left"/>
            </w:pPr>
            <w:r>
              <w:t xml:space="preserve">· The service range of neighborhood facilities like playgrounds and elementary schools is typically in the 1 km range.</w:t>
            </w:r>
          </w:p>
        </w:tc>
      </w:tr>
      <w:tr>
        <w:tc>
          <w:tcPr/>
          <w:p>
            <w:pPr>
              <w:pStyle w:val="Compact"/>
              <w:jc w:val="center"/>
            </w:pPr>
            <w:r>
              <w:t xml:space="preserve">Schlossberg, Agrawal et al. (2007)</w:t>
            </w:r>
          </w:p>
        </w:tc>
        <w:tc>
          <w:tcPr/>
          <w:p>
            <w:pPr>
              <w:pStyle w:val="Compact"/>
              <w:jc w:val="left"/>
            </w:pPr>
            <w:r>
              <w:t xml:space="preserve">walking distances to rail transit stations in Portland, WA, and San Francisco, were a median distance of 0.47 miles (756 m)</w:t>
            </w:r>
          </w:p>
        </w:tc>
      </w:tr>
      <w:tr>
        <w:tc>
          <w:tcPr/>
          <w:p>
            <w:pPr>
              <w:pStyle w:val="Compact"/>
              <w:jc w:val="center"/>
            </w:pPr>
            <w:r>
              <w:t xml:space="preserve">Alshalalfah and Shalaby (2007)</w:t>
            </w:r>
          </w:p>
        </w:tc>
        <w:tc>
          <w:tcPr/>
          <w:p>
            <w:pPr>
              <w:pStyle w:val="Compact"/>
              <w:jc w:val="left"/>
            </w:pPr>
            <w:r>
              <w:t xml:space="preserve">showed that among transit users, 60 % live within 300 m from their stop and 80 % within 500 m in Canada.</w:t>
            </w:r>
          </w:p>
        </w:tc>
      </w:tr>
      <w:tr>
        <w:tc>
          <w:tcPr/>
          <w:p>
            <w:pPr>
              <w:pStyle w:val="Compact"/>
              <w:jc w:val="center"/>
            </w:pPr>
            <w:r>
              <w:t xml:space="preserve">Larsen and Gilliland (2008)</w:t>
            </w:r>
          </w:p>
        </w:tc>
        <w:tc>
          <w:tcPr/>
          <w:p>
            <w:pPr>
              <w:pStyle w:val="Compact"/>
              <w:jc w:val="left"/>
            </w:pPr>
            <w:r>
              <w:t xml:space="preserve">Population within 500 m walk distance of supermarkets</w:t>
            </w:r>
          </w:p>
        </w:tc>
      </w:tr>
      <w:tr>
        <w:tc>
          <w:tcPr/>
          <w:p>
            <w:pPr>
              <w:pStyle w:val="Compact"/>
              <w:jc w:val="center"/>
            </w:pPr>
            <w:r>
              <w:t xml:space="preserve">Manaugh and El-Geneidy (2011)</w:t>
            </w:r>
          </w:p>
        </w:tc>
        <w:tc>
          <w:tcPr/>
          <w:p>
            <w:pPr>
              <w:pStyle w:val="Compact"/>
              <w:jc w:val="left"/>
            </w:pPr>
            <w:r>
              <w:t xml:space="preserve">used 400, 800 and 1200 m thresholds for calculating walkability score</w:t>
            </w:r>
          </w:p>
        </w:tc>
      </w:tr>
      <w:tr>
        <w:tc>
          <w:tcPr/>
          <w:p>
            <w:pPr>
              <w:pStyle w:val="Compact"/>
              <w:jc w:val="center"/>
            </w:pPr>
            <w:r>
              <w:t xml:space="preserve">Daniels and Mulley (2013)</w:t>
            </w:r>
          </w:p>
        </w:tc>
        <w:tc>
          <w:tcPr/>
          <w:p>
            <w:pPr>
              <w:pStyle w:val="Compact"/>
              <w:jc w:val="left"/>
            </w:pPr>
            <w:r>
              <w:t xml:space="preserve">the mean walking distance to bus service 461 m with 75th percentile at 566 m.</w:t>
            </w:r>
          </w:p>
        </w:tc>
      </w:tr>
      <w:tr>
        <w:tc>
          <w:tcPr/>
          <w:p>
            <w:pPr>
              <w:pStyle w:val="Compact"/>
            </w:pPr>
          </w:p>
        </w:tc>
        <w:tc>
          <w:tcPr/>
          <w:p>
            <w:pPr>
              <w:pStyle w:val="Compact"/>
              <w:jc w:val="left"/>
            </w:pPr>
            <w:r>
              <w:t xml:space="preserve">In the same study they found mean walking to rail around 805 m and the 75th percentile at 1,018 m.</w:t>
            </w:r>
          </w:p>
        </w:tc>
      </w:tr>
      <w:tr>
        <w:tc>
          <w:tcPr/>
          <w:p>
            <w:pPr>
              <w:pStyle w:val="Compact"/>
            </w:pPr>
          </w:p>
        </w:tc>
        <w:tc>
          <w:tcPr/>
          <w:p>
            <w:pPr>
              <w:pStyle w:val="Compact"/>
              <w:jc w:val="left"/>
            </w:pPr>
            <w:r>
              <w:t xml:space="preserve">Also, it is clear that these distances are significantly beyond the 400 m for buses and 800 for rail.</w:t>
            </w:r>
          </w:p>
        </w:tc>
      </w:tr>
      <w:tr>
        <w:tc>
          <w:tcPr/>
          <w:p>
            <w:pPr>
              <w:pStyle w:val="Compact"/>
              <w:jc w:val="center"/>
            </w:pPr>
            <w:r>
              <w:t xml:space="preserve">El-Geneidy, Grimsrud et al. (2014)</w:t>
            </w:r>
          </w:p>
        </w:tc>
        <w:tc>
          <w:tcPr/>
          <w:p>
            <w:pPr>
              <w:pStyle w:val="Compact"/>
              <w:jc w:val="left"/>
            </w:pPr>
            <w:r>
              <w:t xml:space="preserve">The 85th percentile walking distance to bus transit service is found to be around 524 m for home-based trip origins, 1,259 m for home-based commuter rail trip origins.</w:t>
            </w:r>
          </w:p>
        </w:tc>
      </w:tr>
      <w:tr>
        <w:tc>
          <w:tcPr/>
          <w:p>
            <w:pPr>
              <w:pStyle w:val="Compact"/>
              <w:jc w:val="center"/>
            </w:pPr>
            <w:r>
              <w:t xml:space="preserve">Azmi, Karim et al. (2013)</w:t>
            </w:r>
          </w:p>
        </w:tc>
        <w:tc>
          <w:tcPr/>
          <w:p>
            <w:pPr>
              <w:pStyle w:val="Compact"/>
              <w:jc w:val="left"/>
            </w:pPr>
            <w:r>
              <w:t xml:space="preserve">considered radius of 400 meter (approximately 5 minute of walking) in the neighborhood area.</w:t>
            </w:r>
          </w:p>
        </w:tc>
      </w:tr>
      <w:tr>
        <w:tc>
          <w:tcPr/>
          <w:p>
            <w:pPr>
              <w:pStyle w:val="Compact"/>
              <w:jc w:val="center"/>
            </w:pPr>
            <w:r>
              <w:t xml:space="preserve">Saghapour (2017)</w:t>
            </w:r>
          </w:p>
        </w:tc>
        <w:tc>
          <w:tcPr/>
          <w:p>
            <w:pPr>
              <w:pStyle w:val="Compact"/>
              <w:jc w:val="left"/>
            </w:pPr>
            <w:r>
              <w:t xml:space="preserve">considered 20-30 mins or 1.6 – 2.4 km (Based on POI type)</w:t>
            </w:r>
          </w:p>
        </w:tc>
      </w:tr>
      <w:tr>
        <w:tc>
          <w:tcPr/>
          <w:p>
            <w:pPr>
              <w:pStyle w:val="Compact"/>
              <w:jc w:val="center"/>
            </w:pPr>
            <w:r>
              <w:t xml:space="preserve">van Soest, Tight et al. (2020)</w:t>
            </w:r>
          </w:p>
        </w:tc>
        <w:tc>
          <w:tcPr/>
          <w:p>
            <w:pPr>
              <w:pStyle w:val="Compact"/>
              <w:jc w:val="left"/>
            </w:pPr>
            <w:r>
              <w:t xml:space="preserve">400 or 800 m thresholds for walking to public transport</w:t>
            </w:r>
          </w:p>
        </w:tc>
      </w:tr>
      <w:tr>
        <w:tc>
          <w:tcPr/>
          <w:p>
            <w:pPr>
              <w:pStyle w:val="Compact"/>
              <w:jc w:val="center"/>
            </w:pPr>
            <w:r>
              <w:t xml:space="preserve">Adhikari, Delgado-Ron et al. (2021)</w:t>
            </w:r>
          </w:p>
        </w:tc>
        <w:tc>
          <w:tcPr/>
          <w:p>
            <w:pPr>
              <w:pStyle w:val="Compact"/>
              <w:jc w:val="left"/>
            </w:pPr>
            <w:r>
              <w:t xml:space="preserve">10–15 min of walking time, a commonly used time frame to assess perceived proximity to amenities and services</w:t>
            </w:r>
          </w:p>
        </w:tc>
      </w:tr>
      <w:tr>
        <w:tc>
          <w:tcPr/>
          <w:p>
            <w:pPr>
              <w:pStyle w:val="Compact"/>
              <w:jc w:val="center"/>
            </w:pPr>
            <w:r>
              <w:t xml:space="preserve">Cycling trips</w:t>
            </w:r>
          </w:p>
        </w:tc>
        <w:tc>
          <w:tcPr/>
          <w:p>
            <w:pPr>
              <w:pStyle w:val="Compact"/>
            </w:pPr>
          </w:p>
        </w:tc>
      </w:tr>
      <w:tr>
        <w:tc>
          <w:tcPr/>
          <w:p>
            <w:pPr>
              <w:pStyle w:val="Compact"/>
              <w:jc w:val="center"/>
            </w:pPr>
            <w:r>
              <w:t xml:space="preserve">Arasan, Rengaraju et al. (1996)</w:t>
            </w:r>
          </w:p>
        </w:tc>
        <w:tc>
          <w:tcPr/>
          <w:p>
            <w:pPr>
              <w:pStyle w:val="Compact"/>
              <w:jc w:val="left"/>
            </w:pPr>
            <w:r>
              <w:t xml:space="preserve">found an average critical trip time of 24 min for bicycling.</w:t>
            </w:r>
          </w:p>
        </w:tc>
      </w:tr>
      <w:tr>
        <w:tc>
          <w:tcPr/>
          <w:p>
            <w:pPr>
              <w:pStyle w:val="Compact"/>
              <w:jc w:val="center"/>
            </w:pPr>
            <w:r>
              <w:t xml:space="preserve">Seneviratne (1985), Arasan, Rengaraju et al. (1994), Rastogi and Krishna Rao (2003)</w:t>
            </w:r>
          </w:p>
        </w:tc>
        <w:tc>
          <w:tcPr/>
          <w:p>
            <w:pPr>
              <w:pStyle w:val="Compact"/>
              <w:jc w:val="left"/>
            </w:pPr>
            <w:r>
              <w:t xml:space="preserve">proposed an average critical distance of 1100 m across the categories of trip type, and 1050 m and 750 m respectively for the categories of male and female.</w:t>
            </w:r>
          </w:p>
        </w:tc>
      </w:tr>
      <w:tr>
        <w:tc>
          <w:tcPr/>
          <w:p>
            <w:pPr>
              <w:pStyle w:val="Compact"/>
              <w:jc w:val="center"/>
            </w:pPr>
            <w:r>
              <w:t xml:space="preserve">Houde, Apparicio et al. (2018)</w:t>
            </w:r>
          </w:p>
        </w:tc>
        <w:tc>
          <w:tcPr/>
          <w:p>
            <w:pPr>
              <w:pStyle w:val="Compact"/>
              <w:jc w:val="left"/>
            </w:pPr>
            <w:r>
              <w:t xml:space="preserve">access to the cycling network within a 500-metre radius and the access to a cyclist-only bike path within a 500-metre radius from the centroid of the census tract.</w:t>
            </w:r>
          </w:p>
        </w:tc>
      </w:tr>
      <w:tr>
        <w:tc>
          <w:tcPr/>
          <w:p>
            <w:pPr>
              <w:pStyle w:val="Compact"/>
              <w:jc w:val="center"/>
            </w:pPr>
            <w:r>
              <w:t xml:space="preserve">McNeil (2011)</w:t>
            </w:r>
          </w:p>
        </w:tc>
        <w:tc>
          <w:tcPr/>
          <w:p>
            <w:pPr>
              <w:pStyle w:val="Compact"/>
              <w:jc w:val="left"/>
            </w:pPr>
            <w:r>
              <w:t xml:space="preserve">the average cyclist would be willing to travel between 1 mi and 2.5 mi for most utilitarian nonwork trips</w:t>
            </w:r>
          </w:p>
        </w:tc>
      </w:tr>
      <w:tr>
        <w:tc>
          <w:tcPr/>
          <w:p>
            <w:pPr>
              <w:pStyle w:val="Compact"/>
              <w:jc w:val="center"/>
            </w:pPr>
            <w:r>
              <w:t xml:space="preserve">Saghapour (2017)</w:t>
            </w:r>
          </w:p>
        </w:tc>
        <w:tc>
          <w:tcPr/>
          <w:p>
            <w:pPr>
              <w:pStyle w:val="Compact"/>
              <w:jc w:val="left"/>
            </w:pPr>
            <w:r>
              <w:t xml:space="preserve">Considered 10-20 mins or 2.5 - 4km (Based on POI type)</w:t>
            </w:r>
          </w:p>
        </w:tc>
      </w:tr>
      <w:tr>
        <w:tc>
          <w:tcPr/>
          <w:p>
            <w:pPr>
              <w:pStyle w:val="Compact"/>
              <w:jc w:val="center"/>
            </w:pPr>
            <w:r>
              <w:t xml:space="preserve">Tucker and Manaugh (2017)</w:t>
            </w:r>
          </w:p>
        </w:tc>
        <w:tc>
          <w:tcPr/>
          <w:p>
            <w:pPr>
              <w:pStyle w:val="Compact"/>
              <w:jc w:val="left"/>
            </w:pPr>
            <w:r>
              <w:t xml:space="preserve">A cut-off length of 7 km was used.</w:t>
            </w:r>
          </w:p>
        </w:tc>
      </w:tr>
      <w:tr>
        <w:tc>
          <w:tcPr/>
          <w:p>
            <w:pPr>
              <w:pStyle w:val="Compact"/>
              <w:jc w:val="center"/>
            </w:pPr>
            <w:r>
              <w:t xml:space="preserve">Manum, Nordstrom et al. (2019)</w:t>
            </w:r>
          </w:p>
        </w:tc>
        <w:tc>
          <w:tcPr/>
          <w:p>
            <w:pPr>
              <w:pStyle w:val="Compact"/>
              <w:jc w:val="left"/>
            </w:pPr>
            <w:r>
              <w:t xml:space="preserve">a travel-time threshold of 15 minutes in one direction is a reasonable value for calculating the catchment area. (bicycling speeds vary)</w:t>
            </w:r>
          </w:p>
        </w:tc>
      </w:tr>
      <w:tr>
        <w:tc>
          <w:tcPr/>
          <w:p>
            <w:pPr>
              <w:pStyle w:val="Compact"/>
              <w:jc w:val="center"/>
            </w:pPr>
            <w:r>
              <w:t xml:space="preserve">Faghih Imani, Miller et al. (2019)</w:t>
            </w:r>
          </w:p>
        </w:tc>
        <w:tc>
          <w:tcPr/>
          <w:p>
            <w:pPr>
              <w:pStyle w:val="Compact"/>
              <w:jc w:val="left"/>
            </w:pPr>
            <w:r>
              <w:t xml:space="preserve">calculated the 30-minute cycling thresholds to accessibility to jobs</w:t>
            </w:r>
          </w:p>
        </w:tc>
      </w:tr>
      <w:tr>
        <w:tc>
          <w:tcPr/>
          <w:p>
            <w:pPr>
              <w:pStyle w:val="Compact"/>
              <w:jc w:val="center"/>
            </w:pPr>
            <w:r>
              <w:t xml:space="preserve">Li, Huang et al. (2020)</w:t>
            </w:r>
          </w:p>
        </w:tc>
        <w:tc>
          <w:tcPr/>
          <w:p>
            <w:pPr>
              <w:pStyle w:val="Compact"/>
              <w:jc w:val="left"/>
            </w:pPr>
            <w:r>
              <w:t xml:space="preserve">consider the trips whose trip distance and duration are between the 1st (301m and 180 s)</w:t>
            </w:r>
          </w:p>
        </w:tc>
      </w:tr>
      <w:tr>
        <w:tc>
          <w:tcPr/>
          <w:p>
            <w:pPr>
              <w:pStyle w:val="Compact"/>
              <w:jc w:val="center"/>
            </w:pPr>
            <w:r>
              <w:t xml:space="preserve">Chen and Wang (2020)</w:t>
            </w:r>
          </w:p>
        </w:tc>
        <w:tc>
          <w:tcPr/>
          <w:p>
            <w:pPr>
              <w:pStyle w:val="Compact"/>
              <w:jc w:val="left"/>
            </w:pPr>
            <w:r>
              <w:t xml:space="preserve">five thresholds (10-, 20-, 30-, 45-, and 60-minute) by cycling.</w:t>
            </w:r>
          </w:p>
        </w:tc>
      </w:tr>
      <w:tr>
        <w:tc>
          <w:tcPr/>
          <w:p>
            <w:pPr>
              <w:pStyle w:val="Compact"/>
              <w:jc w:val="center"/>
            </w:pPr>
            <w:r>
              <w:t xml:space="preserve">Mora, Truffello et al. (2021)</w:t>
            </w:r>
          </w:p>
        </w:tc>
        <w:tc>
          <w:tcPr/>
          <w:p>
            <w:pPr>
              <w:pStyle w:val="Compact"/>
              <w:jc w:val="left"/>
            </w:pPr>
            <w:r>
              <w:t xml:space="preserve">Access to bicycle lanes from the blocks was modeled in consideration of three critical distances: 300 m, and 500 m or 1000 m (Average minimum distance to bicycle lane)</w:t>
            </w:r>
          </w:p>
        </w:tc>
      </w:tr>
    </w:tbl>
    <w:p>
      <w:pPr>
        <w:pStyle w:val="BodyText"/>
      </w:pPr>
      <w:r>
        <w:rPr>
          <w:bCs/>
          <w:b/>
        </w:rPr>
        <w:t xml:space="preserve">Impedance functions</w:t>
      </w:r>
    </w:p>
    <w:p>
      <w:pPr>
        <w:pStyle w:val="BodyText"/>
      </w:pPr>
      <w:r>
        <w:t xml:space="preserve">Impedance function is used to describe willingness of cyclists and pedestrian to travel to a destination as a function of cost (distance, time, etc.); it is a component of accessibility</w:t>
      </w:r>
      <w:r>
        <w:t xml:space="preserve"> </w:t>
      </w:r>
      <w:r>
        <w:t xml:space="preserve">(Iacono, Krizek, and El-Geneidy 2010; Yang and Diez-Roux 2012; Arranz-López et al. 2019)</w:t>
      </w:r>
      <w:r>
        <w:t xml:space="preserve">. The impedance function obtained by fitting to a real dataset provides a continuous description of cycling and walking probability at different costs. The spatial distribution of bicycle and pedestrian travel can be expressed using distance decay functions</w:t>
      </w:r>
      <w:r>
        <w:t xml:space="preserve"> </w:t>
      </w:r>
      <w:r>
        <w:t xml:space="preserve">(Iacono, Krizek, and El-Geneidy 2010)</w:t>
      </w:r>
      <w:r>
        <w:t xml:space="preserve"> </w:t>
      </w:r>
      <w:r>
        <w:t xml:space="preserve">as travel distance is a limiting factor for implementing use</w:t>
      </w:r>
      <w:r>
        <w:t xml:space="preserve">(Larsen and El-Geneidy 2011)</w:t>
      </w:r>
      <w:r>
        <w:t xml:space="preserve">. Distance decay functions describe the effect of distance 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w:t>
      </w:r>
      <w:r>
        <w:t xml:space="preserve">(Rybarczyk and Wu 2010)</w:t>
      </w:r>
      <w:r>
        <w:t xml:space="preserve">.</w:t>
      </w:r>
    </w:p>
    <w:p>
      <w:pPr>
        <w:pStyle w:val="BodyText"/>
      </w:pPr>
      <w:r>
        <w:t xml:space="preserve">Some researchers have argued that – like maximum travel thresholds – distance-decay rates should differ according to trip purpose and different population groups</w:t>
      </w:r>
      <w:r>
        <w:t xml:space="preserve"> </w:t>
      </w:r>
      <w:r>
        <w:t xml:space="preserve">(Garcı́a-Palomares, Gutiérrez, and Cardozo 2013; X. Wu et al. 2019)</w:t>
      </w:r>
      <w:r>
        <w:t xml:space="preserve">. Similarly, researchers also argue that walking and cycling impedance functions should be calculated separately due to their differing travel speeds and maximum travel ranges</w:t>
      </w:r>
      <w:r>
        <w:t xml:space="preserve"> </w:t>
      </w:r>
      <w:r>
        <w:t xml:space="preserve">(Cheng et al. 2019)</w:t>
      </w:r>
      <w:r>
        <w:t xml:space="preserve">.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pPr>
        <w:pStyle w:val="BodyText"/>
      </w:pPr>
      <w:r>
        <w:t xml:space="preserve">In terms of the types of impedance functions considered, a negative exponential curve is common (</w:t>
      </w:r>
      <w:r>
        <w:t xml:space="preserve">Saghapour, Moridpour, and Thompson (2017)</w:t>
      </w:r>
      <w:r>
        <w:t xml:space="preserve">;</w:t>
      </w:r>
      <w:r>
        <w:t xml:space="preserve"> </w:t>
      </w:r>
      <w:r>
        <w:t xml:space="preserve">X. Wu et al. (2019)</w:t>
      </w:r>
      <w:r>
        <w:t xml:space="preserve">]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w:t>
      </w:r>
      <w:r>
        <w:t xml:space="preserve"> </w:t>
      </w:r>
      <w:r>
        <w:t xml:space="preserve">(Garcı́a-Palomares, Gutiérrez, and Cardozo 2013; X. Wu et al. 2019)</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857875" cy="4238625"/>
                  <wp:effectExtent b="0" l="0" r="0" t="0"/>
                  <wp:docPr descr="" title="" id="36" name="Picture"/>
                  <a:graphic>
                    <a:graphicData uri="http://schemas.openxmlformats.org/drawingml/2006/picture">
                      <pic:pic>
                        <pic:nvPicPr>
                          <pic:cNvPr descr="images/Fig.1.jpg" id="37" name="Picture"/>
                          <pic:cNvPicPr>
                            <a:picLocks noChangeArrowheads="1" noChangeAspect="1"/>
                          </pic:cNvPicPr>
                        </pic:nvPicPr>
                        <pic:blipFill>
                          <a:blip r:embed="rId35"/>
                          <a:stretch>
                            <a:fillRect/>
                          </a:stretch>
                        </pic:blipFill>
                        <pic:spPr bwMode="auto">
                          <a:xfrm>
                            <a:off x="0" y="0"/>
                            <a:ext cx="5857875" cy="4238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travel time decay functions by mode for work vs. non-work trips. (Source: State Smart Transportation Initiative - based on data from 2017 National Household Travel Survey)</w:t>
            </w:r>
          </w:p>
        </w:tc>
      </w:tr>
    </w:tbl>
    <w:p>
      <w:pPr>
        <w:pStyle w:val="BodyText"/>
      </w:pPr>
      <w:r>
        <w:rPr>
          <w:bCs/>
          <w:b/>
        </w:rPr>
        <w:t xml:space="preserve">Slope</w:t>
      </w:r>
    </w:p>
    <w:p>
      <w:pPr>
        <w:pStyle w:val="BodyText"/>
      </w:pPr>
      <w: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w:t>
      </w:r>
      <w:r>
        <w:t xml:space="preserve"> </w:t>
      </w:r>
      <w:r>
        <w:t xml:space="preserve">(Ebener et al. 2005)</w:t>
      </w:r>
      <w:r>
        <w:t xml:space="preserve">.</w:t>
      </w:r>
    </w:p>
    <w:p>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w:t>
      </w:r>
      <w:r>
        <w:t xml:space="preserve"> </w:t>
      </w:r>
      <w:r>
        <w:t xml:space="preserve">(D. S. Vale, Saraiva, and Pereira 2016)</w:t>
      </w:r>
      <w:r>
        <w:t xml:space="preserve">.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w:t>
      </w:r>
      <w:r>
        <w:t xml:space="preserve"> </w:t>
      </w:r>
      <w:r>
        <w:t xml:space="preserve">(Papa, Carpentieri, and Guida 2018)</w:t>
      </w:r>
      <w:r>
        <w:t xml:space="preserve">.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r>
        <w:t xml:space="preserve"> </w:t>
      </w:r>
      <w:r>
        <w:t xml:space="preserve">(Wood et al. 2018)</w:t>
      </w:r>
      <w:r>
        <w:t xml:space="preserve">.</w:t>
      </w:r>
    </w:p>
    <w:p>
      <w:pPr>
        <w:pStyle w:val="BodyText"/>
      </w:pPr>
      <w:r>
        <w:t xml:space="preserve">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pPr>
        <w:pStyle w:val="BodyText"/>
      </w:pPr>
      <m:oMathPara>
        <m:oMathParaPr>
          <m:jc m:val="center"/>
        </m:oMathParaPr>
        <m:oMath>
          <m:sSup>
            <m:e>
              <m:d>
                <m:dPr>
                  <m:begChr m:val="("/>
                  <m:endChr m:val=")"/>
                  <m:sepChr m:val=""/>
                  <m:grow/>
                </m:dPr>
                <m:e>
                  <m:f>
                    <m:fPr>
                      <m:type m:val="bar"/>
                    </m:fPr>
                    <m:num>
                      <m:d>
                        <m:dPr>
                          <m:begChr m:val="("/>
                          <m:endChr m:val=")"/>
                          <m:sepChr m:val=""/>
                          <m:grow/>
                        </m:dPr>
                        <m:e>
                          <m:r>
                            <m:t>E</m:t>
                          </m:r>
                          <m:r>
                            <m:t>n</m:t>
                          </m:r>
                          <m:sSub>
                            <m:e>
                              <m:r>
                                <m:t>d</m:t>
                              </m:r>
                            </m:e>
                            <m:sub>
                              <m:r>
                                <m:t>z</m:t>
                              </m:r>
                            </m:sub>
                          </m:sSub>
                        </m:e>
                      </m:d>
                      <m:r>
                        <m:rPr>
                          <m:sty m:val="p"/>
                        </m:rPr>
                        <m:t>−</m:t>
                      </m:r>
                      <m:d>
                        <m:dPr>
                          <m:begChr m:val="("/>
                          <m:endChr m:val=")"/>
                          <m:sepChr m:val=""/>
                          <m:grow/>
                        </m:dPr>
                        <m:e>
                          <m:r>
                            <m:t>S</m:t>
                          </m:r>
                          <m:r>
                            <m:t>t</m:t>
                          </m:r>
                          <m:r>
                            <m:t>a</m:t>
                          </m:r>
                          <m:r>
                            <m:t>r</m:t>
                          </m:r>
                          <m:sSub>
                            <m:e>
                              <m:r>
                                <m:t>t</m:t>
                              </m:r>
                            </m:e>
                            <m:sub>
                              <m:r>
                                <m:t>z</m:t>
                              </m:r>
                            </m:sub>
                          </m:sSub>
                        </m:e>
                      </m:d>
                    </m:num>
                    <m:den>
                      <m:d>
                        <m:dPr>
                          <m:begChr m:val="["/>
                          <m:endChr m:val="]"/>
                          <m:sepChr m:val=""/>
                          <m:grow/>
                        </m:dPr>
                        <m:e>
                          <m:d>
                            <m:dPr>
                              <m:begChr m:val="("/>
                              <m:endChr m:val=")"/>
                              <m:sepChr m:val=""/>
                              <m:grow/>
                            </m:dPr>
                            <m:e>
                              <m:r>
                                <m:t>S</m:t>
                              </m:r>
                              <m:r>
                                <m:t>t</m:t>
                              </m:r>
                              <m:r>
                                <m:t>a</m:t>
                              </m:r>
                              <m:r>
                                <m:t>r</m:t>
                              </m:r>
                              <m:sSub>
                                <m:e>
                                  <m:r>
                                    <m:t>t</m:t>
                                  </m:r>
                                </m:e>
                                <m:sub>
                                  <m:r>
                                    <m:t>x</m:t>
                                  </m:r>
                                </m:sub>
                              </m:sSub>
                            </m:e>
                          </m:d>
                          <m:r>
                            <m:rPr>
                              <m:sty m:val="p"/>
                            </m:rPr>
                            <m:t>−</m:t>
                          </m:r>
                          <m:d>
                            <m:dPr>
                              <m:begChr m:val="("/>
                              <m:endChr m:val=")"/>
                              <m:sepChr m:val=""/>
                              <m:grow/>
                            </m:dPr>
                            <m:e>
                              <m:r>
                                <m:t>E</m:t>
                              </m:r>
                              <m:r>
                                <m:t>n</m:t>
                              </m:r>
                              <m:sSub>
                                <m:e>
                                  <m:r>
                                    <m:t>d</m:t>
                                  </m:r>
                                </m:e>
                                <m:sub>
                                  <m:r>
                                    <m:t>x</m:t>
                                  </m:r>
                                </m:sub>
                              </m:sSub>
                            </m:e>
                          </m:d>
                        </m:e>
                      </m:d>
                      <m:r>
                        <m:rPr>
                          <m:sty m:val="p"/>
                        </m:rPr>
                        <m:t>+</m:t>
                      </m:r>
                      <m:sSup>
                        <m:e>
                          <m:d>
                            <m:dPr>
                              <m:begChr m:val="["/>
                              <m:endChr m:val="]"/>
                              <m:sepChr m:val=""/>
                              <m:grow/>
                            </m:dPr>
                            <m:e>
                              <m:d>
                                <m:dPr>
                                  <m:begChr m:val="("/>
                                  <m:endChr m:val=")"/>
                                  <m:sepChr m:val=""/>
                                  <m:grow/>
                                </m:dPr>
                                <m:e>
                                  <m:r>
                                    <m:t>S</m:t>
                                  </m:r>
                                  <m:r>
                                    <m:t>t</m:t>
                                  </m:r>
                                  <m:r>
                                    <m:t>a</m:t>
                                  </m:r>
                                  <m:r>
                                    <m:t>r</m:t>
                                  </m:r>
                                  <m:sSub>
                                    <m:e>
                                      <m:r>
                                        <m:t>t</m:t>
                                      </m:r>
                                    </m:e>
                                    <m:sub>
                                      <m:r>
                                        <m:t>y</m:t>
                                      </m:r>
                                    </m:sub>
                                  </m:sSub>
                                </m:e>
                              </m:d>
                              <m:r>
                                <m:rPr>
                                  <m:sty m:val="p"/>
                                </m:rPr>
                                <m:t>−</m:t>
                              </m:r>
                              <m:d>
                                <m:dPr>
                                  <m:begChr m:val="("/>
                                  <m:endChr m:val=")"/>
                                  <m:sepChr m:val=""/>
                                  <m:grow/>
                                </m:dPr>
                                <m:e>
                                  <m:r>
                                    <m:t>E</m:t>
                                  </m:r>
                                  <m:r>
                                    <m:t>n</m:t>
                                  </m:r>
                                  <m:sSub>
                                    <m:e>
                                      <m:r>
                                        <m:t>d</m:t>
                                      </m:r>
                                    </m:e>
                                    <m:sub>
                                      <m:r>
                                        <m:t>y</m:t>
                                      </m:r>
                                    </m:sub>
                                  </m:sSub>
                                </m:e>
                              </m:d>
                            </m:e>
                          </m:d>
                        </m:e>
                        <m:sup>
                          <m:r>
                            <m:t>2</m:t>
                          </m:r>
                        </m:sup>
                      </m:sSup>
                    </m:den>
                  </m:f>
                </m:e>
              </m:d>
            </m:e>
            <m:sup>
              <m:r>
                <m:t>0.5</m:t>
              </m:r>
            </m:sup>
          </m:sSup>
          <m:r>
            <m:rPr>
              <m:sty m:val="p"/>
            </m:rPr>
            <m:t>*</m:t>
          </m:r>
          <m:r>
            <m:t>100</m:t>
          </m:r>
        </m:oMath>
      </m:oMathPara>
    </w:p>
    <w:p>
      <w:pPr>
        <w:pStyle w:val="FirstParagraph"/>
      </w:pPr>
      <w:r>
        <w:t xml:space="preserve">slope values indicate uphill travel while negative slope values indicate downhill travel. In this regard, they proposed different walking and cycling speeds based on the different slopes using Parkin and Rotheram (2010) findings on the impact of slope on bicycle travel speeds</w:t>
      </w:r>
      <w:r>
        <w:t xml:space="preserve">(Parkin and Rotheram 2010)</w:t>
      </w:r>
      <w:r>
        <w:t xml:space="preserve">.Table 8. summarizes the various bicycle travel speeds used in the GIS modeling.</w:t>
      </w:r>
    </w:p>
    <w:p>
      <w:pPr>
        <w:pStyle w:val="TableCaption"/>
      </w:pPr>
      <w:r>
        <w:rPr>
          <w:bCs/>
          <w:b/>
        </w:rPr>
        <w:t xml:space="preserve">Table 8.</w:t>
      </w:r>
      <w:r>
        <w:t xml:space="preserve"> </w:t>
      </w:r>
      <w:r>
        <w:t xml:space="preserve">Bicycle travel speeds used in GIS modeling</w:t>
      </w:r>
    </w:p>
    <w:tbl>
      <w:tblPr>
        <w:tblStyle w:val="Table"/>
        <w:tblW w:type="pct" w:w="5000"/>
        <w:tblLook w:firstRow="1" w:lastRow="0" w:firstColumn="0" w:lastColumn="0" w:noHBand="0" w:noVBand="0" w:val="0020"/>
        <w:tblCaption w:val="Table 8. Bicycle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18.8</w:t>
            </w:r>
          </w:p>
        </w:tc>
      </w:tr>
      <w:tr>
        <w:tc>
          <w:tcPr/>
          <w:p>
            <w:pPr>
              <w:pStyle w:val="Compact"/>
              <w:jc w:val="center"/>
            </w:pPr>
            <w:r>
              <w:t xml:space="preserve">-7</w:t>
            </w:r>
          </w:p>
        </w:tc>
        <w:tc>
          <w:tcPr/>
          <w:p>
            <w:pPr>
              <w:pStyle w:val="Compact"/>
              <w:jc w:val="center"/>
            </w:pPr>
            <w:r>
              <w:t xml:space="preserve">17.1</w:t>
            </w:r>
          </w:p>
        </w:tc>
      </w:tr>
      <w:tr>
        <w:tc>
          <w:tcPr/>
          <w:p>
            <w:pPr>
              <w:pStyle w:val="Compact"/>
              <w:jc w:val="center"/>
            </w:pPr>
            <w:r>
              <w:t xml:space="preserve">-5</w:t>
            </w:r>
          </w:p>
        </w:tc>
        <w:tc>
          <w:tcPr/>
          <w:p>
            <w:pPr>
              <w:pStyle w:val="Compact"/>
              <w:jc w:val="center"/>
            </w:pPr>
            <w:r>
              <w:t xml:space="preserve">16.1</w:t>
            </w:r>
          </w:p>
        </w:tc>
      </w:tr>
      <w:tr>
        <w:tc>
          <w:tcPr/>
          <w:p>
            <w:pPr>
              <w:pStyle w:val="Compact"/>
              <w:jc w:val="center"/>
            </w:pPr>
            <w:r>
              <w:t xml:space="preserve">-2</w:t>
            </w:r>
          </w:p>
        </w:tc>
        <w:tc>
          <w:tcPr/>
          <w:p>
            <w:pPr>
              <w:pStyle w:val="Compact"/>
              <w:jc w:val="center"/>
            </w:pPr>
            <w:r>
              <w:t xml:space="preserve">14.5</w:t>
            </w:r>
          </w:p>
        </w:tc>
      </w:tr>
      <w:tr>
        <w:tc>
          <w:tcPr/>
          <w:p>
            <w:pPr>
              <w:pStyle w:val="Compact"/>
              <w:jc w:val="center"/>
            </w:pPr>
            <w:r>
              <w:t xml:space="preserve">0</w:t>
            </w:r>
          </w:p>
        </w:tc>
        <w:tc>
          <w:tcPr/>
          <w:p>
            <w:pPr>
              <w:pStyle w:val="Compact"/>
              <w:jc w:val="center"/>
            </w:pPr>
            <w:r>
              <w:t xml:space="preserve">13.4</w:t>
            </w:r>
          </w:p>
        </w:tc>
      </w:tr>
      <w:tr>
        <w:tc>
          <w:tcPr/>
          <w:p>
            <w:pPr>
              <w:pStyle w:val="Compact"/>
              <w:jc w:val="center"/>
            </w:pPr>
            <w:r>
              <w:t xml:space="preserve">2</w:t>
            </w:r>
          </w:p>
        </w:tc>
        <w:tc>
          <w:tcPr/>
          <w:p>
            <w:pPr>
              <w:pStyle w:val="Compact"/>
              <w:jc w:val="center"/>
            </w:pPr>
            <w:r>
              <w:t xml:space="preserve">11.7</w:t>
            </w:r>
          </w:p>
        </w:tc>
      </w:tr>
      <w:tr>
        <w:tc>
          <w:tcPr/>
          <w:p>
            <w:pPr>
              <w:pStyle w:val="Compact"/>
              <w:jc w:val="center"/>
            </w:pPr>
            <w:r>
              <w:t xml:space="preserve">5</w:t>
            </w:r>
          </w:p>
        </w:tc>
        <w:tc>
          <w:tcPr/>
          <w:p>
            <w:pPr>
              <w:pStyle w:val="Compact"/>
              <w:jc w:val="center"/>
            </w:pPr>
            <w:r>
              <w:t xml:space="preserve">8.9</w:t>
            </w:r>
          </w:p>
        </w:tc>
      </w:tr>
      <w:tr>
        <w:tc>
          <w:tcPr/>
          <w:p>
            <w:pPr>
              <w:pStyle w:val="Compact"/>
              <w:jc w:val="center"/>
            </w:pPr>
            <w:r>
              <w:t xml:space="preserve">7</w:t>
            </w:r>
          </w:p>
        </w:tc>
        <w:tc>
          <w:tcPr/>
          <w:p>
            <w:pPr>
              <w:pStyle w:val="Compact"/>
              <w:jc w:val="center"/>
            </w:pPr>
            <w:r>
              <w:t xml:space="preserve">7.2</w:t>
            </w:r>
          </w:p>
        </w:tc>
      </w:tr>
      <w:tr>
        <w:tc>
          <w:tcPr/>
          <w:p>
            <w:pPr>
              <w:pStyle w:val="Compact"/>
              <w:jc w:val="center"/>
            </w:pPr>
            <w:r>
              <w:t xml:space="preserve">10</w:t>
            </w:r>
          </w:p>
        </w:tc>
        <w:tc>
          <w:tcPr/>
          <w:p>
            <w:pPr>
              <w:pStyle w:val="Compact"/>
              <w:jc w:val="center"/>
            </w:pPr>
            <w:r>
              <w:t xml:space="preserve">4.5</w:t>
            </w:r>
          </w:p>
        </w:tc>
      </w:tr>
    </w:tbl>
    <w:p>
      <w:pPr>
        <w:pStyle w:val="BodyText"/>
      </w:pPr>
      <w:r>
        <w:t xml:space="preserve">Pedestrian travel speeds were also calculated based on the effect of slope. Tobler’s hiking function was used to identify the effect of slope on travel speed. The following equation represents the modified Tobler’s formula adjusted for percent slope:</w:t>
      </w:r>
    </w:p>
    <w:p>
      <w:pPr>
        <w:pStyle w:val="BodyText"/>
      </w:pPr>
      <m:oMathPara>
        <m:oMathParaPr>
          <m:jc m:val="center"/>
        </m:oMathParaPr>
        <m:oMath>
          <m:r>
            <m:t>V</m:t>
          </m:r>
          <m:r>
            <m:rPr>
              <m:sty m:val="p"/>
            </m:rPr>
            <m:t>=</m:t>
          </m:r>
          <m:r>
            <m:t>6</m:t>
          </m:r>
          <m:sSup>
            <m:e>
              <m:r>
                <m:t>e</m:t>
              </m:r>
            </m:e>
            <m:sup>
              <m:r>
                <m:rPr>
                  <m:sty m:val="p"/>
                </m:rPr>
                <m:t>−</m:t>
              </m:r>
              <m:r>
                <m:t>3.5</m:t>
              </m:r>
              <m:d>
                <m:dPr>
                  <m:begChr m:val="|"/>
                  <m:endChr m:val="|"/>
                  <m:sepChr m:val=""/>
                  <m:grow/>
                </m:dPr>
                <m:e>
                  <m:r>
                    <m:t>s</m:t>
                  </m:r>
                  <m:r>
                    <m:rPr>
                      <m:sty m:val="p"/>
                    </m:rPr>
                    <m:t>+</m:t>
                  </m:r>
                  <m:r>
                    <m:t>0.05</m:t>
                  </m:r>
                </m:e>
              </m:d>
            </m:sup>
          </m:sSup>
        </m:oMath>
      </m:oMathPara>
    </w:p>
    <w:p>
      <w:pPr>
        <w:pStyle w:val="FirstParagraph"/>
      </w:pPr>
      <w:r>
        <w:t xml:space="preserve">Where v is velocity, e is the base for natural logarithms, and s is the slope in percent. Table 9. summarizes a pedestrian’s travel speed used in the modeling in GIS.</w:t>
      </w:r>
    </w:p>
    <w:p>
      <w:pPr>
        <w:pStyle w:val="TableCaption"/>
      </w:pPr>
      <w:r>
        <w:rPr>
          <w:bCs/>
          <w:b/>
        </w:rPr>
        <w:t xml:space="preserve">Table 9.</w:t>
      </w:r>
      <w:r>
        <w:t xml:space="preserve"> </w:t>
      </w:r>
      <w:r>
        <w:t xml:space="preserve">Pedestrian travel speeds used in GIS modeling</w:t>
      </w:r>
    </w:p>
    <w:tbl>
      <w:tblPr>
        <w:tblStyle w:val="Table"/>
        <w:tblW w:type="pct" w:w="5000"/>
        <w:tblLook w:firstRow="1" w:lastRow="0" w:firstColumn="0" w:lastColumn="0" w:noHBand="0" w:noVBand="0" w:val="0020"/>
        <w:tblCaption w:val="Table 9. Pedestrian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1.6</w:t>
            </w:r>
          </w:p>
        </w:tc>
      </w:tr>
      <w:tr>
        <w:tc>
          <w:tcPr/>
          <w:p>
            <w:pPr>
              <w:pStyle w:val="Compact"/>
              <w:jc w:val="center"/>
            </w:pPr>
            <w:r>
              <w:t xml:space="preserve">7.5</w:t>
            </w:r>
          </w:p>
        </w:tc>
        <w:tc>
          <w:tcPr/>
          <w:p>
            <w:pPr>
              <w:pStyle w:val="Compact"/>
              <w:jc w:val="center"/>
            </w:pPr>
            <w:r>
              <w:t xml:space="preserve">2.1</w:t>
            </w:r>
          </w:p>
        </w:tc>
      </w:tr>
      <w:tr>
        <w:tc>
          <w:tcPr/>
          <w:p>
            <w:pPr>
              <w:pStyle w:val="Compact"/>
              <w:jc w:val="center"/>
            </w:pPr>
            <w:r>
              <w:t xml:space="preserve">5</w:t>
            </w:r>
          </w:p>
        </w:tc>
        <w:tc>
          <w:tcPr/>
          <w:p>
            <w:pPr>
              <w:pStyle w:val="Compact"/>
              <w:jc w:val="center"/>
            </w:pPr>
            <w:r>
              <w:t xml:space="preserve">2.4</w:t>
            </w:r>
          </w:p>
        </w:tc>
      </w:tr>
      <w:tr>
        <w:tc>
          <w:tcPr/>
          <w:p>
            <w:pPr>
              <w:pStyle w:val="Compact"/>
              <w:jc w:val="center"/>
            </w:pPr>
            <w:r>
              <w:t xml:space="preserve">2.5</w:t>
            </w:r>
          </w:p>
        </w:tc>
        <w:tc>
          <w:tcPr/>
          <w:p>
            <w:pPr>
              <w:pStyle w:val="Compact"/>
              <w:jc w:val="center"/>
            </w:pPr>
            <w:r>
              <w:t xml:space="preserve">2.8</w:t>
            </w:r>
          </w:p>
        </w:tc>
      </w:tr>
      <w:tr>
        <w:tc>
          <w:tcPr/>
          <w:p>
            <w:pPr>
              <w:pStyle w:val="Compact"/>
              <w:jc w:val="center"/>
            </w:pPr>
            <w:r>
              <w:t xml:space="preserve">0</w:t>
            </w:r>
          </w:p>
        </w:tc>
        <w:tc>
          <w:tcPr/>
          <w:p>
            <w:pPr>
              <w:pStyle w:val="Compact"/>
              <w:jc w:val="center"/>
            </w:pPr>
            <w:r>
              <w:t xml:space="preserve">3.1</w:t>
            </w:r>
          </w:p>
        </w:tc>
      </w:tr>
      <w:tr>
        <w:tc>
          <w:tcPr/>
          <w:p>
            <w:pPr>
              <w:pStyle w:val="Compact"/>
              <w:jc w:val="center"/>
            </w:pPr>
            <w:r>
              <w:t xml:space="preserve">-2.5</w:t>
            </w:r>
          </w:p>
        </w:tc>
        <w:tc>
          <w:tcPr/>
          <w:p>
            <w:pPr>
              <w:pStyle w:val="Compact"/>
              <w:jc w:val="center"/>
            </w:pPr>
            <w:r>
              <w:t xml:space="preserve">3.6</w:t>
            </w:r>
          </w:p>
        </w:tc>
      </w:tr>
      <w:tr>
        <w:tc>
          <w:tcPr/>
          <w:p>
            <w:pPr>
              <w:pStyle w:val="Compact"/>
              <w:jc w:val="center"/>
            </w:pPr>
            <w:r>
              <w:t xml:space="preserve">-5</w:t>
            </w:r>
          </w:p>
        </w:tc>
        <w:tc>
          <w:tcPr/>
          <w:p>
            <w:pPr>
              <w:pStyle w:val="Compact"/>
              <w:jc w:val="center"/>
            </w:pPr>
            <w:r>
              <w:t xml:space="preserve">3.1</w:t>
            </w:r>
          </w:p>
        </w:tc>
      </w:tr>
      <w:tr>
        <w:tc>
          <w:tcPr/>
          <w:p>
            <w:pPr>
              <w:pStyle w:val="Compact"/>
              <w:jc w:val="center"/>
            </w:pPr>
            <w:r>
              <w:t xml:space="preserve">-7.5</w:t>
            </w:r>
          </w:p>
        </w:tc>
        <w:tc>
          <w:tcPr/>
          <w:p>
            <w:pPr>
              <w:pStyle w:val="Compact"/>
              <w:jc w:val="center"/>
            </w:pPr>
            <w:r>
              <w:t xml:space="preserve">2.6</w:t>
            </w:r>
          </w:p>
        </w:tc>
      </w:tr>
      <w:tr>
        <w:tc>
          <w:tcPr/>
          <w:p>
            <w:pPr>
              <w:pStyle w:val="Compact"/>
              <w:jc w:val="center"/>
            </w:pPr>
            <w:r>
              <w:t xml:space="preserve">-10</w:t>
            </w:r>
          </w:p>
        </w:tc>
        <w:tc>
          <w:tcPr/>
          <w:p>
            <w:pPr>
              <w:pStyle w:val="Compact"/>
              <w:jc w:val="center"/>
            </w:pPr>
            <w:r>
              <w:t xml:space="preserve">2.3</w:t>
            </w:r>
          </w:p>
        </w:tc>
      </w:tr>
    </w:tbl>
    <w:p>
      <w:pPr>
        <w:pStyle w:val="BodyText"/>
      </w:pPr>
      <w:r>
        <w:t xml:space="preserve">In another study, Paez et al (2020) calculated the slope from the vertical and horizontal displacements. The instantaneous slope (m) is given by the derivative of</w:t>
      </w:r>
      <w:r>
        <w:t xml:space="preserve"> </w:t>
      </w:r>
      <m:oMath>
        <m:r>
          <m:t>y</m:t>
        </m:r>
        <m:r>
          <m:rPr>
            <m:sty m:val="p"/>
          </m:rPr>
          <m:t>=</m:t>
        </m:r>
        <m:r>
          <m:t>f</m:t>
        </m:r>
        <m:d>
          <m:dPr>
            <m:begChr m:val="("/>
            <m:endChr m:val=")"/>
            <m:sepChr m:val=""/>
            <m:grow/>
          </m:dPr>
          <m:e>
            <m:r>
              <m:t>x</m:t>
            </m:r>
          </m:e>
        </m:d>
      </m:oMath>
      <w:r>
        <w:t xml:space="preserve"> </w:t>
      </w:r>
      <w:r>
        <w:t xml:space="preserve">with respect to x. this is given by the following expression</w:t>
      </w:r>
      <w:r>
        <w:t xml:space="preserve"> </w:t>
      </w:r>
      <w:r>
        <w:t xml:space="preserve">(Páez et al. 2020)</w:t>
      </w:r>
      <w:r>
        <w:t xml:space="preserve">:</w:t>
      </w:r>
    </w:p>
    <w:p>
      <w:pPr>
        <w:pStyle w:val="BodyText"/>
      </w:pPr>
      <m:oMathPara>
        <m:oMathParaPr>
          <m:jc m:val="center"/>
        </m:oMathParaPr>
        <m:oMath>
          <m:r>
            <m:t>m</m:t>
          </m:r>
          <m:r>
            <m:rPr>
              <m:sty m:val="p"/>
            </m:rPr>
            <m:t>=</m:t>
          </m:r>
          <m:f>
            <m:fPr>
              <m:type m:val="bar"/>
            </m:fPr>
            <m:num>
              <m:r>
                <m:t>Δ</m:t>
              </m:r>
              <m:r>
                <m:t>V</m:t>
              </m:r>
            </m:num>
            <m:den>
              <m:r>
                <m:t>Δ</m:t>
              </m:r>
              <m:r>
                <m:t>h</m:t>
              </m:r>
            </m:den>
          </m:f>
        </m:oMath>
      </m:oMathPara>
    </w:p>
    <w:p>
      <w:pPr>
        <w:pStyle w:val="FirstParagraph"/>
      </w:pPr>
      <w:r>
        <w:t xml:space="preserve">In a DEM layer, two physical aspects of the landscape that relate to resistance can be obtained directly from the grid, namely the vertical displacement and the horizontal displacement between nodes i and j.</w:t>
      </w:r>
      <w:r>
        <w:t xml:space="preserve"> </w:t>
      </w:r>
      <m:oMath>
        <m:r>
          <m:t>Δ</m:t>
        </m:r>
        <m:r>
          <m:t>V</m:t>
        </m:r>
      </m:oMath>
      <w:r>
        <w:t xml:space="preserve"> </w:t>
      </w:r>
      <w:r>
        <w:t xml:space="preserve">and $</w:t>
      </w:r>
      <w:r>
        <w:t xml:space="preserve">h $ are vertical and/or horizontal displacements respectively. This slope is linked to speed via Tobler’s formula for hiking travel</w:t>
      </w:r>
      <w:r>
        <w:t xml:space="preserve"> </w:t>
      </w:r>
      <w:r>
        <w:t xml:space="preserve">(Tobler 1993)</w:t>
      </w:r>
      <w:r>
        <w:t xml:space="preserve">:</w:t>
      </w:r>
    </w:p>
    <w:p>
      <w:pPr>
        <w:pStyle w:val="BodyText"/>
      </w:pPr>
      <m:oMathPara>
        <m:oMathParaPr>
          <m:jc m:val="center"/>
        </m:oMathParaPr>
        <m:oMath>
          <m:r>
            <m:t>S</m:t>
          </m:r>
          <m:r>
            <m:rPr>
              <m:sty m:val="p"/>
            </m:rPr>
            <m:t>=</m:t>
          </m:r>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 the speed s is in m/min. The amount of speed can be converted into travel time in minutes if it is divided the distance by speed as follows:</w:t>
      </w:r>
    </w:p>
    <w:p>
      <w:pPr>
        <w:pStyle w:val="BodyText"/>
      </w:pPr>
      <m:oMathPara>
        <m:oMathParaPr>
          <m:jc m:val="center"/>
        </m:oMathParaPr>
        <m:oMath>
          <m:r>
            <m:t>t</m:t>
          </m:r>
          <m:r>
            <m:rPr>
              <m:sty m:val="p"/>
            </m:rPr>
            <m:t>=</m:t>
          </m:r>
          <m:f>
            <m:fPr>
              <m:type m:val="bar"/>
            </m:fPr>
            <m:num>
              <m:sSub>
                <m:e>
                  <m:r>
                    <m:t>d</m:t>
                  </m:r>
                </m:e>
                <m:sub>
                  <m:r>
                    <m:t>i</m:t>
                  </m:r>
                </m:sub>
              </m:sSub>
            </m:num>
            <m:den>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den>
          </m:f>
          <m:r>
            <m:rPr>
              <m:sty m:val="p"/>
            </m:rPr>
            <m:t>=</m:t>
          </m:r>
          <m:f>
            <m:fPr>
              <m:type m:val="bar"/>
            </m:fPr>
            <m:num>
              <m:r>
                <m:t>1</m:t>
              </m:r>
            </m:num>
            <m:den>
              <m:r>
                <m:t>100</m:t>
              </m:r>
            </m:den>
          </m:f>
          <m:r>
            <m:rPr>
              <m:sty m:val="p"/>
            </m:rPr>
            <m:t>*</m:t>
          </m:r>
          <m:sSub>
            <m:e>
              <m:r>
                <m:t>d</m:t>
              </m:r>
            </m:e>
            <m:sub>
              <m:r>
                <m:t>i</m:t>
              </m:r>
            </m:sub>
          </m:sSub>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w:t>
      </w:r>
      <w:r>
        <w:t xml:space="preserve"> </w:t>
      </w:r>
      <m:oMath>
        <m:sSub>
          <m:e>
            <m:r>
              <m:t>d</m:t>
            </m:r>
          </m:e>
          <m:sub>
            <m:r>
              <m:t>i</m:t>
            </m:r>
          </m:sub>
        </m:sSub>
      </m:oMath>
      <w:r>
        <w:t xml:space="preserve"> </w:t>
      </w:r>
      <w:r>
        <w:t xml:space="preserve">can be the distance on the surface as discussed above or can be approximated by the horizontal distance</w:t>
      </w:r>
      <w:r>
        <w:t xml:space="preserve"> </w:t>
      </w:r>
      <m:oMath>
        <m:r>
          <m:t>Δ</m:t>
        </m:r>
        <m:r>
          <m:t>h</m:t>
        </m:r>
      </m:oMath>
      <w:r>
        <w:t xml:space="preserve">. As seen in Fig. 2, travel time tends to increase as the slope in creases.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125585" cy="3212869"/>
                  <wp:effectExtent b="0" l="0" r="0" t="0"/>
                  <wp:docPr descr="" title="" id="39" name="Picture"/>
                  <a:graphic>
                    <a:graphicData uri="http://schemas.openxmlformats.org/drawingml/2006/picture">
                      <pic:pic>
                        <pic:nvPicPr>
                          <pic:cNvPr descr="images/Fig.2.jpg" id="40" name="Picture"/>
                          <pic:cNvPicPr>
                            <a:picLocks noChangeArrowheads="1" noChangeAspect="1"/>
                          </pic:cNvPicPr>
                        </pic:nvPicPr>
                        <pic:blipFill>
                          <a:blip r:embed="rId38"/>
                          <a:stretch>
                            <a:fillRect/>
                          </a:stretch>
                        </pic:blipFill>
                        <pic:spPr bwMode="auto">
                          <a:xfrm>
                            <a:off x="0" y="0"/>
                            <a:ext cx="3125585" cy="3212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surface distance/travel time and slope</w:t>
            </w:r>
          </w:p>
        </w:tc>
      </w:tr>
    </w:tbl>
    <w:p>
      <w:pPr>
        <w:pStyle w:val="BodyText"/>
      </w:pPr>
      <w:r>
        <w:rPr>
          <w:bCs/>
          <w:b/>
        </w:rPr>
        <w:t xml:space="preserve">Weather</w:t>
      </w:r>
    </w:p>
    <w:p>
      <w:pPr>
        <w:pStyle w:val="BodyText"/>
      </w:pPr>
      <w:r>
        <w:t xml:space="preserve">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w:t>
      </w:r>
      <w:r>
        <w:t xml:space="preserve"> </w:t>
      </w:r>
      <w:r>
        <w:t xml:space="preserve">(Zacharias 2001)</w:t>
      </w:r>
      <w:r>
        <w:t xml:space="preserve">. High amounts of shade cover over a network and available aesthetics along a route increase the rates for non-motorized travel</w:t>
      </w:r>
      <w:r>
        <w:t xml:space="preserve"> </w:t>
      </w:r>
      <w:r>
        <w:t xml:space="preserve">(Zahran et al. 2008)</w:t>
      </w:r>
      <w:r>
        <w:t xml:space="preserve">.</w:t>
      </w:r>
    </w:p>
    <w:p>
      <w:pPr>
        <w:pStyle w:val="BodyText"/>
      </w:pPr>
      <w:r>
        <w:rPr>
          <w:bCs/>
          <w:b/>
        </w:rPr>
        <w:t xml:space="preserve">Level of Traffic Stress</w:t>
      </w:r>
    </w:p>
    <w:p>
      <w:pPr>
        <w:pStyle w:val="BodyText"/>
      </w:pPr>
      <w:r>
        <w:t xml:space="preserve">Several of the cycling accessibility approaches incorporate bicycle infrastructure using level of traffic stress (LTS)</w:t>
      </w:r>
      <w:r>
        <w:t xml:space="preserve"> </w:t>
      </w:r>
      <w:r>
        <w:t xml:space="preserve">(Imani, Miller, and Saxe 2019; Murphy and Owen 2019)</w:t>
      </w:r>
      <w:r>
        <w:t xml:space="preserve">. The LTS method was first proposed by Furth, Mekuria et al. (2016) to categorize street segments into 4 categories based on the number of lanes, presence of a parking lane, the speed limit, the bike lane and parking lane width, and any bike lane blockage</w:t>
      </w:r>
      <w:r>
        <w:t xml:space="preserve"> </w:t>
      </w:r>
      <w:r>
        <w:t xml:space="preserve">(Furth, Mekuria, and Nixon 2016)</w:t>
      </w:r>
      <w:r>
        <w:t xml:space="preserve">.Faghih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w:t>
      </w:r>
      <w:r>
        <w:t xml:space="preserve">(Imani, Miller, and Saxe 2019; Murphy and Owen 2019)</w:t>
      </w:r>
      <w:r>
        <w:t xml:space="preserve">.</w:t>
      </w:r>
    </w:p>
    <w:p>
      <w:pPr>
        <w:pStyle w:val="BodyText"/>
      </w:pPr>
      <w: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pPr>
        <w:pStyle w:val="BodyText"/>
      </w:pPr>
      <w:r>
        <w:t xml:space="preserve">Local street bikeways are classified as high comfort using Can-BICS, but either LTS 1 or 2 depending on the number of lanes.</w:t>
      </w:r>
    </w:p>
    <w:p>
      <w:pPr>
        <w:pStyle w:val="BodyText"/>
      </w:pPr>
      <w:r>
        <w:t xml:space="preserve">Painted bike lanes may be assigned LTS 1 to 4 depending on the speed, width, and presence of parking lanes, whereas in Can-BICS, painted lanes are low comfort facilities.</w:t>
      </w:r>
    </w:p>
    <w:p>
      <w:pPr>
        <w:pStyle w:val="BodyText"/>
      </w:pPr>
      <w:r>
        <w:t xml:space="preserve">Trails and walkways in parks are LTS 1 but may be categorized as non-conforming Can-BICS facilities depending on the trail surface (e.g., gravel or dirt vs. paved).</w:t>
      </w:r>
    </w:p>
    <w:p>
      <w:pPr>
        <w:pStyle w:val="TableCaption"/>
      </w:pPr>
      <w:r>
        <w:rPr>
          <w:bCs/>
          <w:b/>
        </w:rPr>
        <w:t xml:space="preserve">Table 10.</w:t>
      </w:r>
      <w:r>
        <w:t xml:space="preserve"> </w:t>
      </w:r>
      <w:r>
        <w:t xml:space="preserve">The Canadian Bikeway Comfort and Safety (Can-BICS) Classification System</w:t>
      </w:r>
    </w:p>
    <w:tbl>
      <w:tblPr>
        <w:tblStyle w:val="Table"/>
        <w:tblW w:type="pct" w:w="5000"/>
        <w:tblLook w:firstRow="1" w:lastRow="0" w:firstColumn="0" w:lastColumn="0" w:noHBand="0" w:noVBand="0" w:val="0020"/>
        <w:tblCaption w:val="Table 10. The Canadian Bikeway Comfort and Safety (Can-BICS) Classification System"/>
      </w:tblPr>
      <w:tblGrid>
        <w:gridCol w:w="4752"/>
        <w:gridCol w:w="1584"/>
        <w:gridCol w:w="1584"/>
      </w:tblGrid>
      <w:tr>
        <w:trPr>
          <w:tblHeader w:val="true"/>
        </w:trPr>
        <w:tc>
          <w:tcPr/>
          <w:p>
            <w:pPr>
              <w:pStyle w:val="Compact"/>
              <w:jc w:val="center"/>
            </w:pPr>
            <w:r>
              <w:rPr>
                <w:bCs/>
                <w:b/>
              </w:rPr>
              <w:t xml:space="preserve">Facility Type</w:t>
            </w:r>
          </w:p>
        </w:tc>
        <w:tc>
          <w:tcPr/>
          <w:p>
            <w:pPr>
              <w:pStyle w:val="Compact"/>
              <w:jc w:val="center"/>
            </w:pPr>
            <w:r>
              <w:rPr>
                <w:bCs/>
                <w:b/>
              </w:rPr>
              <w:t xml:space="preserve">Can-BICS Class</w:t>
            </w:r>
          </w:p>
        </w:tc>
        <w:tc>
          <w:tcPr/>
          <w:p>
            <w:pPr>
              <w:pStyle w:val="Compact"/>
              <w:jc w:val="center"/>
            </w:pPr>
            <w:r>
              <w:rPr>
                <w:bCs/>
                <w:b/>
              </w:rPr>
              <w:t xml:space="preserve">LTS Category</w:t>
            </w:r>
          </w:p>
        </w:tc>
      </w:tr>
      <w:tr>
        <w:tc>
          <w:tcPr/>
          <w:p>
            <w:pPr>
              <w:pStyle w:val="Compact"/>
              <w:jc w:val="center"/>
            </w:pPr>
            <w:r>
              <w:t xml:space="preserve">Cycle tracks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Local street bikeway</w:t>
            </w:r>
          </w:p>
        </w:tc>
        <w:tc>
          <w:tcPr/>
          <w:p>
            <w:pPr>
              <w:pStyle w:val="Compact"/>
              <w:jc w:val="center"/>
            </w:pPr>
            <w:r>
              <w:t xml:space="preserve">High comfort</w:t>
            </w:r>
          </w:p>
        </w:tc>
        <w:tc>
          <w:tcPr/>
          <w:p>
            <w:pPr>
              <w:pStyle w:val="Compact"/>
              <w:jc w:val="center"/>
            </w:pPr>
            <w:r>
              <w:t xml:space="preserve">1 or 2</w:t>
            </w:r>
          </w:p>
        </w:tc>
      </w:tr>
      <w:tr>
        <w:tc>
          <w:tcPr/>
          <w:p>
            <w:pPr>
              <w:pStyle w:val="Compact"/>
              <w:jc w:val="center"/>
            </w:pPr>
            <w:r>
              <w:t xml:space="preserve">Bike paths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Multi-use paths</w:t>
            </w:r>
          </w:p>
        </w:tc>
        <w:tc>
          <w:tcPr/>
          <w:p>
            <w:pPr>
              <w:pStyle w:val="Compact"/>
              <w:jc w:val="center"/>
            </w:pPr>
            <w:r>
              <w:t xml:space="preserve">Medium comfort</w:t>
            </w:r>
          </w:p>
        </w:tc>
        <w:tc>
          <w:tcPr/>
          <w:p>
            <w:pPr>
              <w:pStyle w:val="Compact"/>
              <w:jc w:val="center"/>
            </w:pPr>
            <w:r>
              <w:t xml:space="preserve">1</w:t>
            </w:r>
          </w:p>
        </w:tc>
      </w:tr>
      <w:tr>
        <w:tc>
          <w:tcPr/>
          <w:p>
            <w:pPr>
              <w:pStyle w:val="Compact"/>
              <w:jc w:val="center"/>
            </w:pPr>
            <w:r>
              <w:t xml:space="preserve">Painted Bike lanes</w:t>
            </w:r>
          </w:p>
        </w:tc>
        <w:tc>
          <w:tcPr/>
          <w:p>
            <w:pPr>
              <w:pStyle w:val="Compact"/>
              <w:jc w:val="center"/>
            </w:pPr>
            <w:r>
              <w:t xml:space="preserve">Low comfort</w:t>
            </w:r>
          </w:p>
        </w:tc>
        <w:tc>
          <w:tcPr/>
          <w:p>
            <w:pPr>
              <w:pStyle w:val="Compact"/>
              <w:jc w:val="center"/>
            </w:pPr>
            <w:r>
              <w:t xml:space="preserve">1 to 4</w:t>
            </w:r>
          </w:p>
        </w:tc>
      </w:tr>
      <w:tr>
        <w:tc>
          <w:tcPr/>
          <w:p>
            <w:pPr>
              <w:pStyle w:val="Compact"/>
              <w:jc w:val="center"/>
            </w:pPr>
            <w:r>
              <w:t xml:space="preserve">Park trails and walkways</w:t>
            </w:r>
          </w:p>
        </w:tc>
        <w:tc>
          <w:tcPr/>
          <w:p>
            <w:pPr>
              <w:pStyle w:val="Compact"/>
              <w:jc w:val="center"/>
            </w:pPr>
            <w:r>
              <w:t xml:space="preserve">Non-conforming</w:t>
            </w:r>
          </w:p>
        </w:tc>
        <w:tc>
          <w:tcPr/>
          <w:p>
            <w:pPr>
              <w:pStyle w:val="Compact"/>
              <w:jc w:val="center"/>
            </w:pPr>
            <w:r>
              <w:t xml:space="preserve">1</w:t>
            </w:r>
          </w:p>
        </w:tc>
      </w:tr>
    </w:tbl>
    <w:p>
      <w:pPr>
        <w:pStyle w:val="BodyText"/>
      </w:pPr>
      <w:r>
        <w:rPr>
          <w:bCs/>
          <w:b/>
        </w:rPr>
        <w:t xml:space="preserve">Origins/destinations &amp; applying weights</w:t>
      </w:r>
    </w:p>
    <w:p>
      <w:pPr>
        <w:pStyle w:val="BodyText"/>
      </w:pPr>
      <w:r>
        <w:t xml:space="preserve">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w:t>
      </w:r>
      <w:r>
        <w:t xml:space="preserve">(Reyes, Páez, and Morency 2014; Cheng et al. 2019)</w:t>
      </w:r>
      <w:r>
        <w:t xml:space="preserve">. Among walkability and bikeability indices it is also common to apply weights to the variables depending on the goals for analysis</w:t>
      </w:r>
      <w:r>
        <w:t xml:space="preserve"> </w:t>
      </w:r>
      <w:r>
        <w:t xml:space="preserve">(L. D. Frank et al. 2010; D. S. Vale, Saraiva, and Pereira 2016; Arellana et al. 2021)</w:t>
      </w:r>
      <w:r>
        <w:t xml:space="preserve">.</w:t>
      </w:r>
    </w:p>
    <w:p>
      <w:pPr>
        <w:pStyle w:val="BodyText"/>
      </w:pPr>
      <w:r>
        <w:t xml:space="preserve">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w:t>
      </w:r>
      <w:r>
        <w:t xml:space="preserve">(D. S. Vale, Saraiva, and Pereira 2016)</w:t>
      </w:r>
      <w:r>
        <w:t xml:space="preserve">.</w:t>
      </w:r>
    </w:p>
    <w:bookmarkEnd w:id="41"/>
    <w:bookmarkStart w:id="42" w:name="summary"/>
    <w:p>
      <w:pPr>
        <w:pStyle w:val="Heading2"/>
      </w:pPr>
      <w:r>
        <w:t xml:space="preserve">Summary</w:t>
      </w:r>
    </w:p>
    <w:p>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terms of the travel time and distance thresholds, and weighting impedance functions considered.</w:t>
      </w:r>
    </w:p>
    <w:p>
      <w:pPr>
        <w:pStyle w:val="BodyText"/>
      </w:pPr>
      <w:r>
        <w:t xml:space="preserve">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pPr>
        <w:pStyle w:val="BodyText"/>
      </w:pPr>
      <w:r>
        <w:t xml:space="preserve">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bookmarkEnd w:id="42"/>
    <w:bookmarkStart w:id="46" w:name="discusion"/>
    <w:p>
      <w:pPr>
        <w:pStyle w:val="Heading2"/>
      </w:pPr>
      <w:r>
        <w:t xml:space="preserve">Discusion</w:t>
      </w:r>
    </w:p>
    <w:p>
      <w:pPr>
        <w:pStyle w:val="FirstParagraph"/>
      </w:pPr>
      <w:r>
        <w:t xml:space="preserve">Eliciting user needs data is the process of discovering requirements for a project by accessing available knowledge sources, and by communicating with the stakeholders who have a direct or indirect influence on the requirements.Among the available requirements elicitation technique, the most common and effective elicitation techniques is interviews with stakeholders</w:t>
      </w:r>
      <w:r>
        <w:t xml:space="preserve">(Engelbrektsson, Yesil, and Karlsson 2000; Browne and Rogich 2001; Friedrich and Van Der Poll 2007; Hadar, Soffer, and Kenzi 2014)</w:t>
      </w:r>
      <w:r>
        <w:t xml:space="preserve">.As a result, in this section, we discuss some of the questions required to extract data users’ requirements.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6729517"/>
                  <wp:effectExtent b="0" l="0" r="0" t="0"/>
                  <wp:docPr descr="" title="" id="44" name="Picture"/>
                  <a:graphic>
                    <a:graphicData uri="http://schemas.openxmlformats.org/drawingml/2006/picture">
                      <pic:pic>
                        <pic:nvPicPr>
                          <pic:cNvPr descr="images/Drawing.png" id="45" name="Picture"/>
                          <pic:cNvPicPr>
                            <a:picLocks noChangeArrowheads="1" noChangeAspect="1"/>
                          </pic:cNvPicPr>
                        </pic:nvPicPr>
                        <pic:blipFill>
                          <a:blip r:embed="rId43"/>
                          <a:stretch>
                            <a:fillRect/>
                          </a:stretch>
                        </pic:blipFill>
                        <pic:spPr bwMode="auto">
                          <a:xfrm>
                            <a:off x="0" y="0"/>
                            <a:ext cx="5943600" cy="6729517"/>
                          </a:xfrm>
                          <a:prstGeom prst="rect">
                            <a:avLst/>
                          </a:prstGeom>
                          <a:noFill/>
                          <a:ln w="9525">
                            <a:noFill/>
                            <a:headEnd/>
                            <a:tailEnd/>
                          </a:ln>
                        </pic:spPr>
                      </pic:pic>
                    </a:graphicData>
                  </a:graphic>
                </wp:inline>
              </w:drawing>
            </w:r>
          </w:p>
          <w:p>
            <w:pPr>
              <w:jc w:val="center"/>
            </w:pPr>
            <w:pPr>
              <w:jc w:val="start"/>
              <w:spacing w:before="200"/>
              <w:pStyle w:val="ImageCaption"/>
            </w:pPr>
            <w:r>
              <w:t xml:space="preserve">Flowchart of interview questions</w:t>
            </w:r>
          </w:p>
        </w:tc>
      </w:tr>
    </w:tbl>
    <w:bookmarkEnd w:id="46"/>
    <w:bookmarkStart w:id="233" w:name="references"/>
    <w:p>
      <w:pPr>
        <w:pStyle w:val="Heading2"/>
      </w:pPr>
      <w:r>
        <w:t xml:space="preserve">References</w:t>
      </w:r>
    </w:p>
    <w:bookmarkStart w:id="232" w:name="refs"/>
    <w:bookmarkStart w:id="47" w:name="ref-achuthan2007measuring"/>
    <w:p>
      <w:pPr>
        <w:pStyle w:val="Bibliography"/>
      </w:pPr>
      <w:r>
        <w:t xml:space="preserve">Achuthan, Kamalasudhan, Helena Titheridge, and Roger Mackett. 2007.</w:t>
      </w:r>
      <w:r>
        <w:t xml:space="preserve"> </w:t>
      </w:r>
      <w:r>
        <w:t xml:space="preserve">“Measuring Pedestrian Accessibility.”</w:t>
      </w:r>
      <w:r>
        <w:t xml:space="preserve"> </w:t>
      </w:r>
      <w:r>
        <w:t xml:space="preserve">In</w:t>
      </w:r>
      <w:r>
        <w:t xml:space="preserve"> </w:t>
      </w:r>
      <w:r>
        <w:rPr>
          <w:iCs/>
          <w:i/>
        </w:rPr>
        <w:t xml:space="preserve">Proceedings of the Geographical Information Science Research UK (GISRUK) Conference, National Centre for Geocomputation, National University of Ireland</w:t>
      </w:r>
      <w:r>
        <w:t xml:space="preserve">, 264–69. Citeseer.</w:t>
      </w:r>
    </w:p>
    <w:bookmarkEnd w:id="47"/>
    <w:bookmarkStart w:id="48"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48"/>
    <w:bookmarkStart w:id="49" w:name="ref-angotti1996latin"/>
    <w:p>
      <w:pPr>
        <w:pStyle w:val="Bibliography"/>
      </w:pPr>
      <w:r>
        <w:t xml:space="preserve">Angotti, Thomas. 1996.</w:t>
      </w:r>
      <w:r>
        <w:t xml:space="preserve"> </w:t>
      </w:r>
      <w:r>
        <w:t xml:space="preserve">“Latin American Urbanization and Planning: Inequality and Unsustainability in North and South.”</w:t>
      </w:r>
      <w:r>
        <w:t xml:space="preserve"> </w:t>
      </w:r>
      <w:r>
        <w:rPr>
          <w:iCs/>
          <w:i/>
        </w:rPr>
        <w:t xml:space="preserve">Latin American Perspectives</w:t>
      </w:r>
      <w:r>
        <w:t xml:space="preserve"> </w:t>
      </w:r>
      <w:r>
        <w:t xml:space="preserve">23 (4): 12–34.</w:t>
      </w:r>
    </w:p>
    <w:bookmarkEnd w:id="49"/>
    <w:bookmarkStart w:id="50" w:name="ref-apparicio2008comparing"/>
    <w:p>
      <w:pPr>
        <w:pStyle w:val="Bibliography"/>
      </w:pPr>
      <w:r>
        <w:t xml:space="preserve">Apparicio, Philippe, Mohamed Abdelmajid, Mylène Riva, and Richard Shearmur. 2008.</w:t>
      </w:r>
      <w:r>
        <w:t xml:space="preserve"> </w:t>
      </w:r>
      <w:r>
        <w:t xml:space="preserve">“Comparing Alternative Approaches to Measuring the Geographical Accessibility of Urban Health Services: Distance Types and Aggregation-Error Issues.”</w:t>
      </w:r>
      <w:r>
        <w:t xml:space="preserve"> </w:t>
      </w:r>
      <w:r>
        <w:rPr>
          <w:iCs/>
          <w:i/>
        </w:rPr>
        <w:t xml:space="preserve">International Journal of Health Geographics</w:t>
      </w:r>
      <w:r>
        <w:t xml:space="preserve"> </w:t>
      </w:r>
      <w:r>
        <w:t xml:space="preserve">7 (1): 1–14.</w:t>
      </w:r>
    </w:p>
    <w:bookmarkEnd w:id="50"/>
    <w:bookmarkStart w:id="51" w:name="ref-arellana2021walk"/>
    <w:p>
      <w:pPr>
        <w:pStyle w:val="Bibliography"/>
      </w:pPr>
      <w:r>
        <w:t xml:space="preserve">Arellana, Julián, Vilma Alvarez, Daniel Oviedo, and Luis A Guzman. 2021.</w:t>
      </w:r>
      <w:r>
        <w:t xml:space="preserve"> </w:t>
      </w:r>
      <w:r>
        <w:t xml:space="preserve">“Walk This Way: Pedestrian Accessibility and Equity in Barranquilla and Soledad, Colombia.”</w:t>
      </w:r>
      <w:r>
        <w:t xml:space="preserve"> </w:t>
      </w:r>
      <w:r>
        <w:rPr>
          <w:iCs/>
          <w:i/>
        </w:rPr>
        <w:t xml:space="preserve">Research in Transportation Economics</w:t>
      </w:r>
      <w:r>
        <w:t xml:space="preserve"> </w:t>
      </w:r>
      <w:r>
        <w:t xml:space="preserve">86: 101024.</w:t>
      </w:r>
    </w:p>
    <w:bookmarkEnd w:id="51"/>
    <w:bookmarkStart w:id="52"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52"/>
    <w:bookmarkStart w:id="53" w:name="ref-banister2005unsustainable"/>
    <w:p>
      <w:pPr>
        <w:pStyle w:val="Bibliography"/>
      </w:pPr>
      <w:r>
        <w:t xml:space="preserve">Banister, David. 2005.</w:t>
      </w:r>
      <w:r>
        <w:t xml:space="preserve"> </w:t>
      </w:r>
      <w:r>
        <w:rPr>
          <w:iCs/>
          <w:i/>
        </w:rPr>
        <w:t xml:space="preserve">Unsustainable Transport: City Transport in the New Century</w:t>
      </w:r>
      <w:r>
        <w:t xml:space="preserve">. Routledge.</w:t>
      </w:r>
    </w:p>
    <w:bookmarkEnd w:id="53"/>
    <w:bookmarkStart w:id="54" w:name="ref-banister2008sustainable"/>
    <w:p>
      <w:pPr>
        <w:pStyle w:val="Bibliography"/>
      </w:pPr>
      <w:r>
        <w:t xml:space="preserve">———. 2008.</w:t>
      </w:r>
      <w:r>
        <w:t xml:space="preserve"> </w:t>
      </w:r>
      <w:r>
        <w:t xml:space="preserve">“The Sustainable Mobility Paradigm.”</w:t>
      </w:r>
      <w:r>
        <w:t xml:space="preserve"> </w:t>
      </w:r>
      <w:r>
        <w:rPr>
          <w:iCs/>
          <w:i/>
        </w:rPr>
        <w:t xml:space="preserve">Transport Policy</w:t>
      </w:r>
      <w:r>
        <w:t xml:space="preserve"> </w:t>
      </w:r>
      <w:r>
        <w:t xml:space="preserve">15 (2): 73–80.</w:t>
      </w:r>
    </w:p>
    <w:bookmarkEnd w:id="54"/>
    <w:bookmarkStart w:id="55" w:name="ref-ben1985discrete"/>
    <w:p>
      <w:pPr>
        <w:pStyle w:val="Bibliography"/>
      </w:pPr>
      <w:r>
        <w:t xml:space="preserve">Ben-Akiva, Moshe E, Steven R Lerman, Steven R Lerman, et al. 1985.</w:t>
      </w:r>
      <w:r>
        <w:t xml:space="preserve"> </w:t>
      </w:r>
      <w:r>
        <w:rPr>
          <w:iCs/>
          <w:i/>
        </w:rPr>
        <w:t xml:space="preserve">Discrete Choice Analysis: Theory and Application to Travel Demand</w:t>
      </w:r>
      <w:r>
        <w:t xml:space="preserve">. Vol. 9. MIT press.</w:t>
      </w:r>
    </w:p>
    <w:bookmarkEnd w:id="55"/>
    <w:bookmarkStart w:id="56" w:name="ref-ben2021disaggregate"/>
    <w:p>
      <w:pPr>
        <w:pStyle w:val="Bibliography"/>
      </w:pPr>
      <w:r>
        <w:t xml:space="preserve">Ben-Akiva, Moshe, and Steven R Lerman. 2021.</w:t>
      </w:r>
      <w:r>
        <w:t xml:space="preserve"> </w:t>
      </w:r>
      <w:r>
        <w:t xml:space="preserve">“Disaggregate Travel and Mobility-Choice Models and Measures of Accessibility.”</w:t>
      </w:r>
      <w:r>
        <w:t xml:space="preserve"> </w:t>
      </w:r>
      <w:r>
        <w:t xml:space="preserve">In</w:t>
      </w:r>
      <w:r>
        <w:t xml:space="preserve"> </w:t>
      </w:r>
      <w:r>
        <w:rPr>
          <w:iCs/>
          <w:i/>
        </w:rPr>
        <w:t xml:space="preserve">Behavioural Travel Modelling</w:t>
      </w:r>
      <w:r>
        <w:t xml:space="preserve">, 654–79. Routledge.</w:t>
      </w:r>
    </w:p>
    <w:bookmarkEnd w:id="56"/>
    <w:bookmarkStart w:id="57" w:name="ref-bhat2000urban"/>
    <w:p>
      <w:pPr>
        <w:pStyle w:val="Bibliography"/>
      </w:pPr>
      <w:r>
        <w:t xml:space="preserve">Bhat, Chandra, Susan Handy, Kara Kockelman, Hani Mahmassani, Qinglin Chen, and Lisa Weston. 2000.</w:t>
      </w:r>
      <w:r>
        <w:t xml:space="preserve"> </w:t>
      </w:r>
      <w:r>
        <w:t xml:space="preserve">“Urban Accessibility Index: Literature Review.”</w:t>
      </w:r>
      <w:r>
        <w:t xml:space="preserve"> </w:t>
      </w:r>
      <w:r>
        <w:rPr>
          <w:iCs/>
          <w:i/>
        </w:rPr>
        <w:t xml:space="preserve">Center of Transportation Research, University of Texas at Austin, Springfield</w:t>
      </w:r>
      <w:r>
        <w:t xml:space="preserve">.</w:t>
      </w:r>
    </w:p>
    <w:bookmarkEnd w:id="57"/>
    <w:bookmarkStart w:id="58"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58"/>
    <w:bookmarkStart w:id="59" w:name="ref-blevcic2015walkability"/>
    <w:p>
      <w:pPr>
        <w:pStyle w:val="Bibliography"/>
      </w:pPr>
      <w:r>
        <w:t xml:space="preserve">Blečić, Ivan, Arnaldo Cecchini, Tanja Congiu, Francesco Fancello, Giovanna Fancello, and Giuseppe A Trunfio. 2015.</w:t>
      </w:r>
      <w:r>
        <w:t xml:space="preserve"> </w:t>
      </w:r>
      <w:r>
        <w:t xml:space="preserve">“Walkability Explorer: Application to a Case-Study.”</w:t>
      </w:r>
      <w:r>
        <w:t xml:space="preserve"> </w:t>
      </w:r>
      <w:r>
        <w:t xml:space="preserve">In</w:t>
      </w:r>
      <w:r>
        <w:t xml:space="preserve"> </w:t>
      </w:r>
      <w:r>
        <w:rPr>
          <w:iCs/>
          <w:i/>
        </w:rPr>
        <w:t xml:space="preserve">International Conference on Computational Science and Its Applications</w:t>
      </w:r>
      <w:r>
        <w:t xml:space="preserve">, 758–70. Springer.</w:t>
      </w:r>
    </w:p>
    <w:bookmarkEnd w:id="59"/>
    <w:bookmarkStart w:id="60" w:name="ref-bocarejo2012transport"/>
    <w:p>
      <w:pPr>
        <w:pStyle w:val="Bibliography"/>
      </w:pPr>
      <w:r>
        <w:t xml:space="preserve">Bocarejo S, Juan Pablo, and Daniel Ricardo Oviedo H. 2012.</w:t>
      </w:r>
      <w:r>
        <w:t xml:space="preserve"> </w:t>
      </w:r>
      <w:r>
        <w:t xml:space="preserve">“Transport Accessibility and Social Inequities: A Tool for Identification of Mobility Needs and Evaluation of Transport Investments.”</w:t>
      </w:r>
      <w:r>
        <w:t xml:space="preserve"> </w:t>
      </w:r>
      <w:r>
        <w:rPr>
          <w:iCs/>
          <w:i/>
        </w:rPr>
        <w:t xml:space="preserve">Journal of Transport Geography</w:t>
      </w:r>
      <w:r>
        <w:t xml:space="preserve"> </w:t>
      </w:r>
      <w:r>
        <w:t xml:space="preserve">24: 142–54.</w:t>
      </w:r>
    </w:p>
    <w:bookmarkEnd w:id="60"/>
    <w:bookmarkStart w:id="61"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61"/>
    <w:bookmarkStart w:id="62" w:name="ref-boschmann2008toward"/>
    <w:p>
      <w:pPr>
        <w:pStyle w:val="Bibliography"/>
      </w:pPr>
      <w:r>
        <w:t xml:space="preserve">Boschmann, E Eric, and Mei-Po Kwan. 2008.</w:t>
      </w:r>
      <w:r>
        <w:t xml:space="preserve"> </w:t>
      </w:r>
      <w:r>
        <w:t xml:space="preserve">“Toward Socially Sustainable Urban Transportation: Progress and Potentials.”</w:t>
      </w:r>
      <w:r>
        <w:t xml:space="preserve"> </w:t>
      </w:r>
      <w:r>
        <w:rPr>
          <w:iCs/>
          <w:i/>
        </w:rPr>
        <w:t xml:space="preserve">International Journal of Sustainable Transportation</w:t>
      </w:r>
      <w:r>
        <w:t xml:space="preserve"> </w:t>
      </w:r>
      <w:r>
        <w:t xml:space="preserve">2 (3): 138–57.</w:t>
      </w:r>
    </w:p>
    <w:bookmarkEnd w:id="62"/>
    <w:bookmarkStart w:id="63"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63"/>
    <w:bookmarkStart w:id="64" w:name="ref-brown2009"/>
    <w:p>
      <w:pPr>
        <w:pStyle w:val="Bibliography"/>
      </w:pPr>
      <w:r>
        <w:t xml:space="preserve">Brown, Jeffrey R, Eric A Morris, and Brian D Taylor. 2009b.</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64"/>
    <w:bookmarkStart w:id="65" w:name="ref-brown2009planning"/>
    <w:p>
      <w:pPr>
        <w:pStyle w:val="Bibliography"/>
      </w:pPr>
      <w:r>
        <w:t xml:space="preserve">———. 2009a.</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65"/>
    <w:bookmarkStart w:id="66" w:name="ref-browne2001empirical"/>
    <w:p>
      <w:pPr>
        <w:pStyle w:val="Bibliography"/>
      </w:pPr>
      <w:r>
        <w:t xml:space="preserve">Browne, Glenn J, and Michael B Rogich. 2001.</w:t>
      </w:r>
      <w:r>
        <w:t xml:space="preserve"> </w:t>
      </w:r>
      <w:r>
        <w:t xml:space="preserve">“An Empirical Investigation of User Requirements Elicitation: Comparing the Effectiveness of Prompting Techniques.”</w:t>
      </w:r>
      <w:r>
        <w:t xml:space="preserve"> </w:t>
      </w:r>
      <w:r>
        <w:rPr>
          <w:iCs/>
          <w:i/>
        </w:rPr>
        <w:t xml:space="preserve">Journal of Management Information Systems</w:t>
      </w:r>
      <w:r>
        <w:t xml:space="preserve"> </w:t>
      </w:r>
      <w:r>
        <w:t xml:space="preserve">17 (4): 223–49.</w:t>
      </w:r>
    </w:p>
    <w:bookmarkEnd w:id="66"/>
    <w:bookmarkStart w:id="67" w:name="ref-castiglione2006application"/>
    <w:p>
      <w:pPr>
        <w:pStyle w:val="Bibliography"/>
      </w:pPr>
      <w:r>
        <w:t xml:space="preserve">Castiglione, Joe, Rachel Hiatt, Tilly Chang, and Billy Charlton. 2006.</w:t>
      </w:r>
      <w:r>
        <w:t xml:space="preserve"> </w:t>
      </w:r>
      <w:r>
        <w:t xml:space="preserve">“Application of Travel Demand Microsimulation Model for Equity Analysis.”</w:t>
      </w:r>
      <w:r>
        <w:t xml:space="preserve"> </w:t>
      </w:r>
      <w:r>
        <w:rPr>
          <w:iCs/>
          <w:i/>
        </w:rPr>
        <w:t xml:space="preserve">Transportation Research Record</w:t>
      </w:r>
      <w:r>
        <w:t xml:space="preserve"> </w:t>
      </w:r>
      <w:r>
        <w:t xml:space="preserve">1977 (1): 35–42.</w:t>
      </w:r>
    </w:p>
    <w:bookmarkEnd w:id="67"/>
    <w:bookmarkStart w:id="68" w:name="ref-chapman2007transport"/>
    <w:p>
      <w:pPr>
        <w:pStyle w:val="Bibliography"/>
      </w:pPr>
      <w:r>
        <w:t xml:space="preserve">Chapman, Lee. 2007.</w:t>
      </w:r>
      <w:r>
        <w:t xml:space="preserve"> </w:t>
      </w:r>
      <w:r>
        <w:t xml:space="preserve">“Transport and Climate Change: A Review.”</w:t>
      </w:r>
      <w:r>
        <w:t xml:space="preserve"> </w:t>
      </w:r>
      <w:r>
        <w:rPr>
          <w:iCs/>
          <w:i/>
        </w:rPr>
        <w:t xml:space="preserve">Journal of Transport Geography</w:t>
      </w:r>
      <w:r>
        <w:t xml:space="preserve"> </w:t>
      </w:r>
      <w:r>
        <w:t xml:space="preserve">15 (5): 354–67.</w:t>
      </w:r>
    </w:p>
    <w:bookmarkEnd w:id="68"/>
    <w:bookmarkStart w:id="69" w:name="ref-chaudhuri1997overview"/>
    <w:p>
      <w:pPr>
        <w:pStyle w:val="Bibliography"/>
      </w:pPr>
      <w:r>
        <w:t xml:space="preserve">Chaudhuri, Surajit, and Umeshwar Dayal. 1997.</w:t>
      </w:r>
      <w:r>
        <w:t xml:space="preserve"> </w:t>
      </w:r>
      <w:r>
        <w:t xml:space="preserve">“An Overview of Data Warehousing and OLAP Technology.”</w:t>
      </w:r>
      <w:r>
        <w:t xml:space="preserve"> </w:t>
      </w:r>
      <w:r>
        <w:rPr>
          <w:iCs/>
          <w:i/>
        </w:rPr>
        <w:t xml:space="preserve">ACM Sigmod Record</w:t>
      </w:r>
      <w:r>
        <w:t xml:space="preserve"> </w:t>
      </w:r>
      <w:r>
        <w:t xml:space="preserve">26 (1): 65–74.</w:t>
      </w:r>
    </w:p>
    <w:bookmarkEnd w:id="69"/>
    <w:bookmarkStart w:id="70" w:name="ref-chaudhuri1994including"/>
    <w:p>
      <w:pPr>
        <w:pStyle w:val="Bibliography"/>
      </w:pPr>
      <w:r>
        <w:t xml:space="preserve">Chaudhuri, Surajit, and Kyuseok Shim. 1994.</w:t>
      </w:r>
      <w:r>
        <w:t xml:space="preserve"> </w:t>
      </w:r>
      <w:r>
        <w:t xml:space="preserve">“Including Group-by in Query Optimization.”</w:t>
      </w:r>
      <w:r>
        <w:t xml:space="preserve"> </w:t>
      </w:r>
      <w:r>
        <w:t xml:space="preserve">In</w:t>
      </w:r>
      <w:r>
        <w:t xml:space="preserve"> </w:t>
      </w:r>
      <w:r>
        <w:rPr>
          <w:iCs/>
          <w:i/>
        </w:rPr>
        <w:t xml:space="preserve">VLDB</w:t>
      </w:r>
      <w:r>
        <w:t xml:space="preserve">, 94:12–15.</w:t>
      </w:r>
    </w:p>
    <w:bookmarkEnd w:id="70"/>
    <w:bookmarkStart w:id="71" w:name="ref-cheng2019investigating"/>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p>
    <w:bookmarkEnd w:id="71"/>
    <w:bookmarkStart w:id="72" w:name="ref-chi2013impact"/>
    <w:p>
      <w:pPr>
        <w:pStyle w:val="Bibliography"/>
      </w:pPr>
      <w:r>
        <w:t xml:space="preserve">Chi, Guangqing, Jeremy R Porter, Arthur G Cosby, and David Levinson. 2013.</w:t>
      </w:r>
      <w:r>
        <w:t xml:space="preserve"> </w:t>
      </w:r>
      <w:r>
        <w:t xml:space="preserve">“The Impact of Gasoline Price Changes on Traffic Safety: A Time Geography Explanation.”</w:t>
      </w:r>
      <w:r>
        <w:t xml:space="preserve"> </w:t>
      </w:r>
      <w:r>
        <w:rPr>
          <w:iCs/>
          <w:i/>
        </w:rPr>
        <w:t xml:space="preserve">Journal of Transport Geography</w:t>
      </w:r>
      <w:r>
        <w:t xml:space="preserve"> </w:t>
      </w:r>
      <w:r>
        <w:t xml:space="preserve">28: 1–11.</w:t>
      </w:r>
    </w:p>
    <w:bookmarkEnd w:id="72"/>
    <w:bookmarkStart w:id="73" w:name="ref-colliat1996olap"/>
    <w:p>
      <w:pPr>
        <w:pStyle w:val="Bibliography"/>
      </w:pPr>
      <w:r>
        <w:t xml:space="preserve">Colliat, George. 1996.</w:t>
      </w:r>
      <w:r>
        <w:t xml:space="preserve"> </w:t>
      </w:r>
      <w:r>
        <w:t xml:space="preserve">“OLAP, Relational, and Multidimensional Database Systems.”</w:t>
      </w:r>
      <w:r>
        <w:t xml:space="preserve"> </w:t>
      </w:r>
      <w:r>
        <w:rPr>
          <w:iCs/>
          <w:i/>
        </w:rPr>
        <w:t xml:space="preserve">ACM Sigmod Record</w:t>
      </w:r>
      <w:r>
        <w:t xml:space="preserve"> </w:t>
      </w:r>
      <w:r>
        <w:t xml:space="preserve">25 (3): 64–69.</w:t>
      </w:r>
    </w:p>
    <w:bookmarkEnd w:id="73"/>
    <w:bookmarkStart w:id="74" w:name="ref-devkota2012planning"/>
    <w:p>
      <w:pPr>
        <w:pStyle w:val="Bibliography"/>
      </w:pPr>
      <w:r>
        <w:t xml:space="preserve">Devkota, Bhuwan, Douglas Dudycha, and Jean Andrey. 2012.</w:t>
      </w:r>
      <w:r>
        <w:t xml:space="preserve"> </w:t>
      </w:r>
      <w:r>
        <w:t xml:space="preserve">“Planning for Non-Motorized Travel in Rural Nepal: A Role for Geographic Information Systems.”</w:t>
      </w:r>
      <w:r>
        <w:t xml:space="preserve"> </w:t>
      </w:r>
      <w:r>
        <w:rPr>
          <w:iCs/>
          <w:i/>
        </w:rPr>
        <w:t xml:space="preserve">Journal of Transport Geography</w:t>
      </w:r>
      <w:r>
        <w:t xml:space="preserve"> </w:t>
      </w:r>
      <w:r>
        <w:t xml:space="preserve">24: 282–91.</w:t>
      </w:r>
    </w:p>
    <w:bookmarkEnd w:id="74"/>
    <w:bookmarkStart w:id="75" w:name="ref-dovey2020walkability"/>
    <w:p>
      <w:pPr>
        <w:pStyle w:val="Bibliography"/>
      </w:pPr>
      <w:r>
        <w:t xml:space="preserve">Dovey, Kim, and Elek Pafka. 2020.</w:t>
      </w:r>
      <w:r>
        <w:t xml:space="preserve"> </w:t>
      </w:r>
      <w:r>
        <w:t xml:space="preserve">“What Is Walkability? The Urban DMA.”</w:t>
      </w:r>
      <w:r>
        <w:t xml:space="preserve"> </w:t>
      </w:r>
      <w:r>
        <w:rPr>
          <w:iCs/>
          <w:i/>
        </w:rPr>
        <w:t xml:space="preserve">Urban Studies</w:t>
      </w:r>
      <w:r>
        <w:t xml:space="preserve"> </w:t>
      </w:r>
      <w:r>
        <w:t xml:space="preserve">57 (1): 93–108.</w:t>
      </w:r>
    </w:p>
    <w:bookmarkEnd w:id="75"/>
    <w:bookmarkStart w:id="76" w:name="ref-duncan2011validation"/>
    <w:p>
      <w:pPr>
        <w:pStyle w:val="Bibliography"/>
      </w:pPr>
      <w:r>
        <w:t xml:space="preserve">Duncan, Dustin T, Jared Aldstadt, John Whalen, Steven J Melly, and Steven L Gortmaker. 2011.</w:t>
      </w:r>
      <w:r>
        <w:t xml:space="preserve"> </w:t>
      </w:r>
      <w:r>
        <w:t xml:space="preserve">“Validation of Walk Score</w:t>
      </w:r>
      <w:r>
        <w:t xml:space="preserve"> </w:t>
      </w:r>
      <w:r>
        <w:t xml:space="preserve">for Estimating Neighborhood Walkability: An Analysis of Four US Metropolitan Areas.”</w:t>
      </w:r>
      <w:r>
        <w:t xml:space="preserve"> </w:t>
      </w:r>
      <w:r>
        <w:rPr>
          <w:iCs/>
          <w:i/>
        </w:rPr>
        <w:t xml:space="preserve">International Journal of Environmental Research and Public Health</w:t>
      </w:r>
      <w:r>
        <w:t xml:space="preserve"> </w:t>
      </w:r>
      <w:r>
        <w:t xml:space="preserve">8 (11): 4160–79.</w:t>
      </w:r>
    </w:p>
    <w:bookmarkEnd w:id="76"/>
    <w:bookmarkStart w:id="77" w:name="ref-ebener2005physical"/>
    <w:p>
      <w:pPr>
        <w:pStyle w:val="Bibliography"/>
      </w:pPr>
      <w:r>
        <w:t xml:space="preserve">Ebener, Steeve, Zine El Morjani, Nicolas Ray, and Michael Black. 2005.</w:t>
      </w:r>
      <w:r>
        <w:t xml:space="preserve"> </w:t>
      </w:r>
      <w:r>
        <w:t xml:space="preserve">“Physical Accessibility to Health Care: From Isotropy to Anisotropy.”</w:t>
      </w:r>
      <w:r>
        <w:t xml:space="preserve"> </w:t>
      </w:r>
      <w:r>
        <w:rPr>
          <w:iCs/>
          <w:i/>
        </w:rPr>
        <w:t xml:space="preserve">GIS@ Development</w:t>
      </w:r>
      <w:r>
        <w:t xml:space="preserve"> </w:t>
      </w:r>
      <w:r>
        <w:t xml:space="preserve">9 (6).</w:t>
      </w:r>
    </w:p>
    <w:bookmarkEnd w:id="77"/>
    <w:bookmarkStart w:id="78" w:name="ref-el2011place"/>
    <w:p>
      <w:pPr>
        <w:pStyle w:val="Bibliography"/>
      </w:pPr>
      <w:r>
        <w:t xml:space="preserve">El-Geneidy, Ahmed, and David Levinson. 2011.</w:t>
      </w:r>
      <w:r>
        <w:t xml:space="preserve"> </w:t>
      </w:r>
      <w:r>
        <w:t xml:space="preserve">“Place Rank: Valuing Spatial Interactions.”</w:t>
      </w:r>
      <w:r>
        <w:t xml:space="preserve"> </w:t>
      </w:r>
      <w:r>
        <w:rPr>
          <w:iCs/>
          <w:i/>
        </w:rPr>
        <w:t xml:space="preserve">Networks and Spatial Economics</w:t>
      </w:r>
      <w:r>
        <w:t xml:space="preserve"> </w:t>
      </w:r>
      <w:r>
        <w:t xml:space="preserve">11 (4): 643–59.</w:t>
      </w:r>
    </w:p>
    <w:bookmarkEnd w:id="78"/>
    <w:bookmarkStart w:id="79" w:name="ref-emery2011wabsa"/>
    <w:p>
      <w:pPr>
        <w:pStyle w:val="Bibliography"/>
      </w:pPr>
      <w:r>
        <w:t xml:space="preserve">Emery, J, and C Crump. 2011.</w:t>
      </w:r>
      <w:r>
        <w:t xml:space="preserve"> </w:t>
      </w:r>
      <w:r>
        <w:t xml:space="preserve">“The WABSA Project: Assessing and Improving Your Community’s Walkability &amp; Bikeability. 2003.”</w:t>
      </w:r>
      <w:r>
        <w:t xml:space="preserve"> </w:t>
      </w:r>
      <w:r>
        <w:rPr>
          <w:iCs/>
          <w:i/>
        </w:rPr>
        <w:t xml:space="preserve">North Carolina Dep. Heal. Behav. Heal. Educ. Sch. Public Heal. Univ. North Carolina Chapel Hill</w:t>
      </w:r>
      <w:r>
        <w:t xml:space="preserve">.</w:t>
      </w:r>
    </w:p>
    <w:bookmarkEnd w:id="79"/>
    <w:bookmarkStart w:id="80" w:name="ref-engelbrektsson2000eliciting"/>
    <w:p>
      <w:pPr>
        <w:pStyle w:val="Bibliography"/>
      </w:pPr>
      <w:r>
        <w:t xml:space="preserve">Engelbrektsson, Pontus, Özlem Yesil, and ICM Karlsson. 2000.</w:t>
      </w:r>
      <w:r>
        <w:t xml:space="preserve"> </w:t>
      </w:r>
      <w:r>
        <w:t xml:space="preserve">“Eliciting Customer Requirements in Focus Group Interviews: Can Efficiency Be Increased.”</w:t>
      </w:r>
      <w:r>
        <w:t xml:space="preserve"> </w:t>
      </w:r>
      <w:r>
        <w:t xml:space="preserve">In</w:t>
      </w:r>
      <w:r>
        <w:t xml:space="preserve"> </w:t>
      </w:r>
      <w:r>
        <w:rPr>
          <w:iCs/>
          <w:i/>
        </w:rPr>
        <w:t xml:space="preserve">7th International Product Development Management Conference</w:t>
      </w:r>
      <w:r>
        <w:t xml:space="preserve">, 29–30. Citeseer.</w:t>
      </w:r>
    </w:p>
    <w:bookmarkEnd w:id="80"/>
    <w:bookmarkStart w:id="81" w:name="ref-espada2011application"/>
    <w:p>
      <w:pPr>
        <w:pStyle w:val="Bibliography"/>
      </w:pPr>
      <w:r>
        <w:t xml:space="preserve">Espada, Ian, and J Luk. 2011.</w:t>
      </w:r>
      <w:r>
        <w:t xml:space="preserve"> </w:t>
      </w:r>
      <w:r>
        <w:rPr>
          <w:iCs/>
          <w:i/>
        </w:rPr>
        <w:t xml:space="preserve">Application of Accessibility Measures</w:t>
      </w:r>
      <w:r>
        <w:t xml:space="preserve">. AP-R397/11.</w:t>
      </w:r>
    </w:p>
    <w:bookmarkEnd w:id="81"/>
    <w:bookmarkStart w:id="82" w:name="ref-fan2012impact"/>
    <w:p>
      <w:pPr>
        <w:pStyle w:val="Bibliography"/>
      </w:pPr>
      <w:r>
        <w:t xml:space="preserve">Fan, Yingling, Andrew Guthrie, and David Levinson. 2012.</w:t>
      </w:r>
      <w:r>
        <w:t xml:space="preserve"> </w:t>
      </w:r>
      <w:r>
        <w:t xml:space="preserve">“Impact of Light-Rail Implementation on Labor Market Accessibility: A Transportation Equity Perspective.”</w:t>
      </w:r>
      <w:r>
        <w:t xml:space="preserve"> </w:t>
      </w:r>
      <w:r>
        <w:rPr>
          <w:iCs/>
          <w:i/>
        </w:rPr>
        <w:t xml:space="preserve">Journal of Transport and Land Use</w:t>
      </w:r>
      <w:r>
        <w:t xml:space="preserve"> </w:t>
      </w:r>
      <w:r>
        <w:t xml:space="preserve">5 (3): 28–39.</w:t>
      </w:r>
    </w:p>
    <w:bookmarkEnd w:id="82"/>
    <w:bookmarkStart w:id="83" w:name="ref-fayyad1996data"/>
    <w:p>
      <w:pPr>
        <w:pStyle w:val="Bibliography"/>
      </w:pPr>
      <w:r>
        <w:t xml:space="preserve">Fayyad, Usama, Gregory Piatetsky-Shapiro, and Padhraic Smyth. 1996.</w:t>
      </w:r>
      <w:r>
        <w:t xml:space="preserve"> </w:t>
      </w:r>
      <w:r>
        <w:t xml:space="preserve">“From Data Mining to Knowledge Discovery in Databases.”</w:t>
      </w:r>
      <w:r>
        <w:t xml:space="preserve"> </w:t>
      </w:r>
      <w:r>
        <w:rPr>
          <w:iCs/>
          <w:i/>
        </w:rPr>
        <w:t xml:space="preserve">AI Magazine</w:t>
      </w:r>
      <w:r>
        <w:t xml:space="preserve"> </w:t>
      </w:r>
      <w:r>
        <w:t xml:space="preserve">17 (3): 37–37.</w:t>
      </w:r>
    </w:p>
    <w:bookmarkEnd w:id="83"/>
    <w:bookmarkStart w:id="84" w:name="ref-fishman2016cycling"/>
    <w:p>
      <w:pPr>
        <w:pStyle w:val="Bibliography"/>
      </w:pPr>
      <w:r>
        <w:t xml:space="preserve">Fishman, Elliot. 2016.</w:t>
      </w:r>
      <w:r>
        <w:t xml:space="preserve"> </w:t>
      </w:r>
      <w:r>
        <w:t xml:space="preserve">“Cycling as Transport.”</w:t>
      </w:r>
      <w:r>
        <w:t xml:space="preserve"> </w:t>
      </w:r>
      <w:r>
        <w:rPr>
          <w:iCs/>
          <w:i/>
        </w:rPr>
        <w:t xml:space="preserve">Transport Reviews</w:t>
      </w:r>
      <w:r>
        <w:t xml:space="preserve">. Taylor &amp; Francis.</w:t>
      </w:r>
    </w:p>
    <w:bookmarkEnd w:id="84"/>
    <w:bookmarkStart w:id="85" w:name="ref-frank2004obesity"/>
    <w:p>
      <w:pPr>
        <w:pStyle w:val="Bibliography"/>
      </w:pPr>
      <w:r>
        <w:t xml:space="preserve">Frank, Lawrence D, Martin A Andresen, and Thomas L Schmid. 2004.</w:t>
      </w:r>
      <w:r>
        <w:t xml:space="preserve"> </w:t>
      </w:r>
      <w:r>
        <w:t xml:space="preserve">“Obesity Relationships with Community Design, Physical Activity, and Time Spent in Cars.”</w:t>
      </w:r>
      <w:r>
        <w:t xml:space="preserve"> </w:t>
      </w:r>
      <w:r>
        <w:rPr>
          <w:iCs/>
          <w:i/>
        </w:rPr>
        <w:t xml:space="preserve">American Journal of Preventive Medicine</w:t>
      </w:r>
      <w:r>
        <w:t xml:space="preserve"> </w:t>
      </w:r>
      <w:r>
        <w:t xml:space="preserve">27 (2): 87–96.</w:t>
      </w:r>
    </w:p>
    <w:bookmarkEnd w:id="85"/>
    <w:bookmarkStart w:id="86" w:name="ref-frank2017international"/>
    <w:p>
      <w:pPr>
        <w:pStyle w:val="Bibliography"/>
      </w:pPr>
      <w:r>
        <w:t xml:space="preserve">Frank, Lawrence D, Eric H Fox, Jared M Ulmer, James E Chapman, Suzanne E Kershaw, James F Sallis, Terry L Conway, et al. 2017.</w:t>
      </w:r>
      <w:r>
        <w:t xml:space="preserve"> </w:t>
      </w:r>
      <w:r>
        <w:t xml:space="preserve">“International Comparison of Observation-Specific Spatial Buffers.”</w:t>
      </w:r>
    </w:p>
    <w:bookmarkEnd w:id="86"/>
    <w:bookmarkStart w:id="87" w:name="ref-frank2006many"/>
    <w:p>
      <w:pPr>
        <w:pStyle w:val="Bibliography"/>
      </w:pPr>
      <w:r>
        <w:t xml:space="preserve">Frank, Lawrence D, James F Sallis, Terry L Conway, James E Chapman, Brian E Saelens, and William Bachman. 2006.</w:t>
      </w:r>
      <w:r>
        <w:t xml:space="preserve"> </w:t>
      </w:r>
      <w:r>
        <w:t xml:space="preserve">“Many Pathways from Land Use to Health: Associations Between Neighborhood Walkability and Active Transportation, Body Mass Index, and Air Quality.”</w:t>
      </w:r>
      <w:r>
        <w:t xml:space="preserve"> </w:t>
      </w:r>
      <w:r>
        <w:rPr>
          <w:iCs/>
          <w:i/>
        </w:rPr>
        <w:t xml:space="preserve">Journal of the American Planning Association</w:t>
      </w:r>
      <w:r>
        <w:t xml:space="preserve"> </w:t>
      </w:r>
      <w:r>
        <w:t xml:space="preserve">72 (1): 75–87.</w:t>
      </w:r>
    </w:p>
    <w:bookmarkEnd w:id="87"/>
    <w:bookmarkStart w:id="88" w:name="ref-frank2010development"/>
    <w:p>
      <w:pPr>
        <w:pStyle w:val="Bibliography"/>
      </w:pPr>
      <w:r>
        <w:t xml:space="preserve">Frank, Lawrence D, James F Sallis, Brian E Saelens, Lauren Leary, Kelli Cain, Terry L Conway, and Paul M Hess. 2010.</w:t>
      </w:r>
      <w:r>
        <w:t xml:space="preserve"> </w:t>
      </w:r>
      <w:r>
        <w:t xml:space="preserve">“The Development of a Walkability Index: Application to the Neighborhood Quality of Life Study.”</w:t>
      </w:r>
      <w:r>
        <w:t xml:space="preserve"> </w:t>
      </w:r>
      <w:r>
        <w:rPr>
          <w:iCs/>
          <w:i/>
        </w:rPr>
        <w:t xml:space="preserve">British Journal of Sports Medicine</w:t>
      </w:r>
      <w:r>
        <w:t xml:space="preserve"> </w:t>
      </w:r>
      <w:r>
        <w:t xml:space="preserve">44 (13): 924–33.</w:t>
      </w:r>
    </w:p>
    <w:bookmarkEnd w:id="88"/>
    <w:bookmarkStart w:id="89"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89"/>
    <w:bookmarkStart w:id="90" w:name="ref-frank2003health"/>
    <w:p>
      <w:pPr>
        <w:pStyle w:val="Bibliography"/>
      </w:pPr>
      <w:r>
        <w:t xml:space="preserve">Frank, Lawrence, Peter Engelke, and Thomas Schmid. 2003.</w:t>
      </w:r>
      <w:r>
        <w:t xml:space="preserve"> </w:t>
      </w:r>
      <w:r>
        <w:rPr>
          <w:iCs/>
          <w:i/>
        </w:rPr>
        <w:t xml:space="preserve">Health and Community Design: The Impact of the Built Environment on Physical Activity</w:t>
      </w:r>
      <w:r>
        <w:t xml:space="preserve">. Island Press.</w:t>
      </w:r>
    </w:p>
    <w:bookmarkEnd w:id="90"/>
    <w:bookmarkStart w:id="91" w:name="ref-fransen2015identifying"/>
    <w:p>
      <w:pPr>
        <w:pStyle w:val="Bibliography"/>
      </w:pPr>
      <w:r>
        <w:t xml:space="preserve">Fransen, Koos, Tijs Neutens, Steven Farber, Philippe De Maeyer, Greet Deruyter, and Frank Witlox. 2015.</w:t>
      </w:r>
      <w:r>
        <w:t xml:space="preserve"> </w:t>
      </w:r>
      <w:r>
        <w:t xml:space="preserve">“Identifying Public Transport Gaps Using Time-Dependent Accessibility Levels.”</w:t>
      </w:r>
      <w:r>
        <w:t xml:space="preserve"> </w:t>
      </w:r>
      <w:r>
        <w:rPr>
          <w:iCs/>
          <w:i/>
        </w:rPr>
        <w:t xml:space="preserve">Journal of Transport Geography</w:t>
      </w:r>
      <w:r>
        <w:t xml:space="preserve"> </w:t>
      </w:r>
      <w:r>
        <w:t xml:space="preserve">48: 176–87.</w:t>
      </w:r>
    </w:p>
    <w:bookmarkEnd w:id="91"/>
    <w:bookmarkStart w:id="92" w:name="ref-friedrich2007towards"/>
    <w:p>
      <w:pPr>
        <w:pStyle w:val="Bibliography"/>
      </w:pPr>
      <w:r>
        <w:t xml:space="preserve">Friedrich, Wernher R, and John A Van Der Poll. 2007.</w:t>
      </w:r>
      <w:r>
        <w:t xml:space="preserve"> </w:t>
      </w:r>
      <w:r>
        <w:t xml:space="preserve">“Towards a Methodology to Elicit Tacit Domain Knowledge from Users.”</w:t>
      </w:r>
      <w:r>
        <w:t xml:space="preserve"> </w:t>
      </w:r>
      <w:r>
        <w:rPr>
          <w:iCs/>
          <w:i/>
        </w:rPr>
        <w:t xml:space="preserve">Interdisciplinary Journal of Information, Knowledge, and Management</w:t>
      </w:r>
      <w:r>
        <w:t xml:space="preserve"> </w:t>
      </w:r>
      <w:r>
        <w:t xml:space="preserve">2: 179.</w:t>
      </w:r>
    </w:p>
    <w:bookmarkEnd w:id="92"/>
    <w:bookmarkStart w:id="93" w:name="ref-furth2016network"/>
    <w:p>
      <w:pPr>
        <w:pStyle w:val="Bibliography"/>
      </w:pPr>
      <w:r>
        <w:t xml:space="preserve">Furth, Peter G, Maaza C Mekuria, and Hilary Nixon. 2016.</w:t>
      </w:r>
      <w:r>
        <w:t xml:space="preserve"> </w:t>
      </w:r>
      <w:r>
        <w:t xml:space="preserve">“Network Connectivity for Low-Stress Bicycling.”</w:t>
      </w:r>
      <w:r>
        <w:t xml:space="preserve"> </w:t>
      </w:r>
      <w:r>
        <w:rPr>
          <w:iCs/>
          <w:i/>
        </w:rPr>
        <w:t xml:space="preserve">Transportation Research Record</w:t>
      </w:r>
      <w:r>
        <w:t xml:space="preserve"> </w:t>
      </w:r>
      <w:r>
        <w:t xml:space="preserve">2587 (1): 41–49.</w:t>
      </w:r>
    </w:p>
    <w:bookmarkEnd w:id="93"/>
    <w:bookmarkStart w:id="94" w:name="ref-garcia2013walking"/>
    <w:p>
      <w:pPr>
        <w:pStyle w:val="Bibliography"/>
      </w:pPr>
      <w:r>
        <w:t xml:space="preserve">Garcı́a-Palomares, Juan Carlos, Javier Gutiérrez, and Osvaldo Daniel Cardozo. 2013.</w:t>
      </w:r>
      <w:r>
        <w:t xml:space="preserve"> </w:t>
      </w:r>
      <w:r>
        <w:t xml:space="preserve">“Walking Accessibility to Public Transport: An Analysis Based on Microdata and GIS.”</w:t>
      </w:r>
      <w:r>
        <w:t xml:space="preserve"> </w:t>
      </w:r>
      <w:r>
        <w:rPr>
          <w:iCs/>
          <w:i/>
        </w:rPr>
        <w:t xml:space="preserve">Environment and Planning B: Planning and Design</w:t>
      </w:r>
      <w:r>
        <w:t xml:space="preserve"> </w:t>
      </w:r>
      <w:r>
        <w:t xml:space="preserve">40 (6): 1087–1102.</w:t>
      </w:r>
    </w:p>
    <w:bookmarkEnd w:id="94"/>
    <w:bookmarkStart w:id="95" w:name="ref-garling2014handbook"/>
    <w:p>
      <w:pPr>
        <w:pStyle w:val="Bibliography"/>
      </w:pPr>
      <w:r>
        <w:t xml:space="preserve">Gärling, Tommy, Dick Ettema, and Margareta Friman. 2014.</w:t>
      </w:r>
      <w:r>
        <w:t xml:space="preserve"> </w:t>
      </w:r>
      <w:r>
        <w:rPr>
          <w:iCs/>
          <w:i/>
        </w:rPr>
        <w:t xml:space="preserve">Handbook of Sustainable Travel</w:t>
      </w:r>
      <w:r>
        <w:t xml:space="preserve">. Springer.</w:t>
      </w:r>
    </w:p>
    <w:bookmarkEnd w:id="95"/>
    <w:bookmarkStart w:id="96" w:name="ref-geurs2003evaluation"/>
    <w:p>
      <w:pPr>
        <w:pStyle w:val="Bibliography"/>
      </w:pPr>
      <w:r>
        <w:t xml:space="preserve">Geurs, Karst T, JR Ritsema van Eck, et al. 2003.</w:t>
      </w:r>
      <w:r>
        <w:t xml:space="preserve"> </w:t>
      </w:r>
      <w:r>
        <w:t xml:space="preserve">“Evaluation of Accessibility Impacts of Land-Use Scenarios: The Implications of Job Competition, Land-Use, and Infrastructure Developments for the Netherlands.”</w:t>
      </w:r>
      <w:r>
        <w:t xml:space="preserve"> </w:t>
      </w:r>
      <w:r>
        <w:rPr>
          <w:iCs/>
          <w:i/>
        </w:rPr>
        <w:t xml:space="preserve">Environment and Planning B</w:t>
      </w:r>
      <w:r>
        <w:t xml:space="preserve"> </w:t>
      </w:r>
      <w:r>
        <w:t xml:space="preserve">30 (1): 69–88.</w:t>
      </w:r>
    </w:p>
    <w:bookmarkEnd w:id="96"/>
    <w:bookmarkStart w:id="97"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97"/>
    <w:bookmarkStart w:id="98"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98"/>
    <w:bookmarkStart w:id="99" w:name="ref-gossling2019social"/>
    <w:p>
      <w:pPr>
        <w:pStyle w:val="Bibliography"/>
      </w:pPr>
      <w:r>
        <w:t xml:space="preserve">Gössling, Stefan, Andy Choi, Kaely Dekker, and Daniel Metzler. 2019.</w:t>
      </w:r>
      <w:r>
        <w:t xml:space="preserve"> </w:t>
      </w:r>
      <w:r>
        <w:t xml:space="preserve">“The Social Cost of Automobility, Cycling and Walking in the European Union.”</w:t>
      </w:r>
      <w:r>
        <w:t xml:space="preserve"> </w:t>
      </w:r>
      <w:r>
        <w:rPr>
          <w:iCs/>
          <w:i/>
        </w:rPr>
        <w:t xml:space="preserve">Ecological Economics</w:t>
      </w:r>
      <w:r>
        <w:t xml:space="preserve"> </w:t>
      </w:r>
      <w:r>
        <w:t xml:space="preserve">158: 65–74.</w:t>
      </w:r>
    </w:p>
    <w:bookmarkEnd w:id="99"/>
    <w:bookmarkStart w:id="100" w:name="ref-grasser2013objectively"/>
    <w:p>
      <w:pPr>
        <w:pStyle w:val="Bibliography"/>
      </w:pPr>
      <w:r>
        <w:t xml:space="preserve">Grasser, Gerlinde, Delfien Van Dyck, Sylvia Titze, and Willibald Stronegger. 2013.</w:t>
      </w:r>
      <w:r>
        <w:t xml:space="preserve"> </w:t>
      </w:r>
      <w:r>
        <w:t xml:space="preserve">“Objectively Measured Walkability and Active Transport and Weight-Related Outcomes in Adults: A Systematic Review.”</w:t>
      </w:r>
      <w:r>
        <w:t xml:space="preserve"> </w:t>
      </w:r>
      <w:r>
        <w:rPr>
          <w:iCs/>
          <w:i/>
        </w:rPr>
        <w:t xml:space="preserve">International Journal of Public Health</w:t>
      </w:r>
      <w:r>
        <w:t xml:space="preserve"> </w:t>
      </w:r>
      <w:r>
        <w:t xml:space="preserve">58 (4): 615–25.</w:t>
      </w:r>
    </w:p>
    <w:bookmarkEnd w:id="100"/>
    <w:bookmarkStart w:id="101" w:name="ref-greenberg2005does"/>
    <w:p>
      <w:pPr>
        <w:pStyle w:val="Bibliography"/>
      </w:pPr>
      <w:r>
        <w:t xml:space="preserve">Greenberg, Michael R, and John Renne. 2005.</w:t>
      </w:r>
      <w:r>
        <w:t xml:space="preserve"> </w:t>
      </w:r>
      <w:r>
        <w:t xml:space="preserve">“Where Does Walkability Matter the Most? An Environmental Justice Interpretation of New Jersey Data.”</w:t>
      </w:r>
      <w:r>
        <w:t xml:space="preserve"> </w:t>
      </w:r>
      <w:r>
        <w:rPr>
          <w:iCs/>
          <w:i/>
        </w:rPr>
        <w:t xml:space="preserve">Journal of Urban Health</w:t>
      </w:r>
      <w:r>
        <w:t xml:space="preserve"> </w:t>
      </w:r>
      <w:r>
        <w:t xml:space="preserve">82 (1): 90–100.</w:t>
      </w:r>
    </w:p>
    <w:bookmarkEnd w:id="101"/>
    <w:bookmarkStart w:id="102" w:name="ref-gupta1995aggregate"/>
    <w:p>
      <w:pPr>
        <w:pStyle w:val="Bibliography"/>
      </w:pPr>
      <w:r>
        <w:t xml:space="preserve">Gupta, Ashish, Venky Harinarayan, and Dallan Quass. 1995.</w:t>
      </w:r>
      <w:r>
        <w:t xml:space="preserve"> </w:t>
      </w:r>
      <w:r>
        <w:t xml:space="preserve">“Aggregate-Query Processing in Data Warehousing Environments.”</w:t>
      </w:r>
    </w:p>
    <w:bookmarkEnd w:id="102"/>
    <w:bookmarkStart w:id="103" w:name="ref-hadar2014role"/>
    <w:p>
      <w:pPr>
        <w:pStyle w:val="Bibliography"/>
      </w:pPr>
      <w:r>
        <w:t xml:space="preserve">Hadar, Irit, Pnina Soffer, and Keren Kenzi. 2014.</w:t>
      </w:r>
      <w:r>
        <w:t xml:space="preserve"> </w:t>
      </w:r>
      <w:r>
        <w:t xml:space="preserve">“The Role of Domain Knowledge in Requirements Elicitation via Interviews: An Exploratory Study.”</w:t>
      </w:r>
      <w:r>
        <w:t xml:space="preserve"> </w:t>
      </w:r>
      <w:r>
        <w:rPr>
          <w:iCs/>
          <w:i/>
        </w:rPr>
        <w:t xml:space="preserve">Requirements Engineering</w:t>
      </w:r>
      <w:r>
        <w:t xml:space="preserve"> </w:t>
      </w:r>
      <w:r>
        <w:t xml:space="preserve">19: 143–59.</w:t>
      </w:r>
    </w:p>
    <w:bookmarkEnd w:id="103"/>
    <w:bookmarkStart w:id="104"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104"/>
    <w:bookmarkStart w:id="105" w:name="ref-halden2000accessibility"/>
    <w:p>
      <w:pPr>
        <w:pStyle w:val="Bibliography"/>
      </w:pPr>
      <w:r>
        <w:t xml:space="preserve">Halden, Derek, David Mcguigan, Andrew Nisbet, and Alan Mckinnon. 2000.</w:t>
      </w:r>
      <w:r>
        <w:t xml:space="preserve"> </w:t>
      </w:r>
      <w:r>
        <w:rPr>
          <w:iCs/>
          <w:i/>
        </w:rPr>
        <w:t xml:space="preserve">Accessibility: Review of Measuring Techniques and Their Application</w:t>
      </w:r>
      <w:r>
        <w:t xml:space="preserve">. Great Britain, Scottish Executive, Central Research Unit Edinburgh, UK.</w:t>
      </w:r>
    </w:p>
    <w:bookmarkEnd w:id="105"/>
    <w:bookmarkStart w:id="106"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106"/>
    <w:bookmarkStart w:id="107" w:name="ref-handy2002accessibility"/>
    <w:p>
      <w:pPr>
        <w:pStyle w:val="Bibliography"/>
      </w:pPr>
      <w:r>
        <w:t xml:space="preserve">Handy, Susan L. 2002.</w:t>
      </w:r>
      <w:r>
        <w:t xml:space="preserve"> </w:t>
      </w:r>
      <w:r>
        <w:t xml:space="preserve">“Accessibility-Vs. Mobility-Enhancing Strategies for Addressing Automobile Dependence in the US.”</w:t>
      </w:r>
    </w:p>
    <w:bookmarkEnd w:id="107"/>
    <w:bookmarkStart w:id="108"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108"/>
    <w:bookmarkStart w:id="109" w:name="ref-hansen1959accessibility"/>
    <w:p>
      <w:pPr>
        <w:pStyle w:val="Bibliography"/>
      </w:pPr>
      <w:r>
        <w:t xml:space="preserve">Hansen, WG. 1959.</w:t>
      </w:r>
      <w:r>
        <w:t xml:space="preserve"> </w:t>
      </w:r>
      <w:r>
        <w:t xml:space="preserve">“How Accessibility Shapes Land Use–Journal of the American Planning Association 25-2.”</w:t>
      </w:r>
      <w:r>
        <w:t xml:space="preserve"> </w:t>
      </w:r>
      <w:r>
        <w:rPr>
          <w:iCs/>
          <w:i/>
        </w:rPr>
        <w:t xml:space="preserve">DOI: Http://Dx. Doi. Org/10.1080/01944365908978307</w:t>
      </w:r>
      <w:r>
        <w:t xml:space="preserve"> </w:t>
      </w:r>
      <w:r>
        <w:t xml:space="preserve">73.</w:t>
      </w:r>
    </w:p>
    <w:bookmarkEnd w:id="109"/>
    <w:bookmarkStart w:id="110" w:name="ref-harkey1998development"/>
    <w:p>
      <w:pPr>
        <w:pStyle w:val="Bibliography"/>
      </w:pPr>
      <w:r>
        <w:t xml:space="preserve">Harkey, David L, Donald W Reinfurt, and Matthew Knuiman. 1998.</w:t>
      </w:r>
      <w:r>
        <w:t xml:space="preserve"> </w:t>
      </w:r>
      <w:r>
        <w:t xml:space="preserve">“Development of the Bicycle Compatibility Index.”</w:t>
      </w:r>
      <w:r>
        <w:t xml:space="preserve"> </w:t>
      </w:r>
      <w:r>
        <w:rPr>
          <w:iCs/>
          <w:i/>
        </w:rPr>
        <w:t xml:space="preserve">Transportation Research Record</w:t>
      </w:r>
      <w:r>
        <w:t xml:space="preserve"> </w:t>
      </w:r>
      <w:r>
        <w:t xml:space="preserve">1636 (1): 13–20.</w:t>
      </w:r>
    </w:p>
    <w:bookmarkEnd w:id="110"/>
    <w:bookmarkStart w:id="111" w:name="ref-harkey1998Development"/>
    <w:p>
      <w:pPr>
        <w:pStyle w:val="Bibliography"/>
      </w:pPr>
      <w:r>
        <w:t xml:space="preserve">Harkey, David L, Donald W Reinfurt, Matthew Knuiman, J Richard Stewart, Alex Sorton, et al. 1998.</w:t>
      </w:r>
      <w:r>
        <w:t xml:space="preserve"> </w:t>
      </w:r>
      <w:r>
        <w:t xml:space="preserve">“Development of the Bicycle Compatibility Index: A Level of Service Concept, Final Report.”</w:t>
      </w:r>
      <w:r>
        <w:t xml:space="preserve"> </w:t>
      </w:r>
      <w:r>
        <w:t xml:space="preserve">United States. Federal Highway Administration.</w:t>
      </w:r>
    </w:p>
    <w:bookmarkEnd w:id="111"/>
    <w:bookmarkStart w:id="112" w:name="ref-harris2001accessibility"/>
    <w:p>
      <w:pPr>
        <w:pStyle w:val="Bibliography"/>
      </w:pPr>
      <w:r>
        <w:t xml:space="preserve">Harris, Britton. 2001.</w:t>
      </w:r>
      <w:r>
        <w:t xml:space="preserve"> </w:t>
      </w:r>
      <w:r>
        <w:t xml:space="preserve">“Accessibility: Concepts and Applications.”</w:t>
      </w:r>
      <w:r>
        <w:t xml:space="preserve"> </w:t>
      </w:r>
      <w:r>
        <w:rPr>
          <w:iCs/>
          <w:i/>
        </w:rPr>
        <w:t xml:space="preserve">Journal of Transportation and Statistics</w:t>
      </w:r>
      <w:r>
        <w:t xml:space="preserve"> </w:t>
      </w:r>
      <w:r>
        <w:t xml:space="preserve">4 (2/3): 15–30.</w:t>
      </w:r>
    </w:p>
    <w:bookmarkEnd w:id="112"/>
    <w:bookmarkStart w:id="113" w:name="ref-hochmair2015assessment"/>
    <w:p>
      <w:pPr>
        <w:pStyle w:val="Bibliography"/>
      </w:pPr>
      <w:r>
        <w:t xml:space="preserve">Hochmair, Hartwig H. 2015.</w:t>
      </w:r>
      <w:r>
        <w:t xml:space="preserve"> </w:t>
      </w:r>
      <w:r>
        <w:t xml:space="preserve">“Assessment of Bicycle Service Areas Around Transit Stations.”</w:t>
      </w:r>
      <w:r>
        <w:t xml:space="preserve"> </w:t>
      </w:r>
      <w:r>
        <w:rPr>
          <w:iCs/>
          <w:i/>
        </w:rPr>
        <w:t xml:space="preserve">International Journal of Sustainable Transportation</w:t>
      </w:r>
      <w:r>
        <w:t xml:space="preserve"> </w:t>
      </w:r>
      <w:r>
        <w:t xml:space="preserve">9 (1): 15–29.</w:t>
      </w:r>
    </w:p>
    <w:bookmarkEnd w:id="113"/>
    <w:bookmarkStart w:id="114" w:name="ref-hoedl2010bikeability"/>
    <w:p>
      <w:pPr>
        <w:pStyle w:val="Bibliography"/>
      </w:pPr>
      <w:r>
        <w:t xml:space="preserve">Hoedl, Simon, Sylvia Titze, and Pekka Oja. 2010.</w:t>
      </w:r>
      <w:r>
        <w:t xml:space="preserve"> </w:t>
      </w:r>
      <w:r>
        <w:t xml:space="preserve">“The Bikeability and Walkability Evaluation Table: Reliability and Application.”</w:t>
      </w:r>
      <w:r>
        <w:t xml:space="preserve"> </w:t>
      </w:r>
      <w:r>
        <w:rPr>
          <w:iCs/>
          <w:i/>
        </w:rPr>
        <w:t xml:space="preserve">American Journal of Preventive Medicine</w:t>
      </w:r>
      <w:r>
        <w:t xml:space="preserve"> </w:t>
      </w:r>
      <w:r>
        <w:t xml:space="preserve">39 (5): 457–59.</w:t>
      </w:r>
    </w:p>
    <w:bookmarkEnd w:id="114"/>
    <w:bookmarkStart w:id="115" w:name="ref-horacek2012sneakers"/>
    <w:p>
      <w:pPr>
        <w:pStyle w:val="Bibliography"/>
      </w:pPr>
      <w:r>
        <w:t xml:space="preserve">Horacek, Tanya M, Adrienne A White, Geoffrey W Greene, Melissa M Reznar, Virginia M Quick, Jesse S Morrell, Sarah M Colby, et al. 2012.</w:t>
      </w:r>
      <w:r>
        <w:t xml:space="preserve"> </w:t>
      </w:r>
      <w:r>
        <w:t xml:space="preserve">“Sneakers and Spokes: An Assessment of the Walkability and Bikeability of US Postsecondary Institutions.”</w:t>
      </w:r>
      <w:r>
        <w:t xml:space="preserve"> </w:t>
      </w:r>
      <w:r>
        <w:rPr>
          <w:iCs/>
          <w:i/>
        </w:rPr>
        <w:t xml:space="preserve">Journal of Environmental Health</w:t>
      </w:r>
      <w:r>
        <w:t xml:space="preserve"> </w:t>
      </w:r>
      <w:r>
        <w:t xml:space="preserve">74 (7): 8–15.</w:t>
      </w:r>
    </w:p>
    <w:bookmarkEnd w:id="115"/>
    <w:bookmarkStart w:id="116"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116"/>
    <w:bookmarkStart w:id="117" w:name="ref-hull2012accessibility"/>
    <w:p>
      <w:pPr>
        <w:pStyle w:val="Bibliography"/>
      </w:pPr>
      <w:r>
        <w:t xml:space="preserve">Hull, Angela, Cecı́lia Silva, and Luca Bertolini. 2012.</w:t>
      </w:r>
      <w:r>
        <w:t xml:space="preserve"> </w:t>
      </w:r>
      <w:r>
        <w:rPr>
          <w:iCs/>
          <w:i/>
        </w:rPr>
        <w:t xml:space="preserve">Accessibility Instruments for Planning Practice</w:t>
      </w:r>
      <w:r>
        <w:t xml:space="preserve">. Cost Office Brussels.</w:t>
      </w:r>
    </w:p>
    <w:bookmarkEnd w:id="117"/>
    <w:bookmarkStart w:id="118" w:name="ref-hunt2007influences"/>
    <w:p>
      <w:pPr>
        <w:pStyle w:val="Bibliography"/>
      </w:pPr>
      <w:r>
        <w:t xml:space="preserve">Hunt, John Douglas, and John E Abraham. 2007.</w:t>
      </w:r>
      <w:r>
        <w:t xml:space="preserve"> </w:t>
      </w:r>
      <w:r>
        <w:t xml:space="preserve">“Influences on Bicycle Use.”</w:t>
      </w:r>
      <w:r>
        <w:t xml:space="preserve"> </w:t>
      </w:r>
      <w:r>
        <w:rPr>
          <w:iCs/>
          <w:i/>
        </w:rPr>
        <w:t xml:space="preserve">Transportation</w:t>
      </w:r>
      <w:r>
        <w:t xml:space="preserve"> </w:t>
      </w:r>
      <w:r>
        <w:t xml:space="preserve">34 (4): 453–70.</w:t>
      </w:r>
    </w:p>
    <w:bookmarkEnd w:id="118"/>
    <w:bookmarkStart w:id="119"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119"/>
    <w:bookmarkStart w:id="120" w:name="ref-ilagcrstrand1970people"/>
    <w:p>
      <w:pPr>
        <w:pStyle w:val="Bibliography"/>
      </w:pPr>
      <w:r>
        <w:t xml:space="preserve">Ilägcrstrand, Torsten. 1970.</w:t>
      </w:r>
      <w:r>
        <w:t xml:space="preserve"> </w:t>
      </w:r>
      <w:r>
        <w:t xml:space="preserve">“What about People in Regional Science.”</w:t>
      </w:r>
      <w:r>
        <w:t xml:space="preserve"> </w:t>
      </w:r>
      <w:r>
        <w:rPr>
          <w:iCs/>
          <w:i/>
        </w:rPr>
        <w:t xml:space="preserve">Regional Science Association</w:t>
      </w:r>
      <w:r>
        <w:t xml:space="preserve"> </w:t>
      </w:r>
      <w:r>
        <w:t xml:space="preserve">24.</w:t>
      </w:r>
    </w:p>
    <w:bookmarkEnd w:id="120"/>
    <w:bookmarkStart w:id="121" w:name="ref-imani2019cycle"/>
    <w:p>
      <w:pPr>
        <w:pStyle w:val="Bibliography"/>
      </w:pPr>
      <w:r>
        <w:t xml:space="preserve">Imani, Ahmadreza Faghih, Eric J Miller, and Shoshanna Saxe. 2019.</w:t>
      </w:r>
      <w:r>
        <w:t xml:space="preserve"> </w:t>
      </w:r>
      <w:r>
        <w:t xml:space="preserve">“Cycle Accessibility and Level of Traffic Stress: A Case Study of Toronto.”</w:t>
      </w:r>
      <w:r>
        <w:t xml:space="preserve"> </w:t>
      </w:r>
      <w:r>
        <w:rPr>
          <w:iCs/>
          <w:i/>
        </w:rPr>
        <w:t xml:space="preserve">Journal of Transport Geography</w:t>
      </w:r>
      <w:r>
        <w:t xml:space="preserve"> </w:t>
      </w:r>
      <w:r>
        <w:t xml:space="preserve">80: 102496.</w:t>
      </w:r>
    </w:p>
    <w:bookmarkEnd w:id="121"/>
    <w:bookmarkStart w:id="122" w:name="ref-ingram1971concept"/>
    <w:p>
      <w:pPr>
        <w:pStyle w:val="Bibliography"/>
      </w:pPr>
      <w:r>
        <w:t xml:space="preserve">Ingram, David R. 1971.</w:t>
      </w:r>
      <w:r>
        <w:t xml:space="preserve"> </w:t>
      </w:r>
      <w:r>
        <w:t xml:space="preserve">“The Concept of Accessibility: A Search for an Operational Form.”</w:t>
      </w:r>
      <w:r>
        <w:t xml:space="preserve"> </w:t>
      </w:r>
      <w:r>
        <w:rPr>
          <w:iCs/>
          <w:i/>
        </w:rPr>
        <w:t xml:space="preserve">Regional Studies</w:t>
      </w:r>
      <w:r>
        <w:t xml:space="preserve"> </w:t>
      </w:r>
      <w:r>
        <w:t xml:space="preserve">5 (2): 101–7.</w:t>
      </w:r>
    </w:p>
    <w:bookmarkEnd w:id="122"/>
    <w:bookmarkStart w:id="123"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123"/>
    <w:bookmarkStart w:id="124" w:name="ref-jabbari2021accessibility"/>
    <w:p>
      <w:pPr>
        <w:pStyle w:val="Bibliography"/>
      </w:pPr>
      <w:r>
        <w:t xml:space="preserve">Jabbari, Mona, Fernando Fonseca, and Rui Ramos. 2021.</w:t>
      </w:r>
      <w:r>
        <w:t xml:space="preserve"> </w:t>
      </w:r>
      <w:r>
        <w:t xml:space="preserve">“Accessibility and Connectivity Criteria for Assessing Walkability: An Application in Qazvin, Iran.”</w:t>
      </w:r>
      <w:r>
        <w:t xml:space="preserve"> </w:t>
      </w:r>
      <w:r>
        <w:rPr>
          <w:iCs/>
          <w:i/>
        </w:rPr>
        <w:t xml:space="preserve">Sustainability</w:t>
      </w:r>
      <w:r>
        <w:t xml:space="preserve"> </w:t>
      </w:r>
      <w:r>
        <w:t xml:space="preserve">13 (7): 3648.</w:t>
      </w:r>
    </w:p>
    <w:bookmarkEnd w:id="124"/>
    <w:bookmarkStart w:id="125" w:name="ref-kelobonye2019relative"/>
    <w:p>
      <w:pPr>
        <w:pStyle w:val="Bibliography"/>
      </w:pPr>
      <w:r>
        <w:t xml:space="preserve">Kelobonye, Keone, Gary McCarney, Jianhong Cecilia Xia, Mohammad Shahidul Hasan Swapan, Feng Mao, and Heng Zhou. 2019.</w:t>
      </w:r>
      <w:r>
        <w:t xml:space="preserve"> </w:t>
      </w:r>
      <w:r>
        <w:t xml:space="preserve">“Relative Accessibility Analysis for Key Land Uses: A Spatial Equity Perspective.”</w:t>
      </w:r>
      <w:r>
        <w:t xml:space="preserve"> </w:t>
      </w:r>
      <w:r>
        <w:rPr>
          <w:iCs/>
          <w:i/>
        </w:rPr>
        <w:t xml:space="preserve">Journal of Transport Geography</w:t>
      </w:r>
      <w:r>
        <w:t xml:space="preserve"> </w:t>
      </w:r>
      <w:r>
        <w:t xml:space="preserve">75: 82–93.</w:t>
      </w:r>
    </w:p>
    <w:bookmarkEnd w:id="125"/>
    <w:bookmarkStart w:id="126" w:name="ref-khreis2016health"/>
    <w:p>
      <w:pPr>
        <w:pStyle w:val="Bibliography"/>
      </w:pPr>
      <w:r>
        <w:t xml:space="preserve">Khreis, Haneen, Karyn M Warsow, Ersilia Verlinghieri, Alvaro Guzman, Luc Pellecuer, Antonio Ferreira, Ian Jones, et al. 2016.</w:t>
      </w:r>
      <w:r>
        <w:t xml:space="preserve"> </w:t>
      </w:r>
      <w:r>
        <w:t xml:space="preserve">“The Health Impacts of Traffic-Related Exposures in Urban Areas: Understanding Real Effects, Underlying Driving Forces and Co-Producing Future Directions.”</w:t>
      </w:r>
      <w:r>
        <w:t xml:space="preserve"> </w:t>
      </w:r>
      <w:r>
        <w:rPr>
          <w:iCs/>
          <w:i/>
        </w:rPr>
        <w:t xml:space="preserve">Journal of Transport &amp; Health</w:t>
      </w:r>
      <w:r>
        <w:t xml:space="preserve"> </w:t>
      </w:r>
      <w:r>
        <w:t xml:space="preserve">3 (3): 249–67.</w:t>
      </w:r>
    </w:p>
    <w:bookmarkEnd w:id="126"/>
    <w:bookmarkStart w:id="127" w:name="ref-kimball2011data"/>
    <w:p>
      <w:pPr>
        <w:pStyle w:val="Bibliography"/>
      </w:pPr>
      <w:r>
        <w:t xml:space="preserve">Kimball, Ralph, and Margy Ross. 2011.</w:t>
      </w:r>
      <w:r>
        <w:t xml:space="preserve"> </w:t>
      </w:r>
      <w:r>
        <w:rPr>
          <w:iCs/>
          <w:i/>
        </w:rPr>
        <w:t xml:space="preserve">The Data Warehouse Toolkit: The Complete Guide to Dimensional Modeling</w:t>
      </w:r>
      <w:r>
        <w:t xml:space="preserve">. John Wiley &amp; Sons.</w:t>
      </w:r>
    </w:p>
    <w:bookmarkEnd w:id="127"/>
    <w:bookmarkStart w:id="128" w:name="ref-koenig1980indicators"/>
    <w:p>
      <w:pPr>
        <w:pStyle w:val="Bibliography"/>
      </w:pPr>
      <w:r>
        <w:t xml:space="preserve">Koenig, Jean-Gerard. 1980.</w:t>
      </w:r>
      <w:r>
        <w:t xml:space="preserve"> </w:t>
      </w:r>
      <w:r>
        <w:t xml:space="preserve">“Indicators of Urban Accessibility: Theory and Application.”</w:t>
      </w:r>
      <w:r>
        <w:t xml:space="preserve"> </w:t>
      </w:r>
      <w:r>
        <w:rPr>
          <w:iCs/>
          <w:i/>
        </w:rPr>
        <w:t xml:space="preserve">Transportation</w:t>
      </w:r>
      <w:r>
        <w:t xml:space="preserve"> </w:t>
      </w:r>
      <w:r>
        <w:t xml:space="preserve">9 (2): 145–72.</w:t>
      </w:r>
    </w:p>
    <w:bookmarkEnd w:id="128"/>
    <w:bookmarkStart w:id="129"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129"/>
    <w:bookmarkStart w:id="130"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130"/>
    <w:bookmarkStart w:id="131" w:name="ref-krizek2009explaining"/>
    <w:p>
      <w:pPr>
        <w:pStyle w:val="Bibliography"/>
      </w:pPr>
      <w:r>
        <w:t xml:space="preserve">Krizek, Kevin J, Susan L Handy, and Ann Forsyth. 2009.</w:t>
      </w:r>
      <w:r>
        <w:t xml:space="preserve"> </w:t>
      </w:r>
      <w:r>
        <w:t xml:space="preserve">“Explaining Changes in Walking and Bicycling Behavior: Challenges for Transportation Research.”</w:t>
      </w:r>
      <w:r>
        <w:t xml:space="preserve"> </w:t>
      </w:r>
      <w:r>
        <w:rPr>
          <w:iCs/>
          <w:i/>
        </w:rPr>
        <w:t xml:space="preserve">Environment and Planning B: Planning and Design</w:t>
      </w:r>
      <w:r>
        <w:t xml:space="preserve"> </w:t>
      </w:r>
      <w:r>
        <w:t xml:space="preserve">36 (4): 725–40.</w:t>
      </w:r>
    </w:p>
    <w:bookmarkEnd w:id="131"/>
    <w:bookmarkStart w:id="132" w:name="ref-kwan1998"/>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Cs/>
          <w:i/>
        </w:rPr>
        <w:t xml:space="preserve">Geographical Analysis</w:t>
      </w:r>
      <w:r>
        <w:t xml:space="preserve"> </w:t>
      </w:r>
      <w:r>
        <w:t xml:space="preserve">30 (3): 191–216.</w:t>
      </w:r>
    </w:p>
    <w:bookmarkEnd w:id="132"/>
    <w:bookmarkStart w:id="133" w:name="ref-landis1997real"/>
    <w:p>
      <w:pPr>
        <w:pStyle w:val="Bibliography"/>
      </w:pPr>
      <w:r>
        <w:t xml:space="preserve">Landis, Bruce W, Venkat R Vattikuti, and Michael T Brannick. 1997.</w:t>
      </w:r>
      <w:r>
        <w:t xml:space="preserve"> </w:t>
      </w:r>
      <w:r>
        <w:t xml:space="preserve">“Real-Time Human Perceptions: Toward a Bicycle Level of Service.”</w:t>
      </w:r>
      <w:r>
        <w:t xml:space="preserve"> </w:t>
      </w:r>
      <w:r>
        <w:rPr>
          <w:iCs/>
          <w:i/>
        </w:rPr>
        <w:t xml:space="preserve">Transportation Research Record</w:t>
      </w:r>
      <w:r>
        <w:t xml:space="preserve"> </w:t>
      </w:r>
      <w:r>
        <w:t xml:space="preserve">1578 (1): 119–26.</w:t>
      </w:r>
    </w:p>
    <w:bookmarkEnd w:id="133"/>
    <w:bookmarkStart w:id="134" w:name="ref-landis2003intersection"/>
    <w:p>
      <w:pPr>
        <w:pStyle w:val="Bibliography"/>
      </w:pPr>
      <w:r>
        <w:t xml:space="preserve">Landis, Bruce W, Venkat R Vattikuti, Russell M Ottenberg, Theodore A Petritsch, Martin Guttenplan, and Linda B Crider. 2003.</w:t>
      </w:r>
      <w:r>
        <w:t xml:space="preserve"> </w:t>
      </w:r>
      <w:r>
        <w:t xml:space="preserve">“Intersection Level of Service for the Bicycle Through Movement.”</w:t>
      </w:r>
      <w:r>
        <w:t xml:space="preserve"> </w:t>
      </w:r>
      <w:r>
        <w:rPr>
          <w:iCs/>
          <w:i/>
        </w:rPr>
        <w:t xml:space="preserve">Transportation Research Record</w:t>
      </w:r>
      <w:r>
        <w:t xml:space="preserve"> </w:t>
      </w:r>
      <w:r>
        <w:t xml:space="preserve">1828 (1): 101–6.</w:t>
      </w:r>
    </w:p>
    <w:bookmarkEnd w:id="134"/>
    <w:bookmarkStart w:id="135" w:name="ref-larsen2011travel"/>
    <w:p>
      <w:pPr>
        <w:pStyle w:val="Bibliography"/>
      </w:pPr>
      <w:r>
        <w:t xml:space="preserve">Larsen, Jacob, and Ahmed El-Geneidy. 2011.</w:t>
      </w:r>
      <w:r>
        <w:t xml:space="preserve"> </w:t>
      </w:r>
      <w:r>
        <w:t xml:space="preserve">“A Travel Behavior Analysis of Urban Cycling Facilities in Montr</w:t>
      </w:r>
      <w:r>
        <w:t xml:space="preserve">é</w:t>
      </w:r>
      <w:r>
        <w:t xml:space="preserve">al, Canada.”</w:t>
      </w:r>
      <w:r>
        <w:t xml:space="preserve"> </w:t>
      </w:r>
      <w:r>
        <w:rPr>
          <w:iCs/>
          <w:i/>
        </w:rPr>
        <w:t xml:space="preserve">Transportation Research Part D: Transport and Environment</w:t>
      </w:r>
      <w:r>
        <w:t xml:space="preserve"> </w:t>
      </w:r>
      <w:r>
        <w:t xml:space="preserve">16 (2): 172–77.</w:t>
      </w:r>
    </w:p>
    <w:bookmarkEnd w:id="135"/>
    <w:bookmarkStart w:id="136" w:name="ref-lavery2013driving"/>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136"/>
    <w:bookmarkStart w:id="137" w:name="ref-lee2010reexamining"/>
    <w:p>
      <w:pPr>
        <w:pStyle w:val="Bibliography"/>
      </w:pPr>
      <w:r>
        <w:t xml:space="preserve">Lee, Brian HY, Paul Waddell, Liming Wang, and Ram M Pendyala. 2010.</w:t>
      </w:r>
      <w:r>
        <w:t xml:space="preserve"> </w:t>
      </w:r>
      <w:r>
        <w:t xml:space="preserve">“Reexamining the Influence of Work and Nonwork Accessibility on Residential Location Choices with a Microanalytic Framework.”</w:t>
      </w:r>
      <w:r>
        <w:t xml:space="preserve"> </w:t>
      </w:r>
      <w:r>
        <w:rPr>
          <w:iCs/>
          <w:i/>
        </w:rPr>
        <w:t xml:space="preserve">Environment and Planning A</w:t>
      </w:r>
      <w:r>
        <w:t xml:space="preserve"> </w:t>
      </w:r>
      <w:r>
        <w:t xml:space="preserve">42 (4): 913–30.</w:t>
      </w:r>
    </w:p>
    <w:bookmarkEnd w:id="137"/>
    <w:bookmarkStart w:id="138" w:name="ref-lee1998application"/>
    <w:p>
      <w:pPr>
        <w:pStyle w:val="Bibliography"/>
      </w:pPr>
      <w:r>
        <w:t xml:space="preserve">Lee, Ming S, and Michael G McNally. 1998.</w:t>
      </w:r>
      <w:r>
        <w:t xml:space="preserve"> </w:t>
      </w:r>
      <w:r>
        <w:t xml:space="preserve">“Application of Space-Time Prisms for the Measurement of Accessibility.”</w:t>
      </w:r>
    </w:p>
    <w:bookmarkEnd w:id="138"/>
    <w:bookmarkStart w:id="139" w:name="ref-legrain2015and"/>
    <w:p>
      <w:pPr>
        <w:pStyle w:val="Bibliography"/>
      </w:pPr>
      <w:r>
        <w:t xml:space="preserve">Legrain, Alexander, Ron Buliung, and Ahmed M El-Geneidy. 2015.</w:t>
      </w:r>
      <w:r>
        <w:t xml:space="preserve"> </w:t>
      </w:r>
      <w:r>
        <w:t xml:space="preserve">“Who, What, When, and Where: Revisiting the Influences of Transit Mode Share.”</w:t>
      </w:r>
      <w:r>
        <w:t xml:space="preserve"> </w:t>
      </w:r>
      <w:r>
        <w:rPr>
          <w:iCs/>
          <w:i/>
        </w:rPr>
        <w:t xml:space="preserve">Transportation Research Record</w:t>
      </w:r>
      <w:r>
        <w:t xml:space="preserve"> </w:t>
      </w:r>
      <w:r>
        <w:t xml:space="preserve">2537 (1): 42–51.</w:t>
      </w:r>
    </w:p>
    <w:bookmarkEnd w:id="139"/>
    <w:bookmarkStart w:id="140" w:name="ref-legrain2016travelling"/>
    <w:p>
      <w:pPr>
        <w:pStyle w:val="Bibliography"/>
      </w:pPr>
      <w:r>
        <w:t xml:space="preserve">———. 2016.</w:t>
      </w:r>
      <w:r>
        <w:t xml:space="preserve"> </w:t>
      </w:r>
      <w:r>
        <w:t xml:space="preserve">“Travelling Fair: Targeting Equitable Transit by Understanding Job Location, Sectorial Concentration, and Transit Use Among Low-Wage Workers.”</w:t>
      </w:r>
      <w:r>
        <w:t xml:space="preserve"> </w:t>
      </w:r>
      <w:r>
        <w:rPr>
          <w:iCs/>
          <w:i/>
        </w:rPr>
        <w:t xml:space="preserve">Journal of Transport Geography</w:t>
      </w:r>
      <w:r>
        <w:t xml:space="preserve"> </w:t>
      </w:r>
      <w:r>
        <w:t xml:space="preserve">53: 1–11.</w:t>
      </w:r>
    </w:p>
    <w:bookmarkEnd w:id="140"/>
    <w:bookmarkStart w:id="141" w:name="ref-leslie2007walkability"/>
    <w:p>
      <w:pPr>
        <w:pStyle w:val="Bibliography"/>
      </w:pPr>
      <w:r>
        <w:t xml:space="preserve">Leslie, Eva, Neil Coffee, Lawrence Frank, Neville Owen, Adrian Bauman, and Graeme Hugo. 2007.</w:t>
      </w:r>
      <w:r>
        <w:t xml:space="preserve"> </w:t>
      </w:r>
      <w:r>
        <w:t xml:space="preserve">“Walkability of Local Communities: Using Geographic Information Systems to Objectively Assess Relevant Environmental Attributes.”</w:t>
      </w:r>
      <w:r>
        <w:t xml:space="preserve"> </w:t>
      </w:r>
      <w:r>
        <w:rPr>
          <w:iCs/>
          <w:i/>
        </w:rPr>
        <w:t xml:space="preserve">Health &amp; Place</w:t>
      </w:r>
      <w:r>
        <w:t xml:space="preserve"> </w:t>
      </w:r>
      <w:r>
        <w:t xml:space="preserve">13 (1): 111–22.</w:t>
      </w:r>
    </w:p>
    <w:bookmarkEnd w:id="141"/>
    <w:bookmarkStart w:id="142"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142"/>
    <w:bookmarkStart w:id="143" w:name="ref-levine2010zoned"/>
    <w:p>
      <w:pPr>
        <w:pStyle w:val="Bibliography"/>
      </w:pPr>
      <w:r>
        <w:t xml:space="preserve">Levine, Jonathan. 2010.</w:t>
      </w:r>
      <w:r>
        <w:t xml:space="preserve"> </w:t>
      </w:r>
      <w:r>
        <w:rPr>
          <w:iCs/>
          <w:i/>
        </w:rPr>
        <w:t xml:space="preserve">Zoned Out: Regulation, Markets, and Choices in Transportation and Metropolitan Land Use</w:t>
      </w:r>
      <w:r>
        <w:t xml:space="preserve">. RFF Press.</w:t>
      </w:r>
    </w:p>
    <w:bookmarkEnd w:id="143"/>
    <w:bookmarkStart w:id="144" w:name="ref-levinson2020towards"/>
    <w:p>
      <w:pPr>
        <w:pStyle w:val="Bibliography"/>
      </w:pPr>
      <w:r>
        <w:t xml:space="preserve">Levinson, David, and Hao Wu. 2020.</w:t>
      </w:r>
      <w:r>
        <w:t xml:space="preserve"> </w:t>
      </w:r>
      <w:r>
        <w:t xml:space="preserve">“Towards a General Theory of Access.”</w:t>
      </w:r>
      <w:r>
        <w:t xml:space="preserve"> </w:t>
      </w:r>
      <w:r>
        <w:rPr>
          <w:iCs/>
          <w:i/>
        </w:rPr>
        <w:t xml:space="preserve">Journal of Transport and Land Use</w:t>
      </w:r>
      <w:r>
        <w:t xml:space="preserve"> </w:t>
      </w:r>
      <w:r>
        <w:t xml:space="preserve">13 (1): 129–58.</w:t>
      </w:r>
    </w:p>
    <w:bookmarkEnd w:id="144"/>
    <w:bookmarkStart w:id="145"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145"/>
    <w:bookmarkStart w:id="146"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146"/>
    <w:bookmarkStart w:id="147" w:name="ref-lomet1990hb"/>
    <w:p>
      <w:pPr>
        <w:pStyle w:val="Bibliography"/>
      </w:pPr>
      <w:r>
        <w:t xml:space="preserve">Lomet, David B, and Betty Salzberg. 1990.</w:t>
      </w:r>
      <w:r>
        <w:t xml:space="preserve"> </w:t>
      </w:r>
      <w:r>
        <w:t xml:space="preserve">“The hB-Tree: A Multiattribute Indexing Method with Good Guaranteed Performance.”</w:t>
      </w:r>
      <w:r>
        <w:t xml:space="preserve"> </w:t>
      </w:r>
      <w:r>
        <w:rPr>
          <w:iCs/>
          <w:i/>
        </w:rPr>
        <w:t xml:space="preserve">ACM Transactions on Database Systems (TODS)</w:t>
      </w:r>
      <w:r>
        <w:t xml:space="preserve"> </w:t>
      </w:r>
      <w:r>
        <w:t xml:space="preserve">15 (4): 625–58.</w:t>
      </w:r>
    </w:p>
    <w:bookmarkEnd w:id="147"/>
    <w:bookmarkStart w:id="148" w:name="ref-lowry2012assessment"/>
    <w:p>
      <w:pPr>
        <w:pStyle w:val="Bibliography"/>
      </w:pPr>
      <w:r>
        <w:t xml:space="preserve">Lowry, Michael B, Daniel Callister, Maureen Gresham, and Brandon Moore. 2012.</w:t>
      </w:r>
      <w:r>
        <w:t xml:space="preserve"> </w:t>
      </w:r>
      <w:r>
        <w:t xml:space="preserve">“Assessment of Communitywide Bikeability with Bicycle Level of Service.”</w:t>
      </w:r>
      <w:r>
        <w:t xml:space="preserve"> </w:t>
      </w:r>
      <w:r>
        <w:rPr>
          <w:iCs/>
          <w:i/>
        </w:rPr>
        <w:t xml:space="preserve">Transportation Research Record</w:t>
      </w:r>
      <w:r>
        <w:t xml:space="preserve"> </w:t>
      </w:r>
      <w:r>
        <w:t xml:space="preserve">2314 (1): 41–48.</w:t>
      </w:r>
    </w:p>
    <w:bookmarkEnd w:id="148"/>
    <w:bookmarkStart w:id="149" w:name="ref-lucas2012transport"/>
    <w:p>
      <w:pPr>
        <w:pStyle w:val="Bibliography"/>
      </w:pPr>
      <w:r>
        <w:t xml:space="preserve">Lucas, Karen. 2012.</w:t>
      </w:r>
      <w:r>
        <w:t xml:space="preserve"> </w:t>
      </w:r>
      <w:r>
        <w:t xml:space="preserve">“Transport and Social Exclusion: Where Are We Now?”</w:t>
      </w:r>
      <w:r>
        <w:t xml:space="preserve"> </w:t>
      </w:r>
      <w:r>
        <w:rPr>
          <w:iCs/>
          <w:i/>
        </w:rPr>
        <w:t xml:space="preserve">Transport Policy</w:t>
      </w:r>
      <w:r>
        <w:t xml:space="preserve"> </w:t>
      </w:r>
      <w:r>
        <w:t xml:space="preserve">20: 105–13.</w:t>
      </w:r>
    </w:p>
    <w:bookmarkEnd w:id="149"/>
    <w:bookmarkStart w:id="150" w:name="ref-lucas2019new"/>
    <w:p>
      <w:pPr>
        <w:pStyle w:val="Bibliography"/>
      </w:pPr>
      <w:r>
        <w:t xml:space="preserve">———. 2019.</w:t>
      </w:r>
      <w:r>
        <w:t xml:space="preserve"> </w:t>
      </w:r>
      <w:r>
        <w:t xml:space="preserve">“A New Evolution for Transport-Related Social Exclusion Research?”</w:t>
      </w:r>
      <w:r>
        <w:t xml:space="preserve"> </w:t>
      </w:r>
      <w:r>
        <w:rPr>
          <w:iCs/>
          <w:i/>
        </w:rPr>
        <w:t xml:space="preserve">Journal of Transport Geography</w:t>
      </w:r>
      <w:r>
        <w:t xml:space="preserve"> </w:t>
      </w:r>
      <w:r>
        <w:t xml:space="preserve">81: 102529.</w:t>
      </w:r>
    </w:p>
    <w:bookmarkEnd w:id="150"/>
    <w:bookmarkStart w:id="151" w:name="ref-lundberg2012accessibility"/>
    <w:p>
      <w:pPr>
        <w:pStyle w:val="Bibliography"/>
      </w:pPr>
      <w:r>
        <w:t xml:space="preserve">Lundberg, Benjamin. 2012.</w:t>
      </w:r>
      <w:r>
        <w:t xml:space="preserve"> </w:t>
      </w:r>
      <w:r>
        <w:t xml:space="preserve">“Accessibility and University Populations: Local Effects on Non-Motorized Transportation in the Tuscaloosa-Northport Area.”</w:t>
      </w:r>
      <w:r>
        <w:t xml:space="preserve"> </w:t>
      </w:r>
      <w:r>
        <w:t xml:space="preserve">PhD thesis, University of Alabama Libraries.</w:t>
      </w:r>
    </w:p>
    <w:bookmarkEnd w:id="151"/>
    <w:bookmarkStart w:id="152" w:name="ref-madsen2014developing"/>
    <w:p>
      <w:pPr>
        <w:pStyle w:val="Bibliography"/>
      </w:pPr>
      <w:r>
        <w:t xml:space="preserve">Madsen, Thomas, Jasper Schipperijn, Lars Breum Christiansen, Thomas Sick Nielsen, and Jens Troelsen. 2014.</w:t>
      </w:r>
      <w:r>
        <w:t xml:space="preserve"> </w:t>
      </w:r>
      <w:r>
        <w:t xml:space="preserve">“Developing Suitable Buffers to Capture Transport Cycling Behavior.”</w:t>
      </w:r>
      <w:r>
        <w:t xml:space="preserve"> </w:t>
      </w:r>
      <w:r>
        <w:rPr>
          <w:iCs/>
          <w:i/>
        </w:rPr>
        <w:t xml:space="preserve">Frontiers in Public Health</w:t>
      </w:r>
      <w:r>
        <w:t xml:space="preserve"> </w:t>
      </w:r>
      <w:r>
        <w:t xml:space="preserve">2: 61.</w:t>
      </w:r>
    </w:p>
    <w:bookmarkEnd w:id="152"/>
    <w:bookmarkStart w:id="153"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153"/>
    <w:bookmarkStart w:id="154" w:name="ref-martens2012justice"/>
    <w:p>
      <w:pPr>
        <w:pStyle w:val="Bibliography"/>
      </w:pPr>
      <w:r>
        <w:t xml:space="preserve">Martens, Karel, Aaron Golub, and Glenn Robinson. 2012.</w:t>
      </w:r>
      <w:r>
        <w:t xml:space="preserve"> </w:t>
      </w:r>
      <w:r>
        <w:t xml:space="preserve">“A Justice-Theoretic Approach to the Distribution of Transportation Benefits: Implications for Transportation Planning Practice in the United States.”</w:t>
      </w:r>
      <w:r>
        <w:t xml:space="preserve"> </w:t>
      </w:r>
      <w:r>
        <w:rPr>
          <w:iCs/>
          <w:i/>
        </w:rPr>
        <w:t xml:space="preserve">Transportation Research Part A: Policy and Practice</w:t>
      </w:r>
      <w:r>
        <w:t xml:space="preserve"> </w:t>
      </w:r>
      <w:r>
        <w:t xml:space="preserve">46 (4): 684–95.</w:t>
      </w:r>
    </w:p>
    <w:bookmarkEnd w:id="154"/>
    <w:bookmarkStart w:id="155" w:name="ref-milakis2015people"/>
    <w:p>
      <w:pPr>
        <w:pStyle w:val="Bibliography"/>
      </w:pPr>
      <w:r>
        <w:t xml:space="preserve">Milakis, Dimitris, Robert Cervero, Bert Van Wee, and Kees Maat. 2015.</w:t>
      </w:r>
      <w:r>
        <w:t xml:space="preserve"> </w:t>
      </w:r>
      <w:r>
        <w:t xml:space="preserve">“Do People Consider an Acceptable Travel Time? Evidence from Berkeley, CA.”</w:t>
      </w:r>
      <w:r>
        <w:t xml:space="preserve"> </w:t>
      </w:r>
      <w:r>
        <w:rPr>
          <w:iCs/>
          <w:i/>
        </w:rPr>
        <w:t xml:space="preserve">Journal of Transport Geography</w:t>
      </w:r>
      <w:r>
        <w:t xml:space="preserve"> </w:t>
      </w:r>
      <w:r>
        <w:t xml:space="preserve">44: 76–86.</w:t>
      </w:r>
    </w:p>
    <w:bookmarkEnd w:id="155"/>
    <w:bookmarkStart w:id="156" w:name="ref-miller1991modelling"/>
    <w:p>
      <w:pPr>
        <w:pStyle w:val="Bibliography"/>
      </w:pPr>
      <w:r>
        <w:t xml:space="preserve">Miller, Harvey J. 1991.</w:t>
      </w:r>
      <w:r>
        <w:t xml:space="preserve"> </w:t>
      </w:r>
      <w:r>
        <w:t xml:space="preserve">“Modelling Accessibility Using Space-Time Prism Concepts Within Geographical Information Systems.”</w:t>
      </w:r>
      <w:r>
        <w:t xml:space="preserve"> </w:t>
      </w:r>
      <w:r>
        <w:rPr>
          <w:iCs/>
          <w:i/>
        </w:rPr>
        <w:t xml:space="preserve">International Journal of Geographical Information System</w:t>
      </w:r>
      <w:r>
        <w:t xml:space="preserve"> </w:t>
      </w:r>
      <w:r>
        <w:t xml:space="preserve">5 (3): 287–301.</w:t>
      </w:r>
    </w:p>
    <w:bookmarkEnd w:id="156"/>
    <w:bookmarkStart w:id="157" w:name="ref-miller2004tobler"/>
    <w:p>
      <w:pPr>
        <w:pStyle w:val="Bibliography"/>
      </w:pPr>
      <w:r>
        <w:t xml:space="preserve">———. 2004.</w:t>
      </w:r>
      <w:r>
        <w:t xml:space="preserve"> </w:t>
      </w:r>
      <w:r>
        <w:t xml:space="preserve">“Tobler’s First Law and Spatial Analysis.”</w:t>
      </w:r>
      <w:r>
        <w:t xml:space="preserve"> </w:t>
      </w:r>
      <w:r>
        <w:rPr>
          <w:iCs/>
          <w:i/>
        </w:rPr>
        <w:t xml:space="preserve">Annals of the Association of American Geographers</w:t>
      </w:r>
      <w:r>
        <w:t xml:space="preserve"> </w:t>
      </w:r>
      <w:r>
        <w:t xml:space="preserve">94 (2): 284–89.</w:t>
      </w:r>
    </w:p>
    <w:bookmarkEnd w:id="157"/>
    <w:bookmarkStart w:id="158" w:name="ref-miller2005place"/>
    <w:p>
      <w:pPr>
        <w:pStyle w:val="Bibliography"/>
      </w:pPr>
      <w:r>
        <w:t xml:space="preserve">———. 2005.</w:t>
      </w:r>
      <w:r>
        <w:t xml:space="preserve"> </w:t>
      </w:r>
      <w:r>
        <w:t xml:space="preserve">“Place-Based Versus People-Based Accessibility.”</w:t>
      </w:r>
      <w:r>
        <w:t xml:space="preserve"> </w:t>
      </w:r>
      <w:r>
        <w:t xml:space="preserve">In</w:t>
      </w:r>
      <w:r>
        <w:t xml:space="preserve"> </w:t>
      </w:r>
      <w:r>
        <w:rPr>
          <w:iCs/>
          <w:i/>
        </w:rPr>
        <w:t xml:space="preserve">Access to Destinations</w:t>
      </w:r>
      <w:r>
        <w:t xml:space="preserve">, 63–89. Emerald Group Publishing Limited.</w:t>
      </w:r>
    </w:p>
    <w:bookmarkEnd w:id="158"/>
    <w:bookmarkStart w:id="159" w:name="ref-miller2009field"/>
    <w:p>
      <w:pPr>
        <w:pStyle w:val="Bibliography"/>
      </w:pPr>
      <w:r>
        <w:t xml:space="preserve">Miller, Harvey J, and Scott A Bridwell. 2009.</w:t>
      </w:r>
      <w:r>
        <w:t xml:space="preserve"> </w:t>
      </w:r>
      <w:r>
        <w:t xml:space="preserve">“A Field-Based Theory for Time Geography.”</w:t>
      </w:r>
      <w:r>
        <w:t xml:space="preserve"> </w:t>
      </w:r>
      <w:r>
        <w:rPr>
          <w:iCs/>
          <w:i/>
        </w:rPr>
        <w:t xml:space="preserve">Annals of the Association of American Geographers</w:t>
      </w:r>
      <w:r>
        <w:t xml:space="preserve"> </w:t>
      </w:r>
      <w:r>
        <w:t xml:space="preserve">99 (1): 49–75.</w:t>
      </w:r>
    </w:p>
    <w:bookmarkEnd w:id="159"/>
    <w:bookmarkStart w:id="160"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160"/>
    <w:bookmarkStart w:id="161"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161"/>
    <w:bookmarkStart w:id="162" w:name="ref-milne2012public"/>
    <w:p>
      <w:pPr>
        <w:pStyle w:val="Bibliography"/>
      </w:pPr>
      <w:r>
        <w:t xml:space="preserve">Milne, Eugene MG. 2012.</w:t>
      </w:r>
      <w:r>
        <w:t xml:space="preserve"> </w:t>
      </w:r>
      <w:r>
        <w:t xml:space="preserve">“A Public Health Perspective on Transport Policy Priorities.”</w:t>
      </w:r>
      <w:r>
        <w:t xml:space="preserve"> </w:t>
      </w:r>
      <w:r>
        <w:rPr>
          <w:iCs/>
          <w:i/>
        </w:rPr>
        <w:t xml:space="preserve">Journal of Transport Geography</w:t>
      </w:r>
      <w:r>
        <w:t xml:space="preserve"> </w:t>
      </w:r>
      <w:r>
        <w:t xml:space="preserve">21: 62–69.</w:t>
      </w:r>
    </w:p>
    <w:bookmarkEnd w:id="162"/>
    <w:bookmarkStart w:id="163" w:name="ref-morris1979accessibility"/>
    <w:p>
      <w:pPr>
        <w:pStyle w:val="Bibliography"/>
      </w:pPr>
      <w:r>
        <w:t xml:space="preserve">Morris, Jennifer M, Peter L Dumble, and M Ramsay Wigan. 1979.</w:t>
      </w:r>
      <w:r>
        <w:t xml:space="preserve"> </w:t>
      </w:r>
      <w:r>
        <w:t xml:space="preserve">“Accessibility Indicators for Transport Planning.”</w:t>
      </w:r>
      <w:r>
        <w:t xml:space="preserve"> </w:t>
      </w:r>
      <w:r>
        <w:rPr>
          <w:iCs/>
          <w:i/>
        </w:rPr>
        <w:t xml:space="preserve">Transportation Research Part A: General</w:t>
      </w:r>
      <w:r>
        <w:t xml:space="preserve"> </w:t>
      </w:r>
      <w:r>
        <w:t xml:space="preserve">13 (2): 91–109.</w:t>
      </w:r>
    </w:p>
    <w:bookmarkEnd w:id="163"/>
    <w:bookmarkStart w:id="164" w:name="ref-mueller2015health"/>
    <w:p>
      <w:pPr>
        <w:pStyle w:val="Bibliography"/>
      </w:pPr>
      <w:r>
        <w:t xml:space="preserve">Mueller, Natalie, David Rojas-Rueda, Tom Cole-Hunter, Audrey De Nazelle, Evi Dons, Regine Gerike, Thomas Goetschi, Luc Int Panis, Sonja Kahlmeier, and Mark Nieuwenhuijsen. 2015.</w:t>
      </w:r>
      <w:r>
        <w:t xml:space="preserve"> </w:t>
      </w:r>
      <w:r>
        <w:t xml:space="preserve">“Health Impact Assessment of Active Transportation: A Systematic Review.”</w:t>
      </w:r>
      <w:r>
        <w:t xml:space="preserve"> </w:t>
      </w:r>
      <w:r>
        <w:rPr>
          <w:iCs/>
          <w:i/>
        </w:rPr>
        <w:t xml:space="preserve">Preventive Medicine</w:t>
      </w:r>
      <w:r>
        <w:t xml:space="preserve"> </w:t>
      </w:r>
      <w:r>
        <w:t xml:space="preserve">76: 103–14.</w:t>
      </w:r>
    </w:p>
    <w:bookmarkEnd w:id="164"/>
    <w:bookmarkStart w:id="165" w:name="ref-murphy2019implementing"/>
    <w:p>
      <w:pPr>
        <w:pStyle w:val="Bibliography"/>
      </w:pPr>
      <w:r>
        <w:t xml:space="preserve">Murphy, Brendan, and Andrew Owen. 2019.</w:t>
      </w:r>
      <w:r>
        <w:t xml:space="preserve"> </w:t>
      </w:r>
      <w:r>
        <w:t xml:space="preserve">“Implementing Low-Stress Bicycle Routing in National Accessibility Evaluation.”</w:t>
      </w:r>
      <w:r>
        <w:t xml:space="preserve"> </w:t>
      </w:r>
      <w:r>
        <w:rPr>
          <w:iCs/>
          <w:i/>
        </w:rPr>
        <w:t xml:space="preserve">Transportation Research Record</w:t>
      </w:r>
      <w:r>
        <w:t xml:space="preserve"> </w:t>
      </w:r>
      <w:r>
        <w:t xml:space="preserve">2673 (5): 240–49.</w:t>
      </w:r>
    </w:p>
    <w:bookmarkEnd w:id="165"/>
    <w:bookmarkStart w:id="166" w:name="ref-neutens2015accessibility"/>
    <w:p>
      <w:pPr>
        <w:pStyle w:val="Bibliography"/>
      </w:pPr>
      <w:r>
        <w:t xml:space="preserve">Neutens, Tijs. 2015.</w:t>
      </w:r>
      <w:r>
        <w:t xml:space="preserve"> </w:t>
      </w:r>
      <w:r>
        <w:t xml:space="preserve">“Accessibility, Equity and Health Care: Review and Research Directions for Transport Geographers.”</w:t>
      </w:r>
      <w:r>
        <w:t xml:space="preserve"> </w:t>
      </w:r>
      <w:r>
        <w:rPr>
          <w:iCs/>
          <w:i/>
        </w:rPr>
        <w:t xml:space="preserve">Journal of Transport Geography</w:t>
      </w:r>
      <w:r>
        <w:t xml:space="preserve"> </w:t>
      </w:r>
      <w:r>
        <w:t xml:space="preserve">43: 14–27.</w:t>
      </w:r>
    </w:p>
    <w:bookmarkEnd w:id="166"/>
    <w:bookmarkStart w:id="167"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167"/>
    <w:bookmarkStart w:id="168" w:name="ref-nielsen2018bikeability"/>
    <w:p>
      <w:pPr>
        <w:pStyle w:val="Bibliography"/>
      </w:pPr>
      <w:r>
        <w:t xml:space="preserve">Nielsen, Thomas Alexander Sick, and Hans Skov-Petersen. 2018.</w:t>
      </w:r>
      <w:r>
        <w:t xml:space="preserve"> </w:t>
      </w:r>
      <w:r>
        <w:t xml:space="preserve">“Bikeability–Urban Structures Supporting Cycling. Effects of Local, Urban and Regional Scale Urban Form Factors on Cycling from Home and Workplace Locations in Denmark.”</w:t>
      </w:r>
      <w:r>
        <w:t xml:space="preserve"> </w:t>
      </w:r>
      <w:r>
        <w:rPr>
          <w:iCs/>
          <w:i/>
        </w:rPr>
        <w:t xml:space="preserve">Journal of Transport Geography</w:t>
      </w:r>
      <w:r>
        <w:t xml:space="preserve"> </w:t>
      </w:r>
      <w:r>
        <w:t xml:space="preserve">69: 36–44.</w:t>
      </w:r>
    </w:p>
    <w:bookmarkEnd w:id="168"/>
    <w:bookmarkStart w:id="169"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169"/>
    <w:bookmarkStart w:id="170"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170"/>
    <w:bookmarkStart w:id="171"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171"/>
    <w:bookmarkStart w:id="172" w:name="ref-paez2010accessibility"/>
    <w:p>
      <w:pPr>
        <w:pStyle w:val="Bibliography"/>
      </w:pPr>
      <w:r>
        <w:t xml:space="preserve">Paez, Antonio, Ruben G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 (1): 1–15.</w:t>
      </w:r>
    </w:p>
    <w:bookmarkEnd w:id="172"/>
    <w:bookmarkStart w:id="173"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173"/>
    <w:bookmarkStart w:id="174"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174"/>
    <w:bookmarkStart w:id="175" w:name="ref-papa2018measuring"/>
    <w:p>
      <w:pPr>
        <w:pStyle w:val="Bibliography"/>
      </w:pPr>
      <w:r>
        <w:t xml:space="preserve">Papa, Enrica, Gerardo Carpentieri, and Carmen Guida. 2018.</w:t>
      </w:r>
      <w:r>
        <w:t xml:space="preserve"> </w:t>
      </w:r>
      <w:r>
        <w:t xml:space="preserve">“Measuring Walking Accessibility to Public Transport for the Elderly: The Case of Naples.”</w:t>
      </w:r>
      <w:r>
        <w:t xml:space="preserve"> </w:t>
      </w:r>
      <w:r>
        <w:rPr>
          <w:iCs/>
          <w:i/>
        </w:rPr>
        <w:t xml:space="preserve">TeMA-Journal of Land Use, Mobility and Environment</w:t>
      </w:r>
      <w:r>
        <w:t xml:space="preserve">, 105–16.</w:t>
      </w:r>
    </w:p>
    <w:bookmarkEnd w:id="175"/>
    <w:bookmarkStart w:id="176" w:name="ref-parkin2010design"/>
    <w:p>
      <w:pPr>
        <w:pStyle w:val="Bibliography"/>
      </w:pPr>
      <w:r>
        <w:t xml:space="preserve">Parkin, John, and Jonathon Rotheram. 2010.</w:t>
      </w:r>
      <w:r>
        <w:t xml:space="preserve"> </w:t>
      </w:r>
      <w:r>
        <w:t xml:space="preserve">“Design Speeds and Acceleration Characteristics of Bicycle Traffic for Use in Planning, Design and Appraisal.”</w:t>
      </w:r>
      <w:r>
        <w:t xml:space="preserve"> </w:t>
      </w:r>
      <w:r>
        <w:rPr>
          <w:iCs/>
          <w:i/>
        </w:rPr>
        <w:t xml:space="preserve">Transport Policy</w:t>
      </w:r>
      <w:r>
        <w:t xml:space="preserve"> </w:t>
      </w:r>
      <w:r>
        <w:t xml:space="preserve">17 (5): 335–41.</w:t>
      </w:r>
    </w:p>
    <w:bookmarkEnd w:id="176"/>
    <w:bookmarkStart w:id="177" w:name="ref-pearce2006neighbourhoods"/>
    <w:p>
      <w:pPr>
        <w:pStyle w:val="Bibliography"/>
      </w:pPr>
      <w:r>
        <w:t xml:space="preserve">Pearce, Jamie, Karen Witten, and Phil Bartie. 2006.</w:t>
      </w:r>
      <w:r>
        <w:t xml:space="preserve"> </w:t>
      </w:r>
      <w:r>
        <w:t xml:space="preserve">“Neighbourhoods and Health: A GIS Approach to Measuring Community Resource Accessibility.”</w:t>
      </w:r>
      <w:r>
        <w:t xml:space="preserve"> </w:t>
      </w:r>
      <w:r>
        <w:rPr>
          <w:iCs/>
          <w:i/>
        </w:rPr>
        <w:t xml:space="preserve">Journal of Epidemiology &amp; Community Health</w:t>
      </w:r>
      <w:r>
        <w:t xml:space="preserve"> </w:t>
      </w:r>
      <w:r>
        <w:t xml:space="preserve">60 (5): 389–95.</w:t>
      </w:r>
    </w:p>
    <w:bookmarkEnd w:id="177"/>
    <w:bookmarkStart w:id="178" w:name="ref-pereira2017distributive"/>
    <w:p>
      <w:pPr>
        <w:pStyle w:val="Bibliography"/>
      </w:pPr>
      <w:r>
        <w:t xml:space="preserve">Pereira, Rafael HM,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p>
    <w:bookmarkEnd w:id="178"/>
    <w:bookmarkStart w:id="179"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179"/>
    <w:bookmarkStart w:id="180" w:name="ref-pred1977choreography"/>
    <w:p>
      <w:pPr>
        <w:pStyle w:val="Bibliography"/>
      </w:pPr>
      <w:r>
        <w:t xml:space="preserve">Pred, Allan. 1977.</w:t>
      </w:r>
      <w:r>
        <w:t xml:space="preserve"> </w:t>
      </w:r>
      <w:r>
        <w:t xml:space="preserve">“The Choreography of Existence: Comments on h</w:t>
      </w:r>
      <w:r>
        <w:t xml:space="preserve">ä</w:t>
      </w:r>
      <w:r>
        <w:t xml:space="preserve">gerstrand’s Time-Geography and Its Usefulness.”</w:t>
      </w:r>
      <w:r>
        <w:t xml:space="preserve"> </w:t>
      </w:r>
      <w:r>
        <w:rPr>
          <w:iCs/>
          <w:i/>
        </w:rPr>
        <w:t xml:space="preserve">Economic Geography</w:t>
      </w:r>
      <w:r>
        <w:t xml:space="preserve"> </w:t>
      </w:r>
      <w:r>
        <w:t xml:space="preserve">53 (2): 207–21.</w:t>
      </w:r>
    </w:p>
    <w:bookmarkEnd w:id="180"/>
    <w:bookmarkStart w:id="181" w:name="ref-preston2007accessibility"/>
    <w:p>
      <w:pPr>
        <w:pStyle w:val="Bibliography"/>
      </w:pPr>
      <w:r>
        <w:t xml:space="preserve">Preston, John, and Fiona Rajé. 2007.</w:t>
      </w:r>
      <w:r>
        <w:t xml:space="preserve"> </w:t>
      </w:r>
      <w:r>
        <w:t xml:space="preserve">“Accessibility, Mobility and Transport-Related Social Exclusion.”</w:t>
      </w:r>
      <w:r>
        <w:t xml:space="preserve"> </w:t>
      </w:r>
      <w:r>
        <w:rPr>
          <w:iCs/>
          <w:i/>
        </w:rPr>
        <w:t xml:space="preserve">Journal of Transport Geography</w:t>
      </w:r>
      <w:r>
        <w:t xml:space="preserve"> </w:t>
      </w:r>
      <w:r>
        <w:t xml:space="preserve">15 (3): 151–60.</w:t>
      </w:r>
    </w:p>
    <w:bookmarkEnd w:id="181"/>
    <w:bookmarkStart w:id="182" w:name="ref-prins2014many"/>
    <w:p>
      <w:pPr>
        <w:pStyle w:val="Bibliography"/>
      </w:pPr>
      <w:r>
        <w:t xml:space="preserve">Prins, Richard G, Frank Pierik, Astrid Etman, Reiner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182"/>
    <w:bookmarkStart w:id="183"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183"/>
    <w:bookmarkStart w:id="184"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184"/>
    <w:bookmarkStart w:id="185" w:name="ref-pucher2010infrastructure"/>
    <w:p>
      <w:pPr>
        <w:pStyle w:val="Bibliography"/>
      </w:pPr>
      <w:r>
        <w:t xml:space="preserve">Pucher, John, Jennifer Dill, and Susan Handy. 2010.</w:t>
      </w:r>
      <w:r>
        <w:t xml:space="preserve"> </w:t>
      </w:r>
      <w:r>
        <w:t xml:space="preserve">“Infrastructure, Programs, and Policies to Increase Bicycling: An International Review.”</w:t>
      </w:r>
      <w:r>
        <w:t xml:space="preserve"> </w:t>
      </w:r>
      <w:r>
        <w:rPr>
          <w:iCs/>
          <w:i/>
        </w:rPr>
        <w:t xml:space="preserve">Preventive Medicine</w:t>
      </w:r>
      <w:r>
        <w:t xml:space="preserve"> </w:t>
      </w:r>
      <w:r>
        <w:t xml:space="preserve">50: S106–25.</w:t>
      </w:r>
    </w:p>
    <w:bookmarkEnd w:id="185"/>
    <w:bookmarkStart w:id="186" w:name="ref-reggiani2011accessibility"/>
    <w:p>
      <w:pPr>
        <w:pStyle w:val="Bibliography"/>
      </w:pPr>
      <w:r>
        <w:t xml:space="preserve">Reggiani, Aura, Pietro Bucci, and Giovanni Russo. 2011.</w:t>
      </w:r>
      <w:r>
        <w:t xml:space="preserve"> </w:t>
      </w:r>
      <w:r>
        <w:t xml:space="preserve">“Accessibility and Impedance Forms: Empirical Applications to the German Commuting Network.”</w:t>
      </w:r>
      <w:r>
        <w:t xml:space="preserve"> </w:t>
      </w:r>
      <w:r>
        <w:rPr>
          <w:iCs/>
          <w:i/>
        </w:rPr>
        <w:t xml:space="preserve">International Regional Science Review</w:t>
      </w:r>
      <w:r>
        <w:t xml:space="preserve"> </w:t>
      </w:r>
      <w:r>
        <w:t xml:space="preserve">34 (2): 230–52.</w:t>
      </w:r>
    </w:p>
    <w:bookmarkEnd w:id="186"/>
    <w:bookmarkStart w:id="187" w:name="ref-reyes2014walking"/>
    <w:p>
      <w:pPr>
        <w:pStyle w:val="Bibliography"/>
      </w:pPr>
      <w:r>
        <w:t xml:space="preserve">Reyes, Mario, Antonio Páez, and Catherine Morency. 2014.</w:t>
      </w:r>
      <w:r>
        <w:t xml:space="preserve"> </w:t>
      </w:r>
      <w:r>
        <w:t xml:space="preserve">“Walking Accessibility to Urban Parks by Children: A Case Study of Montreal.”</w:t>
      </w:r>
      <w:r>
        <w:t xml:space="preserve"> </w:t>
      </w:r>
      <w:r>
        <w:rPr>
          <w:iCs/>
          <w:i/>
        </w:rPr>
        <w:t xml:space="preserve">Landscape and Urban Planning</w:t>
      </w:r>
      <w:r>
        <w:t xml:space="preserve"> </w:t>
      </w:r>
      <w:r>
        <w:t xml:space="preserve">125: 38–47.</w:t>
      </w:r>
    </w:p>
    <w:bookmarkEnd w:id="187"/>
    <w:bookmarkStart w:id="188"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188"/>
    <w:bookmarkStart w:id="189"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189"/>
    <w:bookmarkStart w:id="190" w:name="ref-romero2010framework"/>
    <w:p>
      <w:pPr>
        <w:pStyle w:val="Bibliography"/>
      </w:pPr>
      <w:r>
        <w:t xml:space="preserve">Romero, Oscar, and Alberto Abelló. 2010.</w:t>
      </w:r>
      <w:r>
        <w:t xml:space="preserve"> </w:t>
      </w:r>
      <w:r>
        <w:t xml:space="preserve">“A Framework for Multidimensional Design of Data Warehouses from Ontologies.”</w:t>
      </w:r>
      <w:r>
        <w:t xml:space="preserve"> </w:t>
      </w:r>
      <w:r>
        <w:rPr>
          <w:iCs/>
          <w:i/>
        </w:rPr>
        <w:t xml:space="preserve">Data &amp; Knowledge Engineering</w:t>
      </w:r>
      <w:r>
        <w:t xml:space="preserve"> </w:t>
      </w:r>
      <w:r>
        <w:t xml:space="preserve">69 (11): 1138–57.</w:t>
      </w:r>
    </w:p>
    <w:bookmarkEnd w:id="190"/>
    <w:bookmarkStart w:id="191"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191"/>
    <w:bookmarkStart w:id="192"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192"/>
    <w:bookmarkStart w:id="193" w:name="ref-rybarczyk2014measuring"/>
    <w:p>
      <w:pPr>
        <w:pStyle w:val="Bibliography"/>
      </w:pPr>
      <w:r>
        <w:t xml:space="preserve">Rybarczyk, Greg, and Laura Gallagher. 2014.</w:t>
      </w:r>
      <w:r>
        <w:t xml:space="preserve"> </w:t>
      </w:r>
      <w:r>
        <w:t xml:space="preserve">“Measuring the Potential for Bicycling and Walking at a Metropolitan Commuter University.”</w:t>
      </w:r>
      <w:r>
        <w:t xml:space="preserve"> </w:t>
      </w:r>
      <w:r>
        <w:rPr>
          <w:iCs/>
          <w:i/>
        </w:rPr>
        <w:t xml:space="preserve">Journal of Transport Geography</w:t>
      </w:r>
      <w:r>
        <w:t xml:space="preserve"> </w:t>
      </w:r>
      <w:r>
        <w:t xml:space="preserve">39: 1–10.</w:t>
      </w:r>
    </w:p>
    <w:bookmarkEnd w:id="193"/>
    <w:bookmarkStart w:id="194" w:name="ref-rybarczyk2010bicycle"/>
    <w:p>
      <w:pPr>
        <w:pStyle w:val="Bibliography"/>
      </w:pPr>
      <w:r>
        <w:t xml:space="preserve">Rybarczyk, Greg, and Changshan Wu. 2010.</w:t>
      </w:r>
      <w:r>
        <w:t xml:space="preserve"> </w:t>
      </w:r>
      <w:r>
        <w:t xml:space="preserve">“Bicycle Facility Planning Using GIS and Multi-Criteria Decision Analysis.”</w:t>
      </w:r>
      <w:r>
        <w:t xml:space="preserve"> </w:t>
      </w:r>
      <w:r>
        <w:rPr>
          <w:iCs/>
          <w:i/>
        </w:rPr>
        <w:t xml:space="preserve">Applied Geography</w:t>
      </w:r>
      <w:r>
        <w:t xml:space="preserve"> </w:t>
      </w:r>
      <w:r>
        <w:t xml:space="preserve">30 (2): 282–93.</w:t>
      </w:r>
    </w:p>
    <w:bookmarkEnd w:id="194"/>
    <w:bookmarkStart w:id="195" w:name="ref-sadler2011application"/>
    <w:p>
      <w:pPr>
        <w:pStyle w:val="Bibliography"/>
      </w:pPr>
      <w:r>
        <w:t xml:space="preserve">Sadler, Richard C, Jason A Gilliland, and Godwin Arku. 2011.</w:t>
      </w:r>
      <w:r>
        <w:t xml:space="preserve"> </w:t>
      </w:r>
      <w:r>
        <w:t xml:space="preserve">“An Application of the Edge Effect in Measuring Accessibility to Multiple Food Retailer Types in Southwestern Ontario, Canada.”</w:t>
      </w:r>
      <w:r>
        <w:t xml:space="preserve"> </w:t>
      </w:r>
      <w:r>
        <w:rPr>
          <w:iCs/>
          <w:i/>
        </w:rPr>
        <w:t xml:space="preserve">International Journal of Health Geographics</w:t>
      </w:r>
      <w:r>
        <w:t xml:space="preserve"> </w:t>
      </w:r>
      <w:r>
        <w:t xml:space="preserve">10 (1): 1–15.</w:t>
      </w:r>
    </w:p>
    <w:bookmarkEnd w:id="195"/>
    <w:bookmarkStart w:id="196" w:name="ref-saelens2008built"/>
    <w:p>
      <w:pPr>
        <w:pStyle w:val="Bibliography"/>
      </w:pPr>
      <w:r>
        <w:t xml:space="preserve">Saelens, Brian E, and Susan L Handy. 2008.</w:t>
      </w:r>
      <w:r>
        <w:t xml:space="preserve"> </w:t>
      </w:r>
      <w:r>
        <w:t xml:space="preserve">“Built Environment Correlates of Walking: A Review.”</w:t>
      </w:r>
      <w:r>
        <w:t xml:space="preserve"> </w:t>
      </w:r>
      <w:r>
        <w:rPr>
          <w:iCs/>
          <w:i/>
        </w:rPr>
        <w:t xml:space="preserve">Medicine and Science in Sports and Exercise</w:t>
      </w:r>
      <w:r>
        <w:t xml:space="preserve"> </w:t>
      </w:r>
      <w:r>
        <w:t xml:space="preserve">40 (7 Suppl): S550.</w:t>
      </w:r>
    </w:p>
    <w:bookmarkEnd w:id="196"/>
    <w:bookmarkStart w:id="197" w:name="ref-saghapour2017measuring"/>
    <w:p>
      <w:pPr>
        <w:pStyle w:val="Bibliography"/>
      </w:pPr>
      <w:r>
        <w:t xml:space="preserve">Saghapour, Tayebeh, Sara Moridpour, and Russell G Thompson. 2017.</w:t>
      </w:r>
      <w:r>
        <w:t xml:space="preserve"> </w:t>
      </w:r>
      <w:r>
        <w:t xml:space="preserve">“Measuring Cycling Accessibility in Metropolitan Areas.”</w:t>
      </w:r>
      <w:r>
        <w:t xml:space="preserve"> </w:t>
      </w:r>
      <w:r>
        <w:rPr>
          <w:iCs/>
          <w:i/>
        </w:rPr>
        <w:t xml:space="preserve">International Journal of Sustainable Transportation</w:t>
      </w:r>
      <w:r>
        <w:t xml:space="preserve"> </w:t>
      </w:r>
      <w:r>
        <w:t xml:space="preserve">11 (5): 381–94.</w:t>
      </w:r>
    </w:p>
    <w:bookmarkEnd w:id="197"/>
    <w:bookmarkStart w:id="198"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198"/>
    <w:bookmarkStart w:id="199" w:name="ref-sisson2006suitability"/>
    <w:p>
      <w:pPr>
        <w:pStyle w:val="Bibliography"/>
      </w:pPr>
      <w:r>
        <w:t xml:space="preserve">Sisson, Susan B, Sarah M Lee, Elizabeth K Burns, and Catrine Tudor-Locke. 2006.</w:t>
      </w:r>
      <w:r>
        <w:t xml:space="preserve"> </w:t>
      </w:r>
      <w:r>
        <w:t xml:space="preserve">“Suitability of Commuting by Bicycle to Arizona Elementary Schools.”</w:t>
      </w:r>
      <w:r>
        <w:t xml:space="preserve"> </w:t>
      </w:r>
      <w:r>
        <w:rPr>
          <w:iCs/>
          <w:i/>
        </w:rPr>
        <w:t xml:space="preserve">American Journal of Health Promotion</w:t>
      </w:r>
      <w:r>
        <w:t xml:space="preserve"> </w:t>
      </w:r>
      <w:r>
        <w:t xml:space="preserve">20 (3): 210–13.</w:t>
      </w:r>
    </w:p>
    <w:bookmarkEnd w:id="199"/>
    <w:bookmarkStart w:id="200"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200"/>
    <w:bookmarkStart w:id="201"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201"/>
    <w:bookmarkStart w:id="202"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202"/>
    <w:bookmarkStart w:id="203"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203"/>
    <w:bookmarkStart w:id="204" w:name="ref-tilahun2007trails"/>
    <w:p>
      <w:pPr>
        <w:pStyle w:val="Bibliography"/>
      </w:pPr>
      <w:r>
        <w:t xml:space="preserve">Tilahun, Nebiyou Y, David M Levinson, and Kevin J Krizek. 2007.</w:t>
      </w:r>
      <w:r>
        <w:t xml:space="preserve"> </w:t>
      </w:r>
      <w:r>
        <w:t xml:space="preserve">“Trails, Lanes, or Traffic: Valuing Bicycle Facilities with an Adaptive Stated Preference Survey.”</w:t>
      </w:r>
      <w:r>
        <w:t xml:space="preserve"> </w:t>
      </w:r>
      <w:r>
        <w:rPr>
          <w:iCs/>
          <w:i/>
        </w:rPr>
        <w:t xml:space="preserve">Transportation Research Part A: Policy and Practice</w:t>
      </w:r>
      <w:r>
        <w:t xml:space="preserve"> </w:t>
      </w:r>
      <w:r>
        <w:t xml:space="preserve">41 (4): 287–301.</w:t>
      </w:r>
    </w:p>
    <w:bookmarkEnd w:id="204"/>
    <w:bookmarkStart w:id="205"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205"/>
    <w:bookmarkStart w:id="206" w:name="ref-tobler1993three"/>
    <w:p>
      <w:pPr>
        <w:pStyle w:val="Bibliography"/>
      </w:pPr>
      <w:r>
        <w:t xml:space="preserve">Tobler, Waldo. 1993.</w:t>
      </w:r>
      <w:r>
        <w:t xml:space="preserve"> </w:t>
      </w:r>
      <w:r>
        <w:rPr>
          <w:iCs/>
          <w:i/>
        </w:rPr>
        <w:t xml:space="preserve">Three Presentations on Geographical Analysis and Modeling</w:t>
      </w:r>
      <w:r>
        <w:t xml:space="preserve">. Vol. 93. Citeseer.</w:t>
      </w:r>
    </w:p>
    <w:bookmarkEnd w:id="206"/>
    <w:bookmarkStart w:id="207"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Cs/>
          <w:i/>
        </w:rPr>
        <w:t xml:space="preserve">Transportation Research Part B: Methodological</w:t>
      </w:r>
      <w:r>
        <w:t xml:space="preserve"> </w:t>
      </w:r>
      <w:r>
        <w:t xml:space="preserve">81: 555–76.</w:t>
      </w:r>
    </w:p>
    <w:bookmarkEnd w:id="207"/>
    <w:bookmarkStart w:id="208" w:name="ref-train2009discrete"/>
    <w:p>
      <w:pPr>
        <w:pStyle w:val="Bibliography"/>
      </w:pPr>
      <w:r>
        <w:t xml:space="preserve">Train, Kenneth E. 2009.</w:t>
      </w:r>
      <w:r>
        <w:t xml:space="preserve"> </w:t>
      </w:r>
      <w:r>
        <w:rPr>
          <w:iCs/>
          <w:i/>
        </w:rPr>
        <w:t xml:space="preserve">Discrete Choice Methods with Simulation</w:t>
      </w:r>
      <w:r>
        <w:t xml:space="preserve">. Cambridge university press.</w:t>
      </w:r>
    </w:p>
    <w:bookmarkEnd w:id="208"/>
    <w:bookmarkStart w:id="209" w:name="ref-ulmer2003evaluating"/>
    <w:p>
      <w:pPr>
        <w:pStyle w:val="Bibliography"/>
      </w:pPr>
      <w:r>
        <w:t xml:space="preserve">Ulmer, Jared M, and Lester A Hoel. 2003.</w:t>
      </w:r>
      <w:r>
        <w:t xml:space="preserve"> </w:t>
      </w:r>
      <w:r>
        <w:t xml:space="preserve">“Evaluating the Accessibility of Residential Areas for Bicycling and Walking Using GIS.”</w:t>
      </w:r>
      <w:r>
        <w:t xml:space="preserve"> </w:t>
      </w:r>
      <w:r>
        <w:t xml:space="preserve">Citeseer.</w:t>
      </w:r>
    </w:p>
    <w:bookmarkEnd w:id="209"/>
    <w:bookmarkStart w:id="210"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210"/>
    <w:bookmarkStart w:id="211" w:name="ref-vale2009sustainable"/>
    <w:p>
      <w:pPr>
        <w:pStyle w:val="Bibliography"/>
      </w:pPr>
      <w:r>
        <w:t xml:space="preserve">Vale, David de Sousa. 2009.</w:t>
      </w:r>
      <w:r>
        <w:t xml:space="preserve"> </w:t>
      </w:r>
      <w:r>
        <w:t xml:space="preserve">“Sustainable Urban Form, Accessibility and Travel: The Relationship Between Polycentric Urban Development and Commuting in Lisbon.”</w:t>
      </w:r>
      <w:r>
        <w:t xml:space="preserve"> </w:t>
      </w:r>
      <w:r>
        <w:t xml:space="preserve">PhD thesis, Newcastle University.</w:t>
      </w:r>
    </w:p>
    <w:bookmarkEnd w:id="211"/>
    <w:bookmarkStart w:id="212"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212"/>
    <w:bookmarkStart w:id="213"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213"/>
    <w:bookmarkStart w:id="214" w:name="ref-vandenbulcke2009mapping"/>
    <w:p>
      <w:pPr>
        <w:pStyle w:val="Bibliography"/>
      </w:pPr>
      <w:r>
        <w:t xml:space="preserve">Vandenbulcke, Grégory, Thérèse Steenberghen, and Isabelle Thomas. 2009.</w:t>
      </w:r>
      <w:r>
        <w:t xml:space="preserve"> </w:t>
      </w:r>
      <w:r>
        <w:t xml:space="preserve">“Mapping Accessibility in Belgium: A Tool for Land-Use and Transport Planning?”</w:t>
      </w:r>
      <w:r>
        <w:t xml:space="preserve"> </w:t>
      </w:r>
      <w:r>
        <w:rPr>
          <w:iCs/>
          <w:i/>
        </w:rPr>
        <w:t xml:space="preserve">Journal of Transport Geography</w:t>
      </w:r>
      <w:r>
        <w:t xml:space="preserve"> </w:t>
      </w:r>
      <w:r>
        <w:t xml:space="preserve">17 (1): 39–53.</w:t>
      </w:r>
    </w:p>
    <w:bookmarkEnd w:id="214"/>
    <w:bookmarkStart w:id="215" w:name="ref-vasconcelos2012evaluation"/>
    <w:p>
      <w:pPr>
        <w:pStyle w:val="Bibliography"/>
      </w:pPr>
      <w:r>
        <w:t xml:space="preserve">Vasconcelos, Ana S, and Tiago L Farias. 2012.</w:t>
      </w:r>
      <w:r>
        <w:t xml:space="preserve"> </w:t>
      </w:r>
      <w:r>
        <w:t xml:space="preserve">“Evaluation of Urban Accessibility Indicators Based on Internal and External Environmental Costs.”</w:t>
      </w:r>
      <w:r>
        <w:t xml:space="preserve"> </w:t>
      </w:r>
      <w:r>
        <w:rPr>
          <w:iCs/>
          <w:i/>
        </w:rPr>
        <w:t xml:space="preserve">Transportation Research Part D: Transport and Environment</w:t>
      </w:r>
      <w:r>
        <w:t xml:space="preserve"> </w:t>
      </w:r>
      <w:r>
        <w:t xml:space="preserve">17 (6): 433–41.</w:t>
      </w:r>
    </w:p>
    <w:bookmarkEnd w:id="215"/>
    <w:bookmarkStart w:id="216" w:name="ref-wachs1973physical"/>
    <w:p>
      <w:pPr>
        <w:pStyle w:val="Bibliography"/>
      </w:pPr>
      <w:r>
        <w:t xml:space="preserve">Wachs, Martin, and T Gordon Kumagai. 1973.</w:t>
      </w:r>
      <w:r>
        <w:t xml:space="preserve"> </w:t>
      </w:r>
      <w:r>
        <w:t xml:space="preserve">“Physical Accessibility as a Social Indicator.”</w:t>
      </w:r>
      <w:r>
        <w:t xml:space="preserve"> </w:t>
      </w:r>
      <w:r>
        <w:rPr>
          <w:iCs/>
          <w:i/>
        </w:rPr>
        <w:t xml:space="preserve">Socio-Economic Planning Sciences</w:t>
      </w:r>
      <w:r>
        <w:t xml:space="preserve"> </w:t>
      </w:r>
      <w:r>
        <w:t xml:space="preserve">7 (5): 437–56.</w:t>
      </w:r>
    </w:p>
    <w:bookmarkEnd w:id="216"/>
    <w:bookmarkStart w:id="217" w:name="ref-wahlgren2012exploring"/>
    <w:p>
      <w:pPr>
        <w:pStyle w:val="Bibliography"/>
      </w:pPr>
      <w:r>
        <w:t xml:space="preserve">Wahlgren, Lina, and Peter Schantz. 2012.</w:t>
      </w:r>
      <w:r>
        <w:t xml:space="preserve"> </w:t>
      </w:r>
      <w:r>
        <w:t xml:space="preserve">“Exploring Bikeability in a Metropolitan Setting: Stimulating and Hindering Factors in Commuting Route Environments.”</w:t>
      </w:r>
      <w:r>
        <w:t xml:space="preserve"> </w:t>
      </w:r>
      <w:r>
        <w:rPr>
          <w:iCs/>
          <w:i/>
        </w:rPr>
        <w:t xml:space="preserve">BMC Public Health</w:t>
      </w:r>
      <w:r>
        <w:t xml:space="preserve"> </w:t>
      </w:r>
      <w:r>
        <w:t xml:space="preserve">12 (1): 1–16.</w:t>
      </w:r>
    </w:p>
    <w:bookmarkEnd w:id="217"/>
    <w:bookmarkStart w:id="218" w:name="ref-wang2015gis"/>
    <w:p>
      <w:pPr>
        <w:pStyle w:val="Bibliography"/>
      </w:pPr>
      <w:r>
        <w:t xml:space="preserve">Wang, Chih-Hao, and NA Chen. 2015.</w:t>
      </w:r>
      <w:r>
        <w:t xml:space="preserve"> </w:t>
      </w:r>
      <w:r>
        <w:t xml:space="preserve">“A GIS-Based Spatial Statistical Approach to Modeling Job Accessibility by Transportation Mode: Case Study of Columbus, Ohio.”</w:t>
      </w:r>
      <w:r>
        <w:t xml:space="preserve"> </w:t>
      </w:r>
      <w:r>
        <w:rPr>
          <w:iCs/>
          <w:i/>
        </w:rPr>
        <w:t xml:space="preserve">Journal of Transport Geography</w:t>
      </w:r>
      <w:r>
        <w:t xml:space="preserve"> </w:t>
      </w:r>
      <w:r>
        <w:t xml:space="preserve">45: 1–11.</w:t>
      </w:r>
    </w:p>
    <w:bookmarkEnd w:id="218"/>
    <w:bookmarkStart w:id="219" w:name="ref-weiss2010promoting"/>
    <w:p>
      <w:pPr>
        <w:pStyle w:val="Bibliography"/>
      </w:pPr>
      <w:r>
        <w:t xml:space="preserve">Weiss, Rachael L, Juliana A Maantay, and Marianne Fahs. 2010.</w:t>
      </w:r>
      <w:r>
        <w:t xml:space="preserve"> </w:t>
      </w:r>
      <w:r>
        <w:t xml:space="preserve">“Promoting Active Urban Aging: A Measurement Approach to Neighborhood Walkability for Older Adults.”</w:t>
      </w:r>
      <w:r>
        <w:t xml:space="preserve"> </w:t>
      </w:r>
      <w:r>
        <w:rPr>
          <w:iCs/>
          <w:i/>
        </w:rPr>
        <w:t xml:space="preserve">Cities and the Environment</w:t>
      </w:r>
      <w:r>
        <w:t xml:space="preserve"> </w:t>
      </w:r>
      <w:r>
        <w:t xml:space="preserve">3 (1): 12.</w:t>
      </w:r>
    </w:p>
    <w:bookmarkEnd w:id="219"/>
    <w:bookmarkStart w:id="220"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220"/>
    <w:bookmarkStart w:id="221"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221"/>
    <w:bookmarkStart w:id="222" w:name="ref-winters2013mapping"/>
    <w:p>
      <w:pPr>
        <w:pStyle w:val="Bibliography"/>
      </w:pPr>
      <w:r>
        <w:t xml:space="preserve">Winters, Meghan, Michael Brauer, Eleanor M Setton, and Kay Teschke. 2013.</w:t>
      </w:r>
      <w:r>
        <w:t xml:space="preserve"> </w:t>
      </w:r>
      <w:r>
        <w:t xml:space="preserve">“Mapping Bikeability: A Spatial Tool to Support Sustainable Travel.”</w:t>
      </w:r>
      <w:r>
        <w:t xml:space="preserve"> </w:t>
      </w:r>
      <w:r>
        <w:rPr>
          <w:iCs/>
          <w:i/>
        </w:rPr>
        <w:t xml:space="preserve">Environment and Planning B: Planning and Design</w:t>
      </w:r>
      <w:r>
        <w:t xml:space="preserve"> </w:t>
      </w:r>
      <w:r>
        <w:t xml:space="preserve">40 (5): 865–83.</w:t>
      </w:r>
    </w:p>
    <w:bookmarkEnd w:id="222"/>
    <w:bookmarkStart w:id="223" w:name="ref-wood2018pedestrian"/>
    <w:p>
      <w:pPr>
        <w:pStyle w:val="Bibliography"/>
      </w:pPr>
      <w:r>
        <w:t xml:space="preserve">Wood, Nathan, Jamie Jones, Jeff Peters, and Kevin Richards. 2018.</w:t>
      </w:r>
      <w:r>
        <w:t xml:space="preserve"> </w:t>
      </w:r>
      <w:r>
        <w:t xml:space="preserve">“Pedestrian Evacuation Modeling to Reduce Vehicle Use for Distant Tsunami Evacuations in Hawaiʻi.”</w:t>
      </w:r>
      <w:r>
        <w:t xml:space="preserve"> </w:t>
      </w:r>
      <w:r>
        <w:rPr>
          <w:iCs/>
          <w:i/>
        </w:rPr>
        <w:t xml:space="preserve">International Journal of Disaster Risk Reduction</w:t>
      </w:r>
      <w:r>
        <w:t xml:space="preserve"> </w:t>
      </w:r>
      <w:r>
        <w:t xml:space="preserve">28: 271–83.</w:t>
      </w:r>
    </w:p>
    <w:bookmarkEnd w:id="223"/>
    <w:bookmarkStart w:id="224" w:name="ref-wu2020unifying"/>
    <w:p>
      <w:pPr>
        <w:pStyle w:val="Bibliography"/>
      </w:pPr>
      <w:r>
        <w:t xml:space="preserve">Wu, Hao, and David Levinson. 2020.</w:t>
      </w:r>
      <w:r>
        <w:t xml:space="preserve"> </w:t>
      </w:r>
      <w:r>
        <w:t xml:space="preserve">“Unifying Access.”</w:t>
      </w:r>
      <w:r>
        <w:t xml:space="preserve"> </w:t>
      </w:r>
      <w:r>
        <w:rPr>
          <w:iCs/>
          <w:i/>
        </w:rPr>
        <w:t xml:space="preserve">Transportation Research Part D: Transport and Environment</w:t>
      </w:r>
      <w:r>
        <w:t xml:space="preserve"> </w:t>
      </w:r>
      <w:r>
        <w:t xml:space="preserve">83: 102355.</w:t>
      </w:r>
    </w:p>
    <w:bookmarkEnd w:id="224"/>
    <w:bookmarkStart w:id="225"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225"/>
    <w:bookmarkStart w:id="226" w:name="ref-wu2001computational"/>
    <w:p>
      <w:pPr>
        <w:pStyle w:val="Bibliography"/>
      </w:pPr>
      <w:r>
        <w:t xml:space="preserve">Wu, Yi-Hwa, and Harvey J Miller. 2001.</w:t>
      </w:r>
      <w:r>
        <w:t xml:space="preserve"> </w:t>
      </w:r>
      <w:r>
        <w:t xml:space="preserve">“Computational Tools for Measuring Space-Time Accessibility Within Dynamic Flow Transportation Networks.”</w:t>
      </w:r>
      <w:r>
        <w:t xml:space="preserve"> </w:t>
      </w:r>
      <w:r>
        <w:rPr>
          <w:iCs/>
          <w:i/>
        </w:rPr>
        <w:t xml:space="preserve">Journal of Transportation and Statistics</w:t>
      </w:r>
      <w:r>
        <w:t xml:space="preserve"> </w:t>
      </w:r>
      <w:r>
        <w:t xml:space="preserve">4 (2/3): 1–14.</w:t>
      </w:r>
    </w:p>
    <w:bookmarkEnd w:id="226"/>
    <w:bookmarkStart w:id="227"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227"/>
    <w:bookmarkStart w:id="228" w:name="ref-zacharias2001pedestrian"/>
    <w:p>
      <w:pPr>
        <w:pStyle w:val="Bibliography"/>
      </w:pPr>
      <w:r>
        <w:t xml:space="preserve">Zacharias, John. 2001.</w:t>
      </w:r>
      <w:r>
        <w:t xml:space="preserve"> </w:t>
      </w:r>
      <w:r>
        <w:t xml:space="preserve">“Pedestrian Behavior Pedestrian Behavior and Perception in Urban Walking Environments.”</w:t>
      </w:r>
      <w:r>
        <w:t xml:space="preserve"> </w:t>
      </w:r>
      <w:r>
        <w:rPr>
          <w:iCs/>
          <w:i/>
        </w:rPr>
        <w:t xml:space="preserve">Journal of Planning Literature</w:t>
      </w:r>
      <w:r>
        <w:t xml:space="preserve"> </w:t>
      </w:r>
      <w:r>
        <w:t xml:space="preserve">16 (1): 3–18.</w:t>
      </w:r>
    </w:p>
    <w:bookmarkEnd w:id="228"/>
    <w:bookmarkStart w:id="229" w:name="ref-zahran2008cycling"/>
    <w:p>
      <w:pPr>
        <w:pStyle w:val="Bibliography"/>
      </w:pPr>
      <w:r>
        <w:t xml:space="preserve">Zahran, Sammy, Samuel D Brody, Praveen Maghelal, Andrew Prelog, and Michael Lacy. 2008.</w:t>
      </w:r>
      <w:r>
        <w:t xml:space="preserve"> </w:t>
      </w:r>
      <w:r>
        <w:t xml:space="preserve">“Cycling and Walking: Explaining the Spatial Distribution of Healthy Modes of Transportation in the United States.”</w:t>
      </w:r>
      <w:r>
        <w:t xml:space="preserve"> </w:t>
      </w:r>
      <w:r>
        <w:rPr>
          <w:iCs/>
          <w:i/>
        </w:rPr>
        <w:t xml:space="preserve">Transportation Research Part D: Transport and Environment</w:t>
      </w:r>
      <w:r>
        <w:t xml:space="preserve"> </w:t>
      </w:r>
      <w:r>
        <w:t xml:space="preserve">13 (7): 462–70.</w:t>
      </w:r>
    </w:p>
    <w:bookmarkEnd w:id="229"/>
    <w:bookmarkStart w:id="230" w:name="ref-zhuge1996strobe"/>
    <w:p>
      <w:pPr>
        <w:pStyle w:val="Bibliography"/>
      </w:pPr>
      <w:r>
        <w:t xml:space="preserve">Zhuge, Yue, Hector Garcia-Molina, and Janet L Wiener. 1996.</w:t>
      </w:r>
      <w:r>
        <w:t xml:space="preserve"> </w:t>
      </w:r>
      <w:r>
        <w:t xml:space="preserve">“The Strobe Algorithms for Multi-Source Warehouse Consistency.”</w:t>
      </w:r>
      <w:r>
        <w:t xml:space="preserve"> </w:t>
      </w:r>
      <w:r>
        <w:t xml:space="preserve">In</w:t>
      </w:r>
      <w:r>
        <w:t xml:space="preserve"> </w:t>
      </w:r>
      <w:r>
        <w:rPr>
          <w:iCs/>
          <w:i/>
        </w:rPr>
        <w:t xml:space="preserve">Fourth International Conference on Parallel and Distributed Information Systems</w:t>
      </w:r>
      <w:r>
        <w:t xml:space="preserve">, 146–57. IEEE.</w:t>
      </w:r>
    </w:p>
    <w:bookmarkEnd w:id="230"/>
    <w:bookmarkStart w:id="231" w:name="ref-zielstra2011comparative"/>
    <w:p>
      <w:pPr>
        <w:pStyle w:val="Bibliography"/>
      </w:pPr>
      <w:r>
        <w:t xml:space="preserve">Zielstra, Dennis, and Hartwig H Hochmair. 2011.</w:t>
      </w:r>
      <w:r>
        <w:t xml:space="preserve"> </w:t>
      </w:r>
      <w:r>
        <w:t xml:space="preserve">“Comparative Study of Pedestrian Accessibility to Transit Stations Using Free and Proprietary Network Data.”</w:t>
      </w:r>
      <w:r>
        <w:t xml:space="preserve"> </w:t>
      </w:r>
      <w:r>
        <w:rPr>
          <w:iCs/>
          <w:i/>
        </w:rPr>
        <w:t xml:space="preserve">Transportation Research Record</w:t>
      </w:r>
      <w:r>
        <w:t xml:space="preserve"> </w:t>
      </w:r>
      <w:r>
        <w:t xml:space="preserve">2217 (1): 145–52.</w:t>
      </w:r>
    </w:p>
    <w:bookmarkEnd w:id="231"/>
    <w:bookmarkEnd w:id="232"/>
    <w:bookmarkEnd w:id="233"/>
    <w:sectPr w:rsidR="00955124">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24B9" w14:textId="77777777" w:rsidR="00867D32" w:rsidRDefault="00867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933786"/>
      <w:docPartObj>
        <w:docPartGallery w:val="Page Numbers (Bottom of Page)"/>
        <w:docPartUnique/>
      </w:docPartObj>
    </w:sdtPr>
    <w:sdtEndPr>
      <w:rPr>
        <w:noProof/>
      </w:rPr>
    </w:sdtEndPr>
    <w:sdtContent>
      <w:p w14:paraId="04AFF625" w14:textId="32885963" w:rsidR="00867D32" w:rsidRDefault="00867D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FCF60E" w14:textId="77777777" w:rsidR="00867D32" w:rsidRDefault="00867D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5FE6" w14:textId="77777777" w:rsidR="00867D32" w:rsidRDefault="00867D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3BE6" w14:textId="77777777" w:rsidR="00867D32" w:rsidRDefault="00867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0951" w14:textId="77777777" w:rsidR="00867D32" w:rsidRDefault="00867D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01E27" w14:textId="77777777" w:rsidR="00867D32" w:rsidRDefault="00867D3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46488514"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Header" w:type="paragraph">
    <w:name w:val="header"/>
    <w:basedOn w:val="Normal"/>
    <w:link w:val="HeaderChar"/>
    <w:unhideWhenUsed/>
    <w:rsid w:val="00867D32"/>
    <w:pPr>
      <w:tabs>
        <w:tab w:pos="4680" w:val="center"/>
        <w:tab w:pos="9360" w:val="right"/>
      </w:tabs>
      <w:spacing w:after="0"/>
    </w:pPr>
  </w:style>
  <w:style w:customStyle="1" w:styleId="HeaderChar" w:type="character">
    <w:name w:val="Header Char"/>
    <w:basedOn w:val="DefaultParagraphFont"/>
    <w:link w:val="Header"/>
    <w:rsid w:val="00867D32"/>
  </w:style>
  <w:style w:styleId="Footer" w:type="paragraph">
    <w:name w:val="footer"/>
    <w:basedOn w:val="Normal"/>
    <w:link w:val="FooterChar"/>
    <w:uiPriority w:val="99"/>
    <w:unhideWhenUsed/>
    <w:rsid w:val="00867D32"/>
    <w:pPr>
      <w:tabs>
        <w:tab w:pos="4680" w:val="center"/>
        <w:tab w:pos="9360" w:val="right"/>
      </w:tabs>
      <w:spacing w:after="0"/>
    </w:pPr>
  </w:style>
  <w:style w:customStyle="1" w:styleId="FooterChar" w:type="character">
    <w:name w:val="Footer Char"/>
    <w:basedOn w:val="DefaultParagraphFont"/>
    <w:link w:val="Footer"/>
    <w:uiPriority w:val="99"/>
    <w:rsid w:val="00867D32"/>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Words>
  <Characters>362</Characters>
  <Application>Microsoft Office Word</Application>
  <DocSecurity>0</DocSecurity>
  <Lines>3</Lines>
  <Paragraphs>1</Paragraphs>
  <ScaleCrop>false</ScaleCrop>
  <Company>McMaster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Sources and Needs for Active Travel-Based Accessibility Analysis: A Canadian Perspective</dc:title>
  <dc:creator>Mahdis Moghadasi, Jeneva Beairsto, Meghan Winters, Antonio Paez</dc:creator>
  <cp:keywords/>
  <dcterms:created xsi:type="dcterms:W3CDTF">2023-04-12T13:32:11Z</dcterms:created>
  <dcterms:modified xsi:type="dcterms:W3CDTF">2023-04-12T13:32:11Z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