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 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.In general, accessibility can be measured at the locational level (place-based) or the individual (person-based). Indeed, place-based metrics are concerned with the land use and transportation components, and focus on the physical separation of key locations, say an origin and potential destinations.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r>
            <m:t>A</m:t>
          </m:r>
          <m:r>
            <m:rPr>
              <m:sty m:val="p"/>
            </m:rPr>
            <m:t>=</m:t>
          </m:r>
          <m:r>
            <m:t>f</m:t>
          </m:r>
          <m:d>
            <m:dPr>
              <m:begChr m:val="("/>
              <m:endChr m:val=")"/>
              <m:sepChr m:val=""/>
              <m:grow/>
            </m:dPr>
            <m:e>
              <m:r>
                <m:t>D</m:t>
              </m:r>
              <m:r>
                <m:rPr>
                  <m:sty m:val="p"/>
                </m:rPr>
                <m:t>,</m:t>
              </m:r>
              <m:r>
                <m:t>T</m:t>
              </m:r>
              <m:r>
                <m:rPr>
                  <m:sty m:val="p"/>
                </m:rPr>
                <m:t>,</m:t>
              </m:r>
              <m:r>
                <m:t>E</m:t>
              </m:r>
              <m:r>
                <m:rPr>
                  <m:sty m:val="p"/>
                </m:rPr>
                <m:t>,</m:t>
              </m:r>
              <m:r>
                <m:t>S</m:t>
              </m:r>
            </m:e>
          </m:d>
          <m:r>
            <m:rPr>
              <m:sty m:val="p"/>
            </m:rPr>
            <m:t>=</m:t>
          </m:r>
          <m:d>
            <m:dPr>
              <m:begChr m:val="("/>
              <m:endChr m:val=")"/>
              <m:sepChr m:val=""/>
              <m:grow/>
            </m:dPr>
            <m:e>
              <m:r>
                <m:t>1</m:t>
              </m:r>
              <m:r>
                <m:rPr>
                  <m:sty m:val="p"/>
                </m:rPr>
                <m:t>−</m:t>
              </m:r>
              <m:sSub>
                <m:e>
                  <m:r>
                    <m:t>W</m:t>
                  </m:r>
                </m:e>
                <m:sub>
                  <m:r>
                    <m:t>D</m:t>
                  </m:r>
                </m:sub>
              </m:sSub>
            </m:e>
          </m:d>
          <m:r>
            <m:rPr>
              <m:sty m:val="p"/>
            </m:rPr>
            <m:t>*</m:t>
          </m:r>
          <m:d>
            <m:dPr>
              <m:begChr m:val="("/>
              <m:endChr m:val=")"/>
              <m:sepChr m:val=""/>
              <m:grow/>
            </m:dPr>
            <m:e>
              <m:r>
                <m:t>1</m:t>
              </m:r>
              <m:r>
                <m:rPr>
                  <m:sty m:val="p"/>
                </m:rPr>
                <m:t>−</m:t>
              </m:r>
              <m:sSub>
                <m:e>
                  <m:r>
                    <m:t>W</m:t>
                  </m:r>
                </m:e>
                <m:sub>
                  <m:r>
                    <m:t>T</m:t>
                  </m:r>
                </m:sub>
              </m:sSub>
            </m:e>
          </m:d>
          <m:r>
            <m:rPr>
              <m:sty m:val="p"/>
            </m:rPr>
            <m:t>*</m:t>
          </m:r>
          <m:sSub>
            <m:e>
              <m:r>
                <m:t>W</m:t>
              </m:r>
            </m:e>
            <m:sub>
              <m:r>
                <m:t>E</m:t>
              </m:r>
            </m:sub>
          </m:sSub>
          <m:r>
            <m:rPr>
              <m:sty m:val="p"/>
            </m:rPr>
            <m:t>*</m:t>
          </m:r>
          <m:sSub>
            <m:e>
              <m:r>
                <m:t>W</m:t>
              </m:r>
            </m:e>
            <m:sub>
              <m:r>
                <m:t>S</m:t>
              </m:r>
            </m:sub>
          </m:sSub>
        </m:oMath>
      </m:oMathPara>
    </w:p>
    <w:p>
      <w:pPr>
        <w:pStyle w:val="FirstParagraph"/>
      </w:pPr>
      <w:r>
        <w:t xml:space="preserve">D represents distance to the destinations that are of interest. W_D and W_T are weights that reflect the relative importance of each variable in determining accessibility.and T represents the travel time required to reach the destination(s) using active modes of transportation. (1 - w_D) and (1 - w_T) represent the proportion of destinations that can be reached from the origin location and the travel time required to reach them, respectively.E represents the energy expenditure associated with active transportation, which is a function of the distance traveled, the speed, and the incline of the terrain.w_E represents the potential energy expenditure associated with active transportation, with higher values indicating greater accessibility.S represents the safety of the walking or cycling environment, which can be influenced by factors such as traffic volume, speed limits, road design, and presence of pedestrian or bicycle infrastructure.w_S represents the perceived or actual safety of the walking or cycling environment, with higher values indicating greater accessibility.Other factors that may influence accessibility for active modes include the quality and attractiveness of the pedestrian or cycling infrastructure, the availability of amenities and services along the way, and the social and cultural factors that affect the willingness and ability of people to walk or cycle. These factors can be included in the formula as additional variables or weights, depending on the specific context and research question.</w:t>
      </w:r>
    </w:p>
    <w:p>
      <w:pPr>
        <w:pStyle w:val="BodyText"/>
      </w:pPr>
      <w:r>
        <w:t xml:space="preserve">Calculating place-based accessibility in active mode (e.g. walking, cycling) can be challenging due to a variety of factors. Some of the main restrictions for calculating place-based accessibility in active mode include:Physical barriers, such as hills, rivers, and other natural obstacles, can make it difficult for people to reach specific destinations. These impediments can lengthen and complicate a person’s journey, making it less accessible; Concerns about safety, people who walk or cycle are concerned about their safety, and certain areas may be deemed unsafe due to high traffic volumes, crime rates, or poor infrastructure. People’s willingness to travel to certain destinations may be limited by safety concerns, reducing accessibility; Weather conditions can also impact active mode accessibility. Extreme temperatures, precipitation, and other weather events can make walking or cycling difficult or dangerous, limiting accessibility; The availability and quality of infrastructure such as sidewalks, bike lanes, and pedestrian crossings can have a significant impact on active mode accessibility. People may be less likely to choose active modes of transportation in areas with poor infrastructure, reducing accessibility; Individual abilities and limitations, such as physical disabilities, can also have an impact on people’s ability to travel in active modes. People with disabilities may find it difficult to navigate the urban landscape due to a lack of accessibility in the built environment.</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r>
            <m:t>f</m:t>
          </m:r>
          <m:d>
            <m:dPr>
              <m:begChr m:val="("/>
              <m:endChr m:val=")"/>
              <m:sepChr m:val=""/>
              <m:grow/>
            </m:dPr>
            <m:e>
              <m:r>
                <m:t>D</m:t>
              </m:r>
              <m:r>
                <m:rPr>
                  <m:sty m:val="p"/>
                </m:rPr>
                <m:t>,</m:t>
              </m:r>
              <m:r>
                <m:t>T</m:t>
              </m:r>
              <m:r>
                <m:rPr>
                  <m:sty m:val="p"/>
                </m:rPr>
                <m:t>,</m:t>
              </m:r>
              <m:r>
                <m:t>E</m:t>
              </m:r>
              <m:r>
                <m:rPr>
                  <m:sty m:val="p"/>
                </m:rPr>
                <m:t>,</m:t>
              </m:r>
              <m:r>
                <m:t>S</m:t>
              </m:r>
              <m:r>
                <m:rPr>
                  <m:sty m:val="p"/>
                </m:rPr>
                <m:t>,</m:t>
              </m:r>
              <m:r>
                <m:t>P</m:t>
              </m:r>
            </m:e>
          </m:d>
          <m:r>
            <m:rPr>
              <m:sty m:val="p"/>
            </m:rPr>
            <m:t>=</m:t>
          </m:r>
          <m:d>
            <m:dPr>
              <m:begChr m:val="("/>
              <m:endChr m:val=")"/>
              <m:sepChr m:val=""/>
              <m:grow/>
            </m:dPr>
            <m:e>
              <m:r>
                <m:t>1</m:t>
              </m:r>
              <m:r>
                <m:rPr>
                  <m:sty m:val="p"/>
                </m:rPr>
                <m:t>−</m:t>
              </m:r>
              <m:sSub>
                <m:e>
                  <m:r>
                    <m:t>W</m:t>
                  </m:r>
                </m:e>
                <m:sub>
                  <m:r>
                    <m:t>D</m:t>
                  </m:r>
                </m:sub>
              </m:sSub>
            </m:e>
          </m:d>
          <m:r>
            <m:rPr>
              <m:sty m:val="p"/>
            </m:rPr>
            <m:t>*</m:t>
          </m:r>
          <m:d>
            <m:dPr>
              <m:begChr m:val="("/>
              <m:endChr m:val=")"/>
              <m:sepChr m:val=""/>
              <m:grow/>
            </m:dPr>
            <m:e>
              <m:r>
                <m:t>1</m:t>
              </m:r>
              <m:r>
                <m:rPr>
                  <m:sty m:val="p"/>
                </m:rPr>
                <m:t>−</m:t>
              </m:r>
              <m:sSub>
                <m:e>
                  <m:r>
                    <m:t>W</m:t>
                  </m:r>
                </m:e>
                <m:sub>
                  <m:r>
                    <m:t>T</m:t>
                  </m:r>
                </m:sub>
              </m:sSub>
            </m:e>
          </m:d>
          <m:r>
            <m:rPr>
              <m:sty m:val="p"/>
            </m:rPr>
            <m:t>*</m:t>
          </m:r>
          <m:sSub>
            <m:e>
              <m:r>
                <m:t>W</m:t>
              </m:r>
            </m:e>
            <m:sub>
              <m:r>
                <m:t>E</m:t>
              </m:r>
            </m:sub>
          </m:sSub>
          <m:r>
            <m:rPr>
              <m:sty m:val="p"/>
            </m:rPr>
            <m:t>*</m:t>
          </m:r>
          <m:sSub>
            <m:e>
              <m:r>
                <m:t>W</m:t>
              </m:r>
            </m:e>
            <m:sub>
              <m:r>
                <m:t>S</m:t>
              </m:r>
            </m:sub>
          </m:sSub>
          <m:r>
            <m:rPr>
              <m:sty m:val="p"/>
            </m:rPr>
            <m:t>*</m:t>
          </m:r>
          <m:sSub>
            <m:e>
              <m:r>
                <m:t>W</m:t>
              </m:r>
            </m:e>
            <m:sub>
              <m:r>
                <m:t>P</m:t>
              </m:r>
            </m:sub>
          </m:sSub>
        </m:oMath>
      </m:oMathPara>
    </w:p>
    <w:p>
      <w:pPr>
        <w:pStyle w:val="FirstParagraph"/>
      </w:pPr>
      <w:r>
        <w:t xml:space="preserve">The function f represents the relationship between these variables and can be represented mathematically in a variety of ways depending on the context and assumptions. D, T, E, and S are the same as in the previous placed-based accessibility formula.P represents the individual’s personal characteristics, such as age, gender, physical ability, and trip purpose.w_P represents the individual’s personal characteristics that influence their ability and willingness to walk or cycle, such as age, gender, physical ability, and trip purpose.Other factors that may influence individual-based accessibility for active modes include the individual’s preferences and attitudes towards active transportation, their social and cultural context, and the availability and quality of supportive policies and programs. These factors can be included in the formula as additional variables or weights, depending on the specific context and research question.</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Style w:val="Compact"/>
      </w:pPr>
      <w:r>
        <w:t xml:space="preserve">Weather conditions, like place-based accessibility, can have an impact on individual-based accessibility in active mode. In extreme weather, people may be less likely to walk or cycle, reducing accessibility.</w:t>
      </w:r>
    </w:p>
    <w:p>
      <w:pPr>
        <w:pStyle w:val="FirstParagraph"/>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232"/>
        <w:gridCol w:w="522"/>
        <w:gridCol w:w="3713"/>
        <w:gridCol w:w="493"/>
        <w:gridCol w:w="2001"/>
        <w:gridCol w:w="435"/>
        <w:gridCol w:w="522"/>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p>
      <w:pPr>
        <w:pStyle w:val="TableCaption"/>
      </w:pPr>
      <w:r>
        <w:rPr>
          <w:bCs/>
          <w:b/>
        </w:rPr>
        <w:t xml:space="preserve">Table 2.</w:t>
      </w:r>
      <w:r>
        <w:t xml:space="preserve"> </w:t>
      </w:r>
      <w:r>
        <w:t xml:space="preserve">Studies examining walking-specific accessibility</w:t>
      </w:r>
    </w:p>
    <w:tbl>
      <w:tblPr>
        <w:tblStyle w:val="Table"/>
        <w:tblW w:type="pct" w:w="4950"/>
        <w:tblLook w:firstRow="1" w:lastRow="0" w:firstColumn="0" w:lastColumn="0" w:noHBand="0" w:noVBand="0" w:val="0020"/>
        <w:tblCaption w:val="Table 2. Studies examining walking-specific accessibility"/>
      </w:tblPr>
      <w:tblGrid>
        <w:gridCol w:w="2613"/>
        <w:gridCol w:w="871"/>
        <w:gridCol w:w="871"/>
        <w:gridCol w:w="871"/>
        <w:gridCol w:w="871"/>
        <w:gridCol w:w="871"/>
        <w:gridCol w:w="871"/>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4950"/>
        <w:tblLook w:firstRow="0" w:lastRow="0" w:firstColumn="0" w:lastColumn="0" w:noHBand="0" w:noVBand="0" w:val="0000"/>
        <w:tblCaption w:val="Table 3. Studies examining walkability"/>
      </w:tblPr>
      <w:tblGrid>
        <w:gridCol w:w="3405"/>
        <w:gridCol w:w="1108"/>
        <w:gridCol w:w="1108"/>
        <w:gridCol w:w="1108"/>
        <w:gridCol w:w="1108"/>
      </w:tblGrid>
      <w:t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 Net residential/ Population density</w:t>
            </w:r>
          </w:p>
        </w:tc>
        <w:tc>
          <w:tcPr/>
          <w:p>
            <w:pPr>
              <w:pStyle w:val="Compact"/>
              <w:jc w:val="left"/>
            </w:pPr>
            <w:r>
              <w:t xml:space="preserve">· travel data from both Census Journey to Work for both regions</w:t>
            </w:r>
          </w:p>
        </w:tc>
        <w:tc>
          <w:tcPr/>
          <w:p>
            <w:pPr>
              <w:pStyle w:val="Compact"/>
            </w:pP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4950"/>
        <w:tblLook w:firstRow="1" w:lastRow="0" w:firstColumn="0" w:lastColumn="0" w:noHBand="0" w:noVBand="0" w:val="0020"/>
        <w:tblCaption w:val="Table 4. Studies examining bikeability"/>
      </w:tblPr>
      <w:tblGrid>
        <w:gridCol w:w="3405"/>
        <w:gridCol w:w="1108"/>
        <w:gridCol w:w="1108"/>
        <w:gridCol w:w="1108"/>
        <w:gridCol w:w="1108"/>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p>
      <w:pPr>
        <w:pStyle w:val="TableCaption"/>
      </w:pPr>
      <w:r>
        <w:rPr>
          <w:bCs/>
          <w:b/>
        </w:rPr>
        <w:t xml:space="preserve">Table 6.</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6.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p>
      <w:pPr>
        <w:pStyle w:val="TableCaption"/>
      </w:pPr>
      <w:r>
        <w:rPr>
          <w:bCs/>
          <w:b/>
        </w:rPr>
        <w:t xml:space="preserve">Table 7.</w:t>
      </w:r>
      <w:r>
        <w:t xml:space="preserve"> </w:t>
      </w:r>
      <w:r>
        <w:t xml:space="preserve">Bicycle travel speeds used in GIS modeling</w:t>
      </w:r>
    </w:p>
    <w:tbl>
      <w:tblPr>
        <w:tblStyle w:val="Table"/>
        <w:tblW w:type="pct" w:w="5000"/>
        <w:tblLook w:firstRow="1" w:lastRow="0" w:firstColumn="0" w:lastColumn="0" w:noHBand="0" w:noVBand="0" w:val="0020"/>
        <w:tblCaption w:val="Table 7.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p>
      <w:pPr>
        <w:pStyle w:val="TableCaption"/>
      </w:pPr>
      <w:r>
        <w:rPr>
          <w:bCs/>
          <w:b/>
        </w:rPr>
        <w:t xml:space="preserve">Table 8.</w:t>
      </w:r>
      <w:r>
        <w:t xml:space="preserve"> </w:t>
      </w:r>
      <w:r>
        <w:t xml:space="preserve">Pedestrian travel speeds used in GIS modeling</w:t>
      </w:r>
    </w:p>
    <w:tbl>
      <w:tblPr>
        <w:tblStyle w:val="Table"/>
        <w:tblW w:type="pct" w:w="5000"/>
        <w:tblLook w:firstRow="1" w:lastRow="0" w:firstColumn="0" w:lastColumn="0" w:noHBand="0" w:noVBand="0" w:val="0020"/>
        <w:tblCaption w:val="Table 8.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9.</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9.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214" w:name="references"/>
    <w:p>
      <w:pPr>
        <w:pStyle w:val="Heading2"/>
      </w:pPr>
      <w:r>
        <w:t xml:space="preserve">References</w:t>
      </w:r>
    </w:p>
    <w:bookmarkStart w:id="213"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2"/>
    <w:bookmarkStart w:id="4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3"/>
    <w:bookmarkStart w:id="4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4"/>
    <w:bookmarkStart w:id="4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5"/>
    <w:bookmarkStart w:id="46"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46"/>
    <w:bookmarkStart w:id="47"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47"/>
    <w:bookmarkStart w:id="48"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8"/>
    <w:bookmarkStart w:id="49"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9"/>
    <w:bookmarkStart w:id="50"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0"/>
    <w:bookmarkStart w:id="51"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1"/>
    <w:bookmarkStart w:id="52"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2"/>
    <w:bookmarkStart w:id="53"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3"/>
    <w:bookmarkStart w:id="54"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4"/>
    <w:bookmarkStart w:id="55"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5"/>
    <w:bookmarkStart w:id="56"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6"/>
    <w:bookmarkStart w:id="57"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7"/>
    <w:bookmarkStart w:id="58"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8"/>
    <w:bookmarkStart w:id="59"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59"/>
    <w:bookmarkStart w:id="60"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0"/>
    <w:bookmarkStart w:id="61"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1"/>
    <w:bookmarkStart w:id="62"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2"/>
    <w:bookmarkStart w:id="63"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3"/>
    <w:bookmarkStart w:id="64"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64"/>
    <w:bookmarkStart w:id="65"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5"/>
    <w:bookmarkStart w:id="66"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6"/>
    <w:bookmarkStart w:id="67"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67"/>
    <w:bookmarkStart w:id="68"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68"/>
    <w:bookmarkStart w:id="69"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69"/>
    <w:bookmarkStart w:id="70"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0"/>
    <w:bookmarkStart w:id="71"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1"/>
    <w:bookmarkStart w:id="72"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2"/>
    <w:bookmarkStart w:id="73"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73"/>
    <w:bookmarkStart w:id="74"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74"/>
    <w:bookmarkStart w:id="75"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5"/>
    <w:bookmarkStart w:id="76"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76"/>
    <w:bookmarkStart w:id="77"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77"/>
    <w:bookmarkStart w:id="78"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78"/>
    <w:bookmarkStart w:id="79"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79"/>
    <w:bookmarkStart w:id="80"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0"/>
    <w:bookmarkStart w:id="8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81"/>
    <w:bookmarkStart w:id="8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82"/>
    <w:bookmarkStart w:id="8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83"/>
    <w:bookmarkStart w:id="84"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84"/>
    <w:bookmarkStart w:id="85"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85"/>
    <w:bookmarkStart w:id="86"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86"/>
    <w:bookmarkStart w:id="87"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87"/>
    <w:bookmarkStart w:id="88"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88"/>
    <w:bookmarkStart w:id="89"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89"/>
    <w:bookmarkStart w:id="90"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90"/>
    <w:bookmarkStart w:id="91"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91"/>
    <w:bookmarkStart w:id="92"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92"/>
    <w:bookmarkStart w:id="93"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93"/>
    <w:bookmarkStart w:id="94"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94"/>
    <w:bookmarkStart w:id="95"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95"/>
    <w:bookmarkStart w:id="96"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96"/>
    <w:bookmarkStart w:id="97"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97"/>
    <w:bookmarkStart w:id="98"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98"/>
    <w:bookmarkStart w:id="99"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99"/>
    <w:bookmarkStart w:id="100"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00"/>
    <w:bookmarkStart w:id="101"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01"/>
    <w:bookmarkStart w:id="102"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02"/>
    <w:bookmarkStart w:id="103"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03"/>
    <w:bookmarkStart w:id="104"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04"/>
    <w:bookmarkStart w:id="105"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05"/>
    <w:bookmarkStart w:id="106"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06"/>
    <w:bookmarkStart w:id="107"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07"/>
    <w:bookmarkStart w:id="108"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08"/>
    <w:bookmarkStart w:id="109"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09"/>
    <w:bookmarkStart w:id="110"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10"/>
    <w:bookmarkStart w:id="111"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11"/>
    <w:bookmarkStart w:id="112"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12"/>
    <w:bookmarkStart w:id="113"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13"/>
    <w:bookmarkStart w:id="114"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14"/>
    <w:bookmarkStart w:id="115"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15"/>
    <w:bookmarkStart w:id="116"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16"/>
    <w:bookmarkStart w:id="117"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17"/>
    <w:bookmarkStart w:id="118"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18"/>
    <w:bookmarkStart w:id="119"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19"/>
    <w:bookmarkStart w:id="120"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20"/>
    <w:bookmarkStart w:id="121"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21"/>
    <w:bookmarkStart w:id="122"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22"/>
    <w:bookmarkStart w:id="123"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23"/>
    <w:bookmarkStart w:id="124"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24"/>
    <w:bookmarkStart w:id="125"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25"/>
    <w:bookmarkStart w:id="126"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26"/>
    <w:bookmarkStart w:id="127"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27"/>
    <w:bookmarkStart w:id="128"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28"/>
    <w:bookmarkStart w:id="129"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29"/>
    <w:bookmarkStart w:id="130"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30"/>
    <w:bookmarkStart w:id="131"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31"/>
    <w:bookmarkStart w:id="132"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32"/>
    <w:bookmarkStart w:id="133"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33"/>
    <w:bookmarkStart w:id="134"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34"/>
    <w:bookmarkStart w:id="135"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35"/>
    <w:bookmarkStart w:id="136"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36"/>
    <w:bookmarkStart w:id="137"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37"/>
    <w:bookmarkStart w:id="138"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38"/>
    <w:bookmarkStart w:id="139"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39"/>
    <w:bookmarkStart w:id="140"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40"/>
    <w:bookmarkStart w:id="141"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41"/>
    <w:bookmarkStart w:id="142"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42"/>
    <w:bookmarkStart w:id="143"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43"/>
    <w:bookmarkStart w:id="144"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44"/>
    <w:bookmarkStart w:id="145"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45"/>
    <w:bookmarkStart w:id="146"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46"/>
    <w:bookmarkStart w:id="147"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47"/>
    <w:bookmarkStart w:id="148"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48"/>
    <w:bookmarkStart w:id="149"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49"/>
    <w:bookmarkStart w:id="150"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50"/>
    <w:bookmarkStart w:id="151"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51"/>
    <w:bookmarkStart w:id="152"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52"/>
    <w:bookmarkStart w:id="153"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53"/>
    <w:bookmarkStart w:id="154"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54"/>
    <w:bookmarkStart w:id="155"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55"/>
    <w:bookmarkStart w:id="156"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56"/>
    <w:bookmarkStart w:id="157"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57"/>
    <w:bookmarkStart w:id="158"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58"/>
    <w:bookmarkStart w:id="159"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59"/>
    <w:bookmarkStart w:id="160"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60"/>
    <w:bookmarkStart w:id="161"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61"/>
    <w:bookmarkStart w:id="162"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62"/>
    <w:bookmarkStart w:id="163"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63"/>
    <w:bookmarkStart w:id="164"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64"/>
    <w:bookmarkStart w:id="165"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65"/>
    <w:bookmarkStart w:id="166"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66"/>
    <w:bookmarkStart w:id="167"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67"/>
    <w:bookmarkStart w:id="168"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68"/>
    <w:bookmarkStart w:id="169"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69"/>
    <w:bookmarkStart w:id="170"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70"/>
    <w:bookmarkStart w:id="171"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71"/>
    <w:bookmarkStart w:id="172"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72"/>
    <w:bookmarkStart w:id="173"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73"/>
    <w:bookmarkStart w:id="174"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74"/>
    <w:bookmarkStart w:id="175"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75"/>
    <w:bookmarkStart w:id="176"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76"/>
    <w:bookmarkStart w:id="177"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77"/>
    <w:bookmarkStart w:id="178"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78"/>
    <w:bookmarkStart w:id="179"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79"/>
    <w:bookmarkStart w:id="180"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80"/>
    <w:bookmarkStart w:id="181"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81"/>
    <w:bookmarkStart w:id="182"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82"/>
    <w:bookmarkStart w:id="183"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83"/>
    <w:bookmarkStart w:id="184"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84"/>
    <w:bookmarkStart w:id="185"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85"/>
    <w:bookmarkStart w:id="186"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86"/>
    <w:bookmarkStart w:id="187"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87"/>
    <w:bookmarkStart w:id="188"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188"/>
    <w:bookmarkStart w:id="189"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89"/>
    <w:bookmarkStart w:id="190"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90"/>
    <w:bookmarkStart w:id="191"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91"/>
    <w:bookmarkStart w:id="192"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92"/>
    <w:bookmarkStart w:id="193"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93"/>
    <w:bookmarkStart w:id="194"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94"/>
    <w:bookmarkStart w:id="195"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95"/>
    <w:bookmarkStart w:id="196"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96"/>
    <w:bookmarkStart w:id="197"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197"/>
    <w:bookmarkStart w:id="198"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98"/>
    <w:bookmarkStart w:id="199"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99"/>
    <w:bookmarkStart w:id="200"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00"/>
    <w:bookmarkStart w:id="201"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01"/>
    <w:bookmarkStart w:id="202"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02"/>
    <w:bookmarkStart w:id="203"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03"/>
    <w:bookmarkStart w:id="204"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04"/>
    <w:bookmarkStart w:id="205"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05"/>
    <w:bookmarkStart w:id="206"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06"/>
    <w:bookmarkStart w:id="207"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07"/>
    <w:bookmarkStart w:id="208"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08"/>
    <w:bookmarkStart w:id="209"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09"/>
    <w:bookmarkStart w:id="210"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10"/>
    <w:bookmarkStart w:id="211"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11"/>
    <w:bookmarkStart w:id="212"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12"/>
    <w:bookmarkEnd w:id="213"/>
    <w:bookmarkEnd w:id="214"/>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2023-03-01T12:39:18Z</dcterms:created>
  <dcterms:modified xsi:type="dcterms:W3CDTF">2023-03-01T12:39:18Z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