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3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t>f</m:t>
          </m:r>
          <m:d>
            <m:dPr>
              <m:begChr m:val="("/>
              <m:endChr m:val=")"/>
              <m:sepChr m:val=""/>
              <m:grow/>
            </m:dPr>
            <m:e>
              <m:sSub>
                <m:e>
                  <m:r>
                    <m:t>C</m:t>
                  </m:r>
                </m:e>
                <m:sub>
                  <m:r>
                    <m:t>i</m:t>
                  </m:r>
                  <m:r>
                    <m:t>j</m:t>
                  </m:r>
                </m:sub>
              </m:sSub>
            </m:e>
          </m:d>
        </m:oMath>
      </m:oMathPara>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r>
        <w:t xml:space="preserve">\begin{document} [ f(C_{ij} =</w:t>
      </w:r>
    </w:p>
    <w:p>
      <w:pPr>
        <w:pStyle w:val="BodyText"/>
      </w:pPr>
      <w:r>
        <w:t xml:space="preserve">]</w:t>
      </w:r>
    </w:p>
    <w:p>
      <w:pPr>
        <w:pStyle w:val="BodyText"/>
      </w:pPr>
      <w:r>
        <w:t xml:space="preserve">In addition, The widely used exponential decay formulation in gravity models is frequently given by:</w:t>
      </w:r>
    </w:p>
    <w:p>
      <w:pPr>
        <w:pStyle w:val="BodyText"/>
      </w:pPr>
      <m:oMathPara>
        <m:oMathParaPr>
          <m:jc m:val="center"/>
        </m:oMathParaPr>
        <m:oMath>
          <m:r>
            <m:t>f</m:t>
          </m:r>
          <m:d>
            <m:dPr>
              <m:begChr m:val="("/>
              <m:endChr m:val=")"/>
              <m:sepChr m:val=""/>
              <m:grow/>
            </m:dPr>
            <m:e>
              <m:sSub>
                <m:e>
                  <m:r>
                    <m:t>c</m:t>
                  </m:r>
                </m:e>
                <m:sub>
                  <m:r>
                    <m:t>i</m:t>
                  </m:r>
                  <m:r>
                    <m:t>j</m:t>
                  </m:r>
                </m:sub>
              </m:sSub>
            </m:e>
          </m:d>
          <m:r>
            <m:rPr>
              <m:sty m:val="p"/>
            </m:rPr>
            <m:t>=</m:t>
          </m:r>
          <m:r>
            <m:t>e</m:t>
          </m:r>
          <m:r>
            <m:t>x</m:t>
          </m:r>
          <m:r>
            <m:t>p</m:t>
          </m:r>
          <m:d>
            <m:dPr>
              <m:begChr m:val="("/>
              <m:endChr m:val=")"/>
              <m:sepChr m:val=""/>
              <m:grow/>
            </m:dPr>
            <m:e>
              <m:r>
                <m:t>θ</m:t>
              </m:r>
              <m:sSub>
                <m:e>
                  <m:r>
                    <m:t>C</m:t>
                  </m:r>
                </m:e>
                <m:sub>
                  <m:r>
                    <m:t>i</m:t>
                  </m:r>
                  <m:r>
                    <m:t>j</m:t>
                  </m:r>
                </m:sub>
              </m:sSub>
            </m:e>
          </m:d>
        </m:oMath>
      </m:oMathPara>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f>
            <m:fPr>
              <m:type m:val="bar"/>
            </m:fPr>
            <m:num>
              <m:nary>
                <m:naryPr>
                  <m:chr m:val="∑"/>
                  <m:limLoc m:val="undOvr"/>
                  <m:subHide m:val="0"/>
                  <m:supHide m:val="0"/>
                </m:naryPr>
                <m:sub>
                  <m:r>
                    <m:t>i</m:t>
                  </m:r>
                  <m:r>
                    <m:rPr>
                      <m:sty m:val="p"/>
                    </m:rPr>
                    <m:t>=</m:t>
                  </m:r>
                  <m:r>
                    <m:t>1</m:t>
                  </m:r>
                </m:sub>
                <m:sup>
                  <m:r>
                    <m:t>I</m:t>
                  </m:r>
                </m:sup>
                <m:e>
                  <m:sSub>
                    <m:e>
                      <m:r>
                        <m:t>A</m:t>
                      </m:r>
                    </m:e>
                    <m:sub>
                      <m:r>
                        <m:t>i</m:t>
                      </m:r>
                    </m:sub>
                  </m:sSub>
                </m:e>
              </m:nary>
              <m:sSub>
                <m:e>
                  <m:r>
                    <m:t>P</m:t>
                  </m:r>
                </m:e>
                <m:sub>
                  <m:r>
                    <m:t>i</m:t>
                  </m:r>
                </m:sub>
              </m:sSub>
            </m:num>
            <m:den>
              <m:nary>
                <m:naryPr>
                  <m:chr m:val="∑"/>
                  <m:limLoc m:val="undOvr"/>
                  <m:subHide m:val="0"/>
                  <m:supHide m:val="0"/>
                </m:naryPr>
                <m:sub>
                  <m:r>
                    <m:t>i</m:t>
                  </m:r>
                  <m:r>
                    <m:rPr>
                      <m:sty m:val="p"/>
                    </m:rPr>
                    <m:t>=</m:t>
                  </m:r>
                  <m:r>
                    <m:t>1</m:t>
                  </m:r>
                </m:sub>
                <m:sup>
                  <m:r>
                    <m:t>I</m:t>
                  </m:r>
                </m:sup>
                <m:e>
                  <m:sSub>
                    <m:e>
                      <m:r>
                        <m:t>P</m:t>
                      </m:r>
                    </m:e>
                    <m:sub>
                      <m:r>
                        <m:t>i</m:t>
                      </m:r>
                    </m:sub>
                  </m:sSub>
                </m:e>
              </m:nary>
            </m:den>
          </m:f>
        </m:oMath>
      </m:oMathPara>
    </w:p>
    <w:p>
      <w:pPr>
        <w:pStyle w:val="FirstParagraph"/>
      </w:pPr>
      <w:r>
        <w:t xml:space="preserve">where (P_i) is the number of people or visitors who use the relevant accessibility.</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pStyle w:val="BodyText"/>
      </w:pPr>
      <w:r>
        <w:t xml:space="preserve">4.Weather conditions, like place-based accessibility, can have an impact on individual-based accessibility in active mode. In extreme weather, people may be less likely to walk or cycle, reducing accessibility.</w:t>
      </w:r>
    </w:p>
    <w:p>
      <w:pPr>
        <w:pStyle w:val="BodyText"/>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r>
              <w:t xml:space="preserve">General social survey (GSS)</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Transportation Tomorrow Survey (TTS) of Toronto</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Autorité régionale de transport métropolitain (ARTM) survey of Montreal</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The Linkable Open Data Environment (LODE)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Can-BICS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r>
              <w:t xml:space="preserve">open street map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r>
              <w:t xml:space="preserve">municipal open data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43"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41" name="Picture"/>
                  <a:graphic>
                    <a:graphicData uri="http://schemas.openxmlformats.org/drawingml/2006/picture">
                      <pic:pic>
                        <pic:nvPicPr>
                          <pic:cNvPr descr="images/Drawing.png" id="42" name="Picture"/>
                          <pic:cNvPicPr>
                            <a:picLocks noChangeArrowheads="1" noChangeAspect="1"/>
                          </pic:cNvPicPr>
                        </pic:nvPicPr>
                        <pic:blipFill>
                          <a:blip r:embed="rId40"/>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43"/>
    <w:bookmarkStart w:id="230" w:name="references"/>
    <w:p>
      <w:pPr>
        <w:pStyle w:val="Heading2"/>
      </w:pPr>
      <w:r>
        <w:t xml:space="preserve">References</w:t>
      </w:r>
    </w:p>
    <w:bookmarkStart w:id="229" w:name="refs"/>
    <w:bookmarkStart w:id="44"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4"/>
    <w:bookmarkStart w:id="45"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5"/>
    <w:bookmarkStart w:id="46"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6"/>
    <w:bookmarkStart w:id="47"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7"/>
    <w:bookmarkStart w:id="48"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8"/>
    <w:bookmarkStart w:id="49"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9"/>
    <w:bookmarkStart w:id="50"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50"/>
    <w:bookmarkStart w:id="51"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51"/>
    <w:bookmarkStart w:id="52"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52"/>
    <w:bookmarkStart w:id="53"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53"/>
    <w:bookmarkStart w:id="54"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54"/>
    <w:bookmarkStart w:id="55"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5"/>
    <w:bookmarkStart w:id="56"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6"/>
    <w:bookmarkStart w:id="57"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7"/>
    <w:bookmarkStart w:id="58"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8"/>
    <w:bookmarkStart w:id="59"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59"/>
    <w:bookmarkStart w:id="60"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60"/>
    <w:bookmarkStart w:id="61"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61"/>
    <w:bookmarkStart w:id="62"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62"/>
    <w:bookmarkStart w:id="63"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63"/>
    <w:bookmarkStart w:id="64"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64"/>
    <w:bookmarkStart w:id="65"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65"/>
    <w:bookmarkStart w:id="66"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6"/>
    <w:bookmarkStart w:id="67"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7"/>
    <w:bookmarkStart w:id="68"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8"/>
    <w:bookmarkStart w:id="69"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69"/>
    <w:bookmarkStart w:id="70"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70"/>
    <w:bookmarkStart w:id="71"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71"/>
    <w:bookmarkStart w:id="72"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72"/>
    <w:bookmarkStart w:id="73"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73"/>
    <w:bookmarkStart w:id="74"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74"/>
    <w:bookmarkStart w:id="75"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75"/>
    <w:bookmarkStart w:id="76"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6"/>
    <w:bookmarkStart w:id="77"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77"/>
    <w:bookmarkStart w:id="78"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8"/>
    <w:bookmarkStart w:id="79"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79"/>
    <w:bookmarkStart w:id="80"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80"/>
    <w:bookmarkStart w:id="81"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81"/>
    <w:bookmarkStart w:id="82"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82"/>
    <w:bookmarkStart w:id="83"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83"/>
    <w:bookmarkStart w:id="84"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84"/>
    <w:bookmarkStart w:id="85"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85"/>
    <w:bookmarkStart w:id="86"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86"/>
    <w:bookmarkStart w:id="87"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7"/>
    <w:bookmarkStart w:id="88"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88"/>
    <w:bookmarkStart w:id="89"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89"/>
    <w:bookmarkStart w:id="90"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90"/>
    <w:bookmarkStart w:id="91"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91"/>
    <w:bookmarkStart w:id="92"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92"/>
    <w:bookmarkStart w:id="93"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93"/>
    <w:bookmarkStart w:id="94"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94"/>
    <w:bookmarkStart w:id="95"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95"/>
    <w:bookmarkStart w:id="96"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96"/>
    <w:bookmarkStart w:id="97"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97"/>
    <w:bookmarkStart w:id="98"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98"/>
    <w:bookmarkStart w:id="99"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99"/>
    <w:bookmarkStart w:id="100"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00"/>
    <w:bookmarkStart w:id="101"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01"/>
    <w:bookmarkStart w:id="102"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02"/>
    <w:bookmarkStart w:id="103"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03"/>
    <w:bookmarkStart w:id="104"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04"/>
    <w:bookmarkStart w:id="105"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05"/>
    <w:bookmarkStart w:id="106"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06"/>
    <w:bookmarkStart w:id="107"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07"/>
    <w:bookmarkStart w:id="108"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08"/>
    <w:bookmarkStart w:id="109"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09"/>
    <w:bookmarkStart w:id="110"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10"/>
    <w:bookmarkStart w:id="111"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11"/>
    <w:bookmarkStart w:id="112"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12"/>
    <w:bookmarkStart w:id="113"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13"/>
    <w:bookmarkStart w:id="114"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14"/>
    <w:bookmarkStart w:id="115"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15"/>
    <w:bookmarkStart w:id="116"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16"/>
    <w:bookmarkStart w:id="117"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17"/>
    <w:bookmarkStart w:id="118"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18"/>
    <w:bookmarkStart w:id="119"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19"/>
    <w:bookmarkStart w:id="120"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20"/>
    <w:bookmarkStart w:id="121"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21"/>
    <w:bookmarkStart w:id="122"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22"/>
    <w:bookmarkStart w:id="123"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23"/>
    <w:bookmarkStart w:id="124"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24"/>
    <w:bookmarkStart w:id="125"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25"/>
    <w:bookmarkStart w:id="126"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26"/>
    <w:bookmarkStart w:id="127"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27"/>
    <w:bookmarkStart w:id="128"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28"/>
    <w:bookmarkStart w:id="129"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29"/>
    <w:bookmarkStart w:id="130"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30"/>
    <w:bookmarkStart w:id="131"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31"/>
    <w:bookmarkStart w:id="132"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32"/>
    <w:bookmarkStart w:id="133"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33"/>
    <w:bookmarkStart w:id="134"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34"/>
    <w:bookmarkStart w:id="135" w:name="ref-lee1998application"/>
    <w:p>
      <w:pPr>
        <w:pStyle w:val="Bibliography"/>
      </w:pPr>
      <w:r>
        <w:t xml:space="preserve">Lee, Ming S, and Michael G McNally. 1998.</w:t>
      </w:r>
      <w:r>
        <w:t xml:space="preserve"> </w:t>
      </w:r>
      <w:r>
        <w:t xml:space="preserve">“Application of Space-Time Prisms for the Measurement of Accessibility.”</w:t>
      </w:r>
    </w:p>
    <w:bookmarkEnd w:id="135"/>
    <w:bookmarkStart w:id="136"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36"/>
    <w:bookmarkStart w:id="137"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37"/>
    <w:bookmarkStart w:id="138"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38"/>
    <w:bookmarkStart w:id="139"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39"/>
    <w:bookmarkStart w:id="140"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40"/>
    <w:bookmarkStart w:id="141"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41"/>
    <w:bookmarkStart w:id="142"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42"/>
    <w:bookmarkStart w:id="143"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43"/>
    <w:bookmarkStart w:id="144"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44"/>
    <w:bookmarkStart w:id="145"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45"/>
    <w:bookmarkStart w:id="146"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46"/>
    <w:bookmarkStart w:id="147"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47"/>
    <w:bookmarkStart w:id="148"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48"/>
    <w:bookmarkStart w:id="149"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49"/>
    <w:bookmarkStart w:id="150"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50"/>
    <w:bookmarkStart w:id="151"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51"/>
    <w:bookmarkStart w:id="152"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52"/>
    <w:bookmarkStart w:id="153"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53"/>
    <w:bookmarkStart w:id="154"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54"/>
    <w:bookmarkStart w:id="155"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55"/>
    <w:bookmarkStart w:id="156"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56"/>
    <w:bookmarkStart w:id="157"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57"/>
    <w:bookmarkStart w:id="158"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58"/>
    <w:bookmarkStart w:id="159"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59"/>
    <w:bookmarkStart w:id="160"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60"/>
    <w:bookmarkStart w:id="161"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61"/>
    <w:bookmarkStart w:id="162"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62"/>
    <w:bookmarkStart w:id="163"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63"/>
    <w:bookmarkStart w:id="164"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64"/>
    <w:bookmarkStart w:id="165"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65"/>
    <w:bookmarkStart w:id="166"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66"/>
    <w:bookmarkStart w:id="167"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67"/>
    <w:bookmarkStart w:id="168"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68"/>
    <w:bookmarkStart w:id="169"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69"/>
    <w:bookmarkStart w:id="170"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70"/>
    <w:bookmarkStart w:id="171"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71"/>
    <w:bookmarkStart w:id="172"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72"/>
    <w:bookmarkStart w:id="173"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73"/>
    <w:bookmarkStart w:id="174"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74"/>
    <w:bookmarkStart w:id="175"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75"/>
    <w:bookmarkStart w:id="176"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76"/>
    <w:bookmarkStart w:id="177"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77"/>
    <w:bookmarkStart w:id="178"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78"/>
    <w:bookmarkStart w:id="179"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79"/>
    <w:bookmarkStart w:id="180"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80"/>
    <w:bookmarkStart w:id="181"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81"/>
    <w:bookmarkStart w:id="182"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82"/>
    <w:bookmarkStart w:id="183"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183"/>
    <w:bookmarkStart w:id="184"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84"/>
    <w:bookmarkStart w:id="185"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85"/>
    <w:bookmarkStart w:id="186"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86"/>
    <w:bookmarkStart w:id="187"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87"/>
    <w:bookmarkStart w:id="188"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88"/>
    <w:bookmarkStart w:id="189"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89"/>
    <w:bookmarkStart w:id="190"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90"/>
    <w:bookmarkStart w:id="191"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91"/>
    <w:bookmarkStart w:id="192"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92"/>
    <w:bookmarkStart w:id="193"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93"/>
    <w:bookmarkStart w:id="194"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94"/>
    <w:bookmarkStart w:id="195"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95"/>
    <w:bookmarkStart w:id="196"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96"/>
    <w:bookmarkStart w:id="197"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97"/>
    <w:bookmarkStart w:id="198"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98"/>
    <w:bookmarkStart w:id="199"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99"/>
    <w:bookmarkStart w:id="200"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00"/>
    <w:bookmarkStart w:id="201"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01"/>
    <w:bookmarkStart w:id="202"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02"/>
    <w:bookmarkStart w:id="203"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03"/>
    <w:bookmarkStart w:id="204"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04"/>
    <w:bookmarkStart w:id="205"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05"/>
    <w:bookmarkStart w:id="206"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06"/>
    <w:bookmarkStart w:id="207"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07"/>
    <w:bookmarkStart w:id="208"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08"/>
    <w:bookmarkStart w:id="209"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09"/>
    <w:bookmarkStart w:id="210"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10"/>
    <w:bookmarkStart w:id="211"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11"/>
    <w:bookmarkStart w:id="212"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12"/>
    <w:bookmarkStart w:id="213"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13"/>
    <w:bookmarkStart w:id="214"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14"/>
    <w:bookmarkStart w:id="215"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15"/>
    <w:bookmarkStart w:id="216"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16"/>
    <w:bookmarkStart w:id="217"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17"/>
    <w:bookmarkStart w:id="218"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18"/>
    <w:bookmarkStart w:id="219"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19"/>
    <w:bookmarkStart w:id="220"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20"/>
    <w:bookmarkStart w:id="221"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21"/>
    <w:bookmarkStart w:id="222"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22"/>
    <w:bookmarkStart w:id="223"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23"/>
    <w:bookmarkStart w:id="224"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24"/>
    <w:bookmarkStart w:id="225"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25"/>
    <w:bookmarkStart w:id="226"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26"/>
    <w:bookmarkStart w:id="227"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27"/>
    <w:bookmarkStart w:id="228"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28"/>
    <w:bookmarkEnd w:id="229"/>
    <w:bookmarkEnd w:id="230"/>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2023-04-04T19:21:16Z</dcterms:created>
  <dcterms:modified xsi:type="dcterms:W3CDTF">2023-04-04T19:21:16Z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