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3" w:name="background"/>
    <w:p>
      <w:pPr>
        <w:pStyle w:val="Heading2"/>
      </w:pPr>
      <w:r>
        <w:t xml:space="preserve">Background</w:t>
      </w:r>
    </w:p>
    <w:p>
      <w:pPr>
        <w:pStyle w:val="FirstParagraph"/>
      </w:pPr>
      <w: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 In 2004, Geurs and van Wee deconstructed the concept of accessibility into four elements: (i) land use, which describes the quality, quantity, and spatial distribution of opportunities, such as schools, jobs, hospitals, and recreational facilities as destination places, as well as demand for opportunities at origin places; (ii) transportation, which refers to the transportation system represented by the disutility for a person to travel from an origin to a destination by means of a certain mode of transportation; (iii) time, which accounts for the temporal constraints in terms of the availability of opportunities throughout the day and the available time for people to utilize such kind of opportunities; and iv) individual, which indicates the capabilities (determined by income, education level, travel mode availability, etc.) and needs (determined by age, household situation, etc.) of specific (groups of) persons. The emphasis on different elements of accessibility has resulted in multiple measurement methods and indicators (for example, Geurs and van Wee, 2004; Kelobonye et al., 2019; Lee et al., 2010; Neutens, 2015; Paez et al., 2012; and Vandenbulcke et al., 2009), including proximity, cumulative, gravity, utility-based, and space-time prism models as the dominant approaches. However, there are debates about how to measure this concept (Castiglione et al., 2006; Fan et al., 2012; Wang and Chen, 2015).</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sub>
            <m:sup>
              <m:r>
                <m:t>n</m:t>
              </m:r>
            </m:sup>
            <m:e>
              <m:sSub>
                <m:e>
                  <m:r>
                    <m:t>O</m:t>
                  </m:r>
                </m:e>
                <m:sub>
                  <m:r>
                    <m:t>j</m:t>
                  </m:r>
                </m:sub>
              </m:sSub>
            </m:e>
          </m:nary>
        </m:oMath>
      </m:oMathPara>
    </w:p>
    <w:bookmarkStart w:id="22" w:name="tbl-example"/>
    <w:p>
      <w:pPr>
        <w:pStyle w:val="TableCaption"/>
      </w:pPr>
      <w:r>
        <w:t xml:space="preserve">Table 1: Demonstration of pipe table sytnax</w:t>
      </w:r>
    </w:p>
    <w:tbl>
      <w:tblPr>
        <w:tblStyle w:val="Table"/>
        <w:tblW w:type="auto" w:w="0"/>
        <w:tblLook w:firstRow="1" w:lastRow="0" w:firstColumn="0" w:lastColumn="0" w:noHBand="0" w:noVBand="0" w:val="0020"/>
        <w:tblCaption w:val="Table 1: Demonstration of pipe table sytnax"/>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22"/>
    <w:p>
      <w:pPr>
        <w:pStyle w:val="BodyText"/>
      </w:pPr>
      <w:r>
        <w:t xml:space="preserve">As seen in</w:t>
      </w:r>
      <w:r>
        <w:t xml:space="preserve"> </w:t>
      </w:r>
      <w:hyperlink w:anchor="tbl-example">
        <w:r>
          <w:rPr>
            <w:rStyle w:val="Hyperlink"/>
          </w:rPr>
          <w:t xml:space="preserve">Table 1</w:t>
        </w:r>
      </w:hyperlink>
      <w:r>
        <w:t xml:space="preserve">, we can easily do tables in Quarto documents.</w:t>
      </w:r>
    </w:p>
    <w:bookmarkEnd w:id="23"/>
    <w:bookmarkStart w:id="68" w:name="references"/>
    <w:p>
      <w:pPr>
        <w:pStyle w:val="Heading2"/>
      </w:pPr>
      <w:r>
        <w:t xml:space="preserve">References</w:t>
      </w:r>
    </w:p>
    <w:bookmarkStart w:id="67" w:name="refs"/>
    <w:bookmarkStart w:id="24"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24"/>
    <w:bookmarkStart w:id="2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25"/>
    <w:bookmarkStart w:id="2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26"/>
    <w:bookmarkStart w:id="27"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27"/>
    <w:bookmarkStart w:id="28"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28"/>
    <w:bookmarkStart w:id="29"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29"/>
    <w:bookmarkStart w:id="30"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30"/>
    <w:bookmarkStart w:id="31"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31"/>
    <w:bookmarkStart w:id="32"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32"/>
    <w:bookmarkStart w:id="33"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33"/>
    <w:bookmarkStart w:id="3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34"/>
    <w:bookmarkStart w:id="35"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35"/>
    <w:bookmarkStart w:id="36"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36"/>
    <w:bookmarkStart w:id="37"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37"/>
    <w:bookmarkStart w:id="38"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38"/>
    <w:bookmarkStart w:id="39"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39"/>
    <w:bookmarkStart w:id="40"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40"/>
    <w:bookmarkStart w:id="41"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41"/>
    <w:bookmarkStart w:id="42"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42"/>
    <w:bookmarkStart w:id="43"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43"/>
    <w:bookmarkStart w:id="44"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44"/>
    <w:bookmarkStart w:id="4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45"/>
    <w:bookmarkStart w:id="46"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46"/>
    <w:bookmarkStart w:id="47"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47"/>
    <w:bookmarkStart w:id="48"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48"/>
    <w:bookmarkStart w:id="49"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49"/>
    <w:bookmarkStart w:id="50"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50"/>
    <w:bookmarkStart w:id="51"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51"/>
    <w:bookmarkStart w:id="5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52"/>
    <w:bookmarkStart w:id="5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53"/>
    <w:bookmarkStart w:id="54"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54"/>
    <w:bookmarkStart w:id="55"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55"/>
    <w:bookmarkStart w:id="56"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56"/>
    <w:bookmarkStart w:id="57"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57"/>
    <w:bookmarkStart w:id="58"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58"/>
    <w:bookmarkStart w:id="59"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59"/>
    <w:bookmarkStart w:id="60"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60"/>
    <w:bookmarkStart w:id="61"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61"/>
    <w:bookmarkStart w:id="62"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62"/>
    <w:bookmarkStart w:id="63"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63"/>
    <w:bookmarkStart w:id="64"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64"/>
    <w:bookmarkStart w:id="65"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65"/>
    <w:bookmarkStart w:id="66"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2022-10-02T21:21:11Z</dcterms:created>
  <dcterms:modified xsi:type="dcterms:W3CDTF">2022-10-02T21:21:11Z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