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 The focus on different aspects of accessibility has resulted in a diverse set of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Accessibility analysis is implemented using two main approaches i.e., place-based and individual-based accessibility</w:t>
      </w:r>
      <w:r>
        <w:t xml:space="preserve"> </w:t>
      </w:r>
      <w:r>
        <w:t xml:space="preserve">(Kwan 1998; Horner 2004)</w:t>
      </w:r>
      <w:r>
        <w:t xml:space="preserve">. Place-based measures focus on the physical separation of key locations, say an origin and potential destinations, whereas individual-based measures take into account some representation of the space-time behavior of individuals</w:t>
      </w:r>
      <w:r>
        <w:t xml:space="preserve"> </w:t>
      </w:r>
      <w:r>
        <w:t xml:space="preserve">(Harris 2001; D. de S. Vale 2009; Paez et al. 2010)</w:t>
      </w:r>
      <w:r>
        <w:t xml:space="preserve">. These two approaches are related, and place-based measures can in fact be seen as a special case of individual-based measures, where the impedance function and cost are a constant by origin.</w:t>
      </w:r>
    </w:p>
    <w:p>
      <w:pPr>
        <w:pStyle w:val="BodyText"/>
      </w:pPr>
      <w:r>
        <w:t xml:space="preserve">Placed-based accessibility measures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Infrastructure-based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focused on the spatial separation to opportunities from specific locations, or individual-based with the incorporation of the space and time constraints of individuals. This review focuses on location-based accessibility.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232"/>
        <w:gridCol w:w="522"/>
        <w:gridCol w:w="3713"/>
        <w:gridCol w:w="493"/>
        <w:gridCol w:w="2001"/>
        <w:gridCol w:w="435"/>
        <w:gridCol w:w="522"/>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After reviewing most of active travel mode articles, we have divided the data used to calculate accessibility in these studies into 7 different categories, which are: Travel data (trips), Users data (Socio-economic and personal data), Origin- destination, Cycling and walking network, Spatial data (boundary, land use, postal code, . . . ), additional data (such as Traffic data, weather data, slope, Level of Traffic Stress, impedance value, speed ). Table 5, shows required data based on the each measure.</w:t>
      </w:r>
    </w:p>
    <w:bookmarkEnd w:id="30"/>
    <w:bookmarkStart w:id="175" w:name="Xe266341e3dc1a9ae229aee04560f1d88f944f5d"/>
    <w:p>
      <w:pPr>
        <w:pStyle w:val="Heading1"/>
      </w:pPr>
      <w:r>
        <w:t xml:space="preserve">Table 5: Required data according to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8.</w:t>
      </w:r>
      <w:r>
        <w:t xml:space="preserve"> </w:t>
      </w:r>
      <w:r>
        <w:t xml:space="preserve">Pedestrian travel speeds used in GIS modeling</w:t>
      </w:r>
    </w:p>
    <w:tbl>
      <w:tblPr>
        <w:tblStyle w:val="Table"/>
        <w:tblW w:type="pct" w:w="5000"/>
        <w:tblLook w:firstRow="1" w:lastRow="0" w:firstColumn="0" w:lastColumn="0" w:noHBand="0" w:noVBand="0" w:val="0020"/>
        <w:tblCaption w:val="Table 8.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9.</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9.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174" w:name="references"/>
    <w:p>
      <w:pPr>
        <w:pStyle w:val="Heading2"/>
      </w:pPr>
      <w:r>
        <w:t xml:space="preserve">References</w:t>
      </w:r>
    </w:p>
    <w:bookmarkStart w:id="173"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2"/>
    <w:bookmarkStart w:id="43"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3"/>
    <w:bookmarkStart w:id="44"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4"/>
    <w:bookmarkStart w:id="45"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5"/>
    <w:bookmarkStart w:id="46"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6"/>
    <w:bookmarkStart w:id="47"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47"/>
    <w:bookmarkStart w:id="48"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48"/>
    <w:bookmarkStart w:id="4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49"/>
    <w:bookmarkStart w:id="50"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0"/>
    <w:bookmarkStart w:id="51"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1"/>
    <w:bookmarkStart w:id="52"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2"/>
    <w:bookmarkStart w:id="53"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53"/>
    <w:bookmarkStart w:id="54"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54"/>
    <w:bookmarkStart w:id="55"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55"/>
    <w:bookmarkStart w:id="56"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56"/>
    <w:bookmarkStart w:id="57"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57"/>
    <w:bookmarkStart w:id="58"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58"/>
    <w:bookmarkStart w:id="59"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59"/>
    <w:bookmarkStart w:id="60"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60"/>
    <w:bookmarkStart w:id="61"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61"/>
    <w:bookmarkStart w:id="6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62"/>
    <w:bookmarkStart w:id="6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63"/>
    <w:bookmarkStart w:id="6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64"/>
    <w:bookmarkStart w:id="6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65"/>
    <w:bookmarkStart w:id="6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66"/>
    <w:bookmarkStart w:id="6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67"/>
    <w:bookmarkStart w:id="6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68"/>
    <w:bookmarkStart w:id="69"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69"/>
    <w:bookmarkStart w:id="70"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70"/>
    <w:bookmarkStart w:id="71"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71"/>
    <w:bookmarkStart w:id="72"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72"/>
    <w:bookmarkStart w:id="73"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73"/>
    <w:bookmarkStart w:id="74"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74"/>
    <w:bookmarkStart w:id="75"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75"/>
    <w:bookmarkStart w:id="76"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76"/>
    <w:bookmarkStart w:id="77"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77"/>
    <w:bookmarkStart w:id="78"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78"/>
    <w:bookmarkStart w:id="79"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79"/>
    <w:bookmarkStart w:id="80"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80"/>
    <w:bookmarkStart w:id="81"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81"/>
    <w:bookmarkStart w:id="82"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82"/>
    <w:bookmarkStart w:id="83"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83"/>
    <w:bookmarkStart w:id="84"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84"/>
    <w:bookmarkStart w:id="85"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85"/>
    <w:bookmarkStart w:id="86" w:name="ref-horner2004exploring"/>
    <w:p>
      <w:pPr>
        <w:pStyle w:val="Bibliography"/>
      </w:pPr>
      <w:r>
        <w:t xml:space="preserve">Horner, Mark W. 2004.</w:t>
      </w:r>
      <w:r>
        <w:t xml:space="preserve"> </w:t>
      </w:r>
      <w:r>
        <w:t xml:space="preserve">“Exploring Metropolitan Accessibility and Urban Structure.”</w:t>
      </w:r>
      <w:r>
        <w:t xml:space="preserve"> </w:t>
      </w:r>
      <w:r>
        <w:rPr>
          <w:iCs/>
          <w:i/>
        </w:rPr>
        <w:t xml:space="preserve">Urban Geography</w:t>
      </w:r>
      <w:r>
        <w:t xml:space="preserve"> </w:t>
      </w:r>
      <w:r>
        <w:t xml:space="preserve">25 (3): 264–84.</w:t>
      </w:r>
    </w:p>
    <w:bookmarkEnd w:id="86"/>
    <w:bookmarkStart w:id="87"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87"/>
    <w:bookmarkStart w:id="88"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88"/>
    <w:bookmarkStart w:id="89"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89"/>
    <w:bookmarkStart w:id="90"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90"/>
    <w:bookmarkStart w:id="91"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91"/>
    <w:bookmarkStart w:id="92"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92"/>
    <w:bookmarkStart w:id="93"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93"/>
    <w:bookmarkStart w:id="94"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94"/>
    <w:bookmarkStart w:id="95"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95"/>
    <w:bookmarkStart w:id="96"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96"/>
    <w:bookmarkStart w:id="97"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97"/>
    <w:bookmarkStart w:id="98"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98"/>
    <w:bookmarkStart w:id="99"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99"/>
    <w:bookmarkStart w:id="100"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00"/>
    <w:bookmarkStart w:id="101"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01"/>
    <w:bookmarkStart w:id="102"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02"/>
    <w:bookmarkStart w:id="103"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03"/>
    <w:bookmarkStart w:id="104"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04"/>
    <w:bookmarkStart w:id="105"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05"/>
    <w:bookmarkStart w:id="106"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06"/>
    <w:bookmarkStart w:id="107"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07"/>
    <w:bookmarkStart w:id="108"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08"/>
    <w:bookmarkStart w:id="109"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09"/>
    <w:bookmarkStart w:id="110"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10"/>
    <w:bookmarkStart w:id="111"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11"/>
    <w:bookmarkStart w:id="112"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12"/>
    <w:bookmarkStart w:id="11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13"/>
    <w:bookmarkStart w:id="114"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14"/>
    <w:bookmarkStart w:id="115"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15"/>
    <w:bookmarkStart w:id="116"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16"/>
    <w:bookmarkStart w:id="117"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17"/>
    <w:bookmarkStart w:id="118"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18"/>
    <w:bookmarkStart w:id="119"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19"/>
    <w:bookmarkStart w:id="120"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20"/>
    <w:bookmarkStart w:id="121"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21"/>
    <w:bookmarkStart w:id="122"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22"/>
    <w:bookmarkStart w:id="123"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23"/>
    <w:bookmarkStart w:id="124"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24"/>
    <w:bookmarkStart w:id="125"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25"/>
    <w:bookmarkStart w:id="126"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26"/>
    <w:bookmarkStart w:id="127"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27"/>
    <w:bookmarkStart w:id="128"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28"/>
    <w:bookmarkStart w:id="129"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29"/>
    <w:bookmarkStart w:id="130"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30"/>
    <w:bookmarkStart w:id="131"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31"/>
    <w:bookmarkStart w:id="132"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32"/>
    <w:bookmarkStart w:id="133"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33"/>
    <w:bookmarkStart w:id="134"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34"/>
    <w:bookmarkStart w:id="135"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35"/>
    <w:bookmarkStart w:id="136"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36"/>
    <w:bookmarkStart w:id="137"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37"/>
    <w:bookmarkStart w:id="138"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38"/>
    <w:bookmarkStart w:id="139"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39"/>
    <w:bookmarkStart w:id="140"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40"/>
    <w:bookmarkStart w:id="141"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41"/>
    <w:bookmarkStart w:id="142"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42"/>
    <w:bookmarkStart w:id="143"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43"/>
    <w:bookmarkStart w:id="144"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44"/>
    <w:bookmarkStart w:id="145"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45"/>
    <w:bookmarkStart w:id="146"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46"/>
    <w:bookmarkStart w:id="147"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47"/>
    <w:bookmarkStart w:id="148"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48"/>
    <w:bookmarkStart w:id="149"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49"/>
    <w:bookmarkStart w:id="150"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50"/>
    <w:bookmarkStart w:id="151"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51"/>
    <w:bookmarkStart w:id="152"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52"/>
    <w:bookmarkStart w:id="153"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53"/>
    <w:bookmarkStart w:id="154"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54"/>
    <w:bookmarkStart w:id="155"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55"/>
    <w:bookmarkStart w:id="156"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56"/>
    <w:bookmarkStart w:id="157"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57"/>
    <w:bookmarkStart w:id="158"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58"/>
    <w:bookmarkStart w:id="159"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59"/>
    <w:bookmarkStart w:id="160"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60"/>
    <w:bookmarkStart w:id="161"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61"/>
    <w:bookmarkStart w:id="162"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62"/>
    <w:bookmarkStart w:id="163"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163"/>
    <w:bookmarkStart w:id="164"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164"/>
    <w:bookmarkStart w:id="165"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165"/>
    <w:bookmarkStart w:id="166"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166"/>
    <w:bookmarkStart w:id="167"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167"/>
    <w:bookmarkStart w:id="168"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168"/>
    <w:bookmarkStart w:id="169"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169"/>
    <w:bookmarkStart w:id="170"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170"/>
    <w:bookmarkStart w:id="171"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171"/>
    <w:bookmarkStart w:id="17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172"/>
    <w:bookmarkEnd w:id="173"/>
    <w:bookmarkEnd w:id="174"/>
    <w:bookmarkEnd w:id="175"/>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2022-10-14T19:41:12Z</dcterms:created>
  <dcterms:modified xsi:type="dcterms:W3CDTF">2022-10-14T19:41:12Z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