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3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7"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general formula for accessibility for active transportation modes, we can modify the formula, by taking into account factors that are specific to active transportation. Here is one possible formula:</w:t>
      </w:r>
    </w:p>
    <w:p>
      <w:pPr>
        <w:pStyle w:val="BodyText"/>
      </w:pPr>
      <w:bookmarkStart w:id="22" w:name="eq-general-accessibility"/>
      <m:oMathPara>
        <m:oMathParaPr>
          <m:jc m:val="center"/>
        </m:oMathParaPr>
        <m:oMath>
          <m:sSubSup>
            <m:e>
              <m:r>
                <m:t>A</m:t>
              </m:r>
            </m:e>
            <m:sub>
              <m:r>
                <m:t>i</m:t>
              </m:r>
            </m:sub>
            <m:sup>
              <m:r>
                <m:t>p</m:t>
              </m:r>
              <m:r>
                <m:t>k</m:t>
              </m:r>
            </m:sup>
          </m:sSubSup>
          <m:r>
            <m:rPr>
              <m:sty m:val="p"/>
            </m:rPr>
            <m:t>=</m:t>
          </m:r>
          <m:nary>
            <m:naryPr>
              <m:chr m:val="∑"/>
              <m:limLoc m:val="undOvr"/>
              <m:subHide m:val="0"/>
              <m:supHide m:val="0"/>
            </m:naryPr>
            <m:sub>
              <m:r>
                <m:t>j</m:t>
              </m:r>
              <m:r>
                <m:rPr>
                  <m:sty m:val="p"/>
                </m:rPr>
                <m:t>=</m:t>
              </m:r>
              <m:r>
                <m:t>1</m:t>
              </m:r>
            </m:sub>
            <m:sup>
              <m:r>
                <m:t>J</m:t>
              </m:r>
            </m:sup>
            <m:e>
              <m:r>
                <m:t>g</m:t>
              </m:r>
            </m:e>
          </m:nary>
          <m:d>
            <m:dPr>
              <m:begChr m:val="("/>
              <m:endChr m:val=")"/>
              <m:sepChr m:val=""/>
              <m:grow/>
            </m:dPr>
            <m:e>
              <m:sSubSup>
                <m:e>
                  <m:r>
                    <m:t>O</m:t>
                  </m:r>
                </m:e>
                <m:sub>
                  <m:r>
                    <m:t>j</m:t>
                  </m:r>
                </m:sub>
                <m:sup>
                  <m:r>
                    <m:t>k</m:t>
                  </m:r>
                </m:sup>
              </m:sSubSup>
            </m:e>
          </m:d>
          <m:r>
            <m:t>f</m:t>
          </m:r>
          <m:d>
            <m:dPr>
              <m:begChr m:val="("/>
              <m:endChr m:val=")"/>
              <m:sepChr m:val=""/>
              <m:grow/>
            </m:dPr>
            <m:e>
              <m:sSubSup>
                <m:e>
                  <m:r>
                    <m:t>c</m:t>
                  </m:r>
                </m:e>
                <m:sub>
                  <m:r>
                    <m:t>i</m:t>
                  </m:r>
                  <m:r>
                    <m:t>j</m:t>
                  </m:r>
                </m:sub>
                <m:sup>
                  <m:r>
                    <m:t>p</m:t>
                  </m:r>
                </m:sup>
              </m:sSubSup>
            </m:e>
          </m:d>
          <m:r>
            <m:t>  </m:t>
          </m:r>
          <m:d>
            <m:dPr>
              <m:begChr m:val="("/>
              <m:endChr m:val=")"/>
              <m:sepChr m:val=""/>
              <m:grow/>
            </m:dPr>
            <m:e>
              <m:r>
                <m:t>1</m:t>
              </m:r>
            </m:e>
          </m:d>
        </m:oMath>
      </m:oMathPara>
      <w:bookmarkEnd w:id="22"/>
    </w:p>
    <w:p>
      <w:pPr>
        <w:pStyle w:val="FirstParagraph"/>
      </w:pPr>
      <w:r>
        <w:t xml:space="preserve">With functions for the opportunities that allow this formulation:</w:t>
      </w:r>
    </w:p>
    <w:p>
      <w:pPr>
        <w:pStyle w:val="BodyText"/>
      </w:pPr>
      <w:bookmarkStart w:id="23" w:name="eq-opportunities-function"/>
      <m:oMathPara>
        <m:oMathParaPr>
          <m:jc m:val="center"/>
        </m:oMathParaPr>
        <m:oMath>
          <m:r>
            <m:t>g</m:t>
          </m:r>
          <m:d>
            <m:dPr>
              <m:begChr m:val="("/>
              <m:endChr m:val=")"/>
              <m:sepChr m:val=""/>
              <m:grow/>
            </m:dPr>
            <m:e>
              <m:sSub>
                <m:e>
                  <m:r>
                    <m:t>O</m:t>
                  </m:r>
                </m:e>
                <m:sub>
                  <m:r>
                    <m:t>j</m:t>
                  </m:r>
                </m:sub>
              </m:sSub>
            </m:e>
          </m:d>
          <m:r>
            <m:rPr>
              <m:sty m:val="p"/>
            </m:rPr>
            <m:t>=</m:t>
          </m:r>
          <m:sSub>
            <m:e>
              <m:r>
                <m:t>O</m:t>
              </m:r>
            </m:e>
            <m:sub>
              <m:r>
                <m:t>j</m:t>
              </m:r>
            </m:sub>
          </m:sSub>
          <m:r>
            <m:t>  </m:t>
          </m:r>
          <m:d>
            <m:dPr>
              <m:begChr m:val="("/>
              <m:endChr m:val=")"/>
              <m:sepChr m:val=""/>
              <m:grow/>
            </m:dPr>
            <m:e>
              <m:r>
                <m:t>2</m:t>
              </m:r>
            </m:e>
          </m:d>
        </m:oMath>
      </m:oMathPara>
      <w:bookmarkEnd w:id="23"/>
    </w:p>
    <w:p>
      <w:pPr>
        <w:pStyle w:val="FirstParagraph"/>
      </w:pPr>
      <w:r>
        <w:t xml:space="preserve">as well as possibly agglomeration effects as in:</w:t>
      </w:r>
    </w:p>
    <w:p>
      <w:pPr>
        <w:pStyle w:val="BodyText"/>
      </w:pPr>
      <w:bookmarkStart w:id="24" w:name="eq-agglomeration-effects"/>
      <m:oMathPara>
        <m:oMathParaPr>
          <m:jc m:val="center"/>
        </m:oMathParaPr>
        <m:oMath>
          <m:r>
            <m:t>g</m:t>
          </m:r>
          <m:d>
            <m:dPr>
              <m:begChr m:val="("/>
              <m:endChr m:val=")"/>
              <m:sepChr m:val=""/>
              <m:grow/>
            </m:dPr>
            <m:e>
              <m:sSub>
                <m:e>
                  <m:r>
                    <m:t>O</m:t>
                  </m:r>
                </m:e>
                <m:sub>
                  <m:r>
                    <m:t>j</m:t>
                  </m:r>
                </m:sub>
              </m:sSub>
            </m:e>
          </m:d>
          <m:r>
            <m:rPr>
              <m:sty m:val="p"/>
            </m:rPr>
            <m:t>=</m:t>
          </m:r>
          <m:sSubSup>
            <m:e>
              <m:r>
                <m:t>O</m:t>
              </m:r>
            </m:e>
            <m:sub>
              <m:r>
                <m:t>j</m:t>
              </m:r>
            </m:sub>
            <m:sup>
              <m:r>
                <m:t>α</m:t>
              </m:r>
            </m:sup>
          </m:sSubSup>
          <m:r>
            <m:t>  </m:t>
          </m:r>
          <m:d>
            <m:dPr>
              <m:begChr m:val="("/>
              <m:endChr m:val=")"/>
              <m:sepChr m:val=""/>
              <m:grow/>
            </m:dPr>
            <m:e>
              <m:r>
                <m:t>3</m:t>
              </m:r>
            </m:e>
          </m:d>
        </m:oMath>
      </m:oMathPara>
      <w:bookmarkEnd w:id="24"/>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bookmarkStart w:id="25" w:name="eq-impedance-function"/>
      <m:oMathPara>
        <m:oMathParaPr>
          <m:jc m:val="center"/>
        </m:oMathParaPr>
        <m:oMath>
          <m:r>
            <m:t>f</m:t>
          </m:r>
          <m:d>
            <m:dPr>
              <m:begChr m:val="("/>
              <m:endChr m:val=")"/>
              <m:sepChr m:val=""/>
              <m:grow/>
            </m:dPr>
            <m:e>
              <m:sSubSup>
                <m:e>
                  <m:r>
                    <m:t>c</m:t>
                  </m:r>
                </m:e>
                <m:sub>
                  <m:r>
                    <m:t>i</m:t>
                  </m:r>
                  <m:r>
                    <m:t>j</m:t>
                  </m:r>
                </m:sub>
                <m:sup>
                  <m:r>
                    <m:t>p</m:t>
                  </m:r>
                </m:sup>
              </m:sSubSup>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Sup>
                      <m:e>
                        <m:r>
                          <m:t>c</m:t>
                        </m:r>
                      </m:e>
                      <m:sub>
                        <m:r>
                          <m:t>i</m:t>
                        </m:r>
                        <m:r>
                          <m:t>j</m:t>
                        </m:r>
                      </m:sub>
                      <m:sup>
                        <m:r>
                          <m:t>p</m:t>
                        </m:r>
                      </m:sup>
                    </m:sSubSup>
                    <m:r>
                      <m:rPr>
                        <m:sty m:val="p"/>
                      </m:rPr>
                      <m:t>≤</m:t>
                    </m:r>
                    <m:sSup>
                      <m:e>
                        <m:r>
                          <m:t>γ</m:t>
                        </m:r>
                      </m:e>
                      <m:sup>
                        <m:r>
                          <m:t>p</m:t>
                        </m:r>
                      </m:sup>
                    </m:sSup>
                  </m:e>
                </m:mr>
                <m:mr>
                  <m:e>
                    <m:r>
                      <m:t>0</m:t>
                    </m:r>
                  </m:e>
                  <m:e>
                    <m:r>
                      <m:rPr>
                        <m:nor/>
                        <m:sty m:val="p"/>
                      </m:rPr>
                      <m:t>otherwise</m:t>
                    </m:r>
                  </m:e>
                </m:mr>
              </m:m>
            </m:e>
          </m:d>
          <m:r>
            <m:t>  </m:t>
          </m:r>
          <m:d>
            <m:dPr>
              <m:begChr m:val="("/>
              <m:endChr m:val=")"/>
              <m:sepChr m:val=""/>
              <m:grow/>
            </m:dPr>
            <m:e>
              <m:r>
                <m:t>4</m:t>
              </m:r>
            </m:e>
          </m:d>
        </m:oMath>
      </m:oMathPara>
      <w:bookmarkEnd w:id="25"/>
    </w:p>
    <w:p>
      <w:pPr>
        <w:pStyle w:val="FirstParagraph"/>
      </w:pPr>
      <w:r>
        <w:t xml:space="preserve">In addition, The widely used exponential decay formulation in gravity models is frequently given by</w:t>
      </w:r>
      <w:r>
        <w:t xml:space="preserve"> </w:t>
      </w:r>
      <w:hyperlink w:anchor="eq-exponential-distance-decay">
        <w:r>
          <w:rPr>
            <w:rStyle w:val="Hyperlink"/>
          </w:rPr>
          <w:t xml:space="preserve">Equation 5</w:t>
        </w:r>
      </w:hyperlink>
      <w:r>
        <w:t xml:space="preserve">:</w:t>
      </w:r>
    </w:p>
    <w:p>
      <w:pPr>
        <w:pStyle w:val="BodyText"/>
      </w:pPr>
      <w:bookmarkStart w:id="26" w:name="eq-exponential-distance-decay"/>
      <m:oMathPara>
        <m:oMathParaPr>
          <m:jc m:val="center"/>
        </m:oMathParaPr>
        <m:oMath>
          <m:r>
            <m:t>f</m:t>
          </m:r>
          <m:d>
            <m:dPr>
              <m:begChr m:val="("/>
              <m:endChr m:val=")"/>
              <m:sepChr m:val=""/>
              <m:grow/>
            </m:dPr>
            <m:e>
              <m:sSubSup>
                <m:e>
                  <m:r>
                    <m:t>c</m:t>
                  </m:r>
                </m:e>
                <m:sub>
                  <m:r>
                    <m:t>i</m:t>
                  </m:r>
                  <m:r>
                    <m:t>j</m:t>
                  </m:r>
                </m:sub>
                <m:sup>
                  <m:r>
                    <m:t>p</m:t>
                  </m:r>
                </m:sup>
              </m:sSubSup>
            </m:e>
          </m:d>
          <m:r>
            <m:rPr>
              <m:sty m:val="p"/>
            </m:rPr>
            <m:t>=</m:t>
          </m:r>
          <m:r>
            <m:t>e</m:t>
          </m:r>
          <m:r>
            <m:t>x</m:t>
          </m:r>
          <m:r>
            <m:t>p</m:t>
          </m:r>
          <m:d>
            <m:dPr>
              <m:begChr m:val="("/>
              <m:endChr m:val=")"/>
              <m:sepChr m:val=""/>
              <m:grow/>
            </m:dPr>
            <m:e>
              <m:r>
                <m:rPr>
                  <m:sty m:val="p"/>
                </m:rPr>
                <m:t>−</m:t>
              </m:r>
              <m:r>
                <m:t>θ</m:t>
              </m:r>
              <m:sSubSup>
                <m:e>
                  <m:r>
                    <m:t>c</m:t>
                  </m:r>
                </m:e>
                <m:sub>
                  <m:r>
                    <m:t>i</m:t>
                  </m:r>
                  <m:r>
                    <m:t>j</m:t>
                  </m:r>
                </m:sub>
                <m:sup>
                  <m:r>
                    <m:t>p</m:t>
                  </m:r>
                </m:sup>
              </m:sSubSup>
            </m:e>
          </m:d>
          <m:r>
            <m:t>  </m:t>
          </m:r>
          <m:d>
            <m:dPr>
              <m:begChr m:val="("/>
              <m:endChr m:val=")"/>
              <m:sepChr m:val=""/>
              <m:grow/>
            </m:dPr>
            <m:e>
              <m:r>
                <m:t>5</m:t>
              </m:r>
            </m:e>
          </m:d>
        </m:oMath>
      </m:oMathPara>
      <w:bookmarkEnd w:id="26"/>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numPr>
          <w:ilvl w:val="0"/>
          <w:numId w:val="1001"/>
        </w:numPr>
      </w:pPr>
      <w:r>
        <w:t xml:space="preserve">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numPr>
          <w:ilvl w:val="0"/>
          <w:numId w:val="1001"/>
        </w:numPr>
      </w:pPr>
      <w:r>
        <w:t xml:space="preserve">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numPr>
          <w:ilvl w:val="0"/>
          <w:numId w:val="1001"/>
        </w:numPr>
      </w:pPr>
      <w:r>
        <w:t xml:space="preserve">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Pr>
      <w:r>
        <w:t xml:space="preserve">Weather conditions, like place-based accessibility, can have an impact on individual-based accessibility in active mode. In extreme weather, people may be less likely to walk or cycle, reducing accessibility.</w:t>
      </w:r>
    </w:p>
    <w:p>
      <w:pPr>
        <w:numPr>
          <w:ilvl w:val="0"/>
          <w:numId w:val="1001"/>
        </w:numPr>
      </w:pPr>
      <w:r>
        <w:t xml:space="preserve">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FirstParagraph"/>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7"/>
    <w:bookmarkStart w:id="41"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31"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measure derived from the gravity model’s denominator and weighted opportunities according to an impedance function, which is given by the following expression:</w:t>
      </w:r>
      <w:r>
        <w:t xml:space="preserve"> </w:t>
      </w:r>
      <w:r>
        <w:t xml:space="preserve">(D. S. Vale, Saraiva, and Pereira 2016)</w:t>
      </w:r>
      <w:r>
        <w:t xml:space="preserve">:</w:t>
      </w:r>
    </w:p>
    <w:p>
      <w:pPr>
        <w:pStyle w:val="BodyText"/>
      </w:pPr>
      <w:bookmarkStart w:id="28" w:name="eq-gravity-measure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Sup>
                <m:e>
                  <m:r>
                    <m:t>W</m:t>
                  </m:r>
                </m:e>
                <m:sub>
                  <m:r>
                    <m:t>i</m:t>
                  </m:r>
                  <m:r>
                    <m:t>j</m:t>
                  </m:r>
                </m:sub>
                <m:sup>
                  <m:r>
                    <m:t>θ</m:t>
                  </m:r>
                </m:sup>
              </m:sSubSup>
              <m:r>
                <m:t>f</m:t>
              </m:r>
              <m:d>
                <m:dPr>
                  <m:begChr m:val="("/>
                  <m:endChr m:val=")"/>
                  <m:sepChr m:val=""/>
                  <m:grow/>
                </m:dPr>
                <m:e>
                  <m:sSub>
                    <m:e>
                      <m:r>
                        <m:t>c</m:t>
                      </m:r>
                    </m:e>
                    <m:sub>
                      <m:r>
                        <m:t>i</m:t>
                      </m:r>
                      <m:r>
                        <m:t>j</m:t>
                      </m:r>
                    </m:sub>
                  </m:sSub>
                </m:e>
              </m:d>
            </m:e>
          </m:nary>
          <m:r>
            <m:t>  </m:t>
          </m:r>
          <m:d>
            <m:dPr>
              <m:begChr m:val="("/>
              <m:endChr m:val=")"/>
              <m:sepChr m:val=""/>
              <m:grow/>
            </m:dPr>
            <m:e>
              <m:r>
                <m:t>6</m:t>
              </m:r>
            </m:e>
          </m:d>
        </m:oMath>
      </m:oMathPara>
      <w:bookmarkEnd w:id="28"/>
    </w:p>
    <w:p>
      <w:pPr>
        <w:pStyle w:val="FirstParagraph"/>
      </w:pPr>
      <w:r>
        <w:t xml:space="preserve">This equation gives the accessibility from the origin location i, W_j are relevant opportunities found at j, f(c_{ij}) is the cost of moving between i and j. Function f() defines a kernel around location i. Activity-based measures are useful when opportunities are complementary (e.g., jobs, people, services, parks) and when access to more opportunities and being closer (with gravity-based models) is advantageous.</w:t>
      </w:r>
    </w:p>
    <w:p>
      <w:pPr>
        <w:pStyle w:val="BodyText"/>
      </w:pPr>
      <w:r>
        <w:t xml:space="preserve">Cumulative opportunities (also known as isochrones or contour measures), measures count the number of opportunities within a defined catchment area. In contrast to the utility measure, which measures accessibility by the</w:t>
      </w:r>
      <w:r>
        <w:t xml:space="preserve"> </w:t>
      </w:r>
      <w:r>
        <w:t xml:space="preserve">‘</w:t>
      </w:r>
      <w:r>
        <w:t xml:space="preserve">net utility</w:t>
      </w:r>
      <w:r>
        <w:t xml:space="preserve">’</w:t>
      </w:r>
      <w:r>
        <w:t xml:space="preserve"> </w:t>
      </w:r>
      <w:r>
        <w:t xml:space="preserve">from travel, the cumulative measure represents accessibility with the total number of opportunities. This measure counts both the number of reachable opportunities and the associated travel costs.</w:t>
      </w:r>
    </w:p>
    <w:p>
      <w:pPr>
        <w:pStyle w:val="BodyText"/>
      </w:pPr>
      <w:bookmarkStart w:id="29" w:name="eq-cumulative-measure"/>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
                <m:e>
                  <m:r>
                    <m:t>W</m:t>
                  </m:r>
                </m:e>
                <m:sub>
                  <m:r>
                    <m:t>j</m:t>
                  </m:r>
                </m:sub>
              </m:sSub>
              <m:r>
                <m:t>f</m:t>
              </m:r>
              <m:d>
                <m:dPr>
                  <m:begChr m:val="("/>
                  <m:endChr m:val=")"/>
                  <m:sepChr m:val=""/>
                  <m:grow/>
                </m:dPr>
                <m:e>
                  <m:sSub>
                    <m:e>
                      <m:r>
                        <m:t>c</m:t>
                      </m:r>
                    </m:e>
                    <m:sub>
                      <m:r>
                        <m:t>i</m:t>
                      </m:r>
                      <m:r>
                        <m:t>j</m:t>
                      </m:r>
                    </m:sub>
                  </m:sSub>
                </m:e>
              </m:d>
            </m:e>
          </m:nary>
          <m:r>
            <m:t>  </m:t>
          </m:r>
          <m:d>
            <m:dPr>
              <m:begChr m:val="("/>
              <m:endChr m:val=")"/>
              <m:sepChr m:val=""/>
              <m:grow/>
            </m:dPr>
            <m:e>
              <m:r>
                <m:t>7</m:t>
              </m:r>
            </m:e>
          </m:d>
        </m:oMath>
      </m:oMathPara>
      <w:bookmarkEnd w:id="29"/>
    </w:p>
    <w:p>
      <w:pPr>
        <w:pStyle w:val="FirstParagraph"/>
      </w:pPr>
      <w:r>
        <w:t xml:space="preserve">in a cumulative measure the distance decay function is binary:</w:t>
      </w:r>
    </w:p>
    <w:p>
      <w:pPr>
        <w:pStyle w:val="BodyText"/>
      </w:pPr>
      <w:bookmarkStart w:id="30" w:name="X9a5d005bdcc13f2a81b5fe78e7de06d7a0ea12d"/>
      <m:oMathPara>
        <m:oMathParaPr>
          <m:jc m:val="center"/>
        </m:oMathParaPr>
        <m:oMath>
          <m:r>
            <m:t>f</m:t>
          </m:r>
          <m:d>
            <m:dPr>
              <m:begChr m:val="("/>
              <m:endChr m:val=")"/>
              <m:sepChr m:val=""/>
              <m:grow/>
            </m:dPr>
            <m:e>
              <m:sSub>
                <m:e>
                  <m:r>
                    <m:t>c</m:t>
                  </m:r>
                </m:e>
                <m:sub>
                  <m:r>
                    <m:t>i</m:t>
                  </m:r>
                  <m:r>
                    <m:t>j</m:t>
                  </m:r>
                </m:sub>
              </m:sSub>
              <m:r>
                <m:rPr>
                  <m:sty m:val="p"/>
                </m:rPr>
                <m:t>≤</m:t>
              </m:r>
              <m:sSub>
                <m:e>
                  <m:r>
                    <m:t>γ</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r>
                          <m:t>j</m:t>
                        </m:r>
                      </m:sub>
                    </m:sSub>
                    <m:r>
                      <m:rPr>
                        <m:sty m:val="p"/>
                      </m:rPr>
                      <m:t>≤</m:t>
                    </m:r>
                    <m:sSub>
                      <m:e>
                        <m:r>
                          <m:t>γ</m:t>
                        </m:r>
                      </m:e>
                      <m:sub>
                        <m:r>
                          <m:t>i</m:t>
                        </m:r>
                      </m:sub>
                    </m:sSub>
                  </m:e>
                </m:mr>
                <m:mr>
                  <m:e>
                    <m:r>
                      <m:t>0</m:t>
                    </m:r>
                  </m:e>
                  <m:e>
                    <m:r>
                      <m:rPr>
                        <m:nor/>
                        <m:sty m:val="p"/>
                      </m:rPr>
                      <m:t>otherwise</m:t>
                    </m:r>
                  </m:e>
                </m:mr>
              </m:m>
            </m:e>
          </m:d>
          <m:r>
            <m:t>  </m:t>
          </m:r>
          <m:d>
            <m:dPr>
              <m:begChr m:val="("/>
              <m:endChr m:val=")"/>
              <m:sepChr m:val=""/>
              <m:grow/>
            </m:dPr>
            <m:e>
              <m:r>
                <m:t>8</m:t>
              </m:r>
            </m:e>
          </m:d>
        </m:oMath>
      </m:oMathPara>
      <w:bookmarkEnd w:id="30"/>
    </w:p>
    <w:p>
      <w:pPr>
        <w:pStyle w:val="FirstParagraph"/>
      </w:pPr>
      <w:r>
        <w:t xml:space="preserve">In</w:t>
      </w:r>
      <w:r>
        <w:t xml:space="preserve"> </w:t>
      </w:r>
      <w:hyperlink w:anchor="X9a5d005bdcc13f2a81b5fe78e7de06d7a0ea12d">
        <w:r>
          <w:rPr>
            <w:rStyle w:val="Hyperlink"/>
          </w:rPr>
          <w:t xml:space="preserve">Equation 8</w:t>
        </w:r>
      </w:hyperlink>
      <w:r>
        <w:t xml:space="preserve"> </w:t>
      </w:r>
      <w:r>
        <w:t xml:space="preserve">is the threshold value. According to this formula, all opportunities located within the</w:t>
      </w:r>
      <w:r>
        <w:t xml:space="preserve"> </w:t>
      </w:r>
      <w:r>
        <w:t xml:space="preserve">threshold are considered accessible. In addition, f(c) is an indicator function that returns 1 if the logical statement in the function’s argument is true (i.e. if the cost of reaching j from i does not exceed the bandwidth parameter value) and 0 otherwise. Other distance-decay functions (for example, inverse distance or negative exponential) generate smoother map patterns</w:t>
      </w:r>
      <w:r>
        <w:t xml:space="preserve"> </w:t>
      </w:r>
      <w:r>
        <w:t xml:space="preserve">(O’Kelly and Horner 2003)</w:t>
      </w:r>
      <w:r>
        <w:t xml:space="preserve">, but they require more parameters and introduce distance- (or cost-) discounted schemes that are more difficult to interpret. Previous research has shown that cumulative opportunity measures are highly correlated regardless of the distance-decay function used</w:t>
      </w:r>
      <w:r>
        <w:t xml:space="preserve"> </w:t>
      </w:r>
      <w:r>
        <w:t xml:space="preserve">(Kwan 1998)</w:t>
      </w:r>
      <w:r>
        <w:t xml:space="preserve">, and we ultimately prefer simplicity and interpretability in our accessibility indicator selection.</w:t>
      </w:r>
    </w:p>
    <w:bookmarkEnd w:id="31"/>
    <w:bookmarkStart w:id="3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w:t>
      </w:r>
      <w:r>
        <w:t xml:space="preserve"> </w:t>
      </w:r>
      <w:hyperlink w:anchor="eq-distance-based-accessibility">
        <w:r>
          <w:rPr>
            <w:rStyle w:val="Hyperlink"/>
          </w:rPr>
          <w:t xml:space="preserve">Equation 9</w:t>
        </w:r>
      </w:hyperlink>
      <w:r>
        <w:t xml:space="preserve">:</w:t>
      </w:r>
    </w:p>
    <w:p>
      <w:pPr>
        <w:pStyle w:val="BodyText"/>
      </w:pPr>
      <w:bookmarkStart w:id="32" w:name="eq-distance-based-accessibility"/>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r>
            <m:t>  </m:t>
          </m:r>
          <m:d>
            <m:dPr>
              <m:begChr m:val="("/>
              <m:endChr m:val=")"/>
              <m:sepChr m:val=""/>
              <m:grow/>
            </m:dPr>
            <m:e>
              <m:r>
                <m:t>9</m:t>
              </m:r>
            </m:e>
          </m:d>
        </m:oMath>
      </m:oMathPara>
      <w:bookmarkEnd w:id="32"/>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w:bookmarkStart w:id="33" w:name="eq-distance-based-measure"/>
      <m:oMathPara>
        <m:oMathParaPr>
          <m:jc m:val="center"/>
        </m:oMathParaPr>
        <m:oMath>
          <m:sSubSup>
            <m:e>
              <m:r>
                <m:t>P</m:t>
              </m:r>
            </m:e>
            <m:sub>
              <m:r>
                <m:t>j</m:t>
              </m:r>
            </m:sub>
            <m:sup>
              <m:r>
                <m:t>i</m:t>
              </m:r>
              <m:r>
                <m:t>p</m:t>
              </m:r>
            </m:sup>
          </m:sSubSup>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d</m:t>
                        </m:r>
                      </m:e>
                      <m:sub>
                        <m:r>
                          <m:t>i</m:t>
                        </m:r>
                        <m:r>
                          <m:t>j</m:t>
                        </m:r>
                      </m:sub>
                    </m:sSub>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e>
                </m:mr>
                <m:mr>
                  <m:e>
                    <m:r>
                      <m:t>0</m:t>
                    </m:r>
                  </m:e>
                  <m:e>
                    <m:r>
                      <m:rPr>
                        <m:nor/>
                        <m:sty m:val="p"/>
                      </m:rPr>
                      <m:t>otherwise</m:t>
                    </m:r>
                  </m:e>
                </m:mr>
              </m:m>
            </m:e>
          </m:d>
          <m:r>
            <m:t>  </m:t>
          </m:r>
          <m:d>
            <m:dPr>
              <m:begChr m:val="("/>
              <m:endChr m:val=")"/>
              <m:sepChr m:val=""/>
              <m:grow/>
            </m:dPr>
            <m:e>
              <m:r>
                <m:t>10</m:t>
              </m:r>
            </m:e>
          </m:d>
        </m:oMath>
      </m:oMathPara>
      <w:bookmarkEnd w:id="33"/>
    </w:p>
    <w:p>
      <w:pPr>
        <w:pStyle w:val="FirstParagraph"/>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34"/>
    <w:bookmarkStart w:id="3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35"/>
    <w:bookmarkStart w:id="38"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w:bookmarkStart w:id="36" w:name="eq-utility-based-measure"/>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r>
            <m:t>  </m:t>
          </m:r>
          <m:d>
            <m:dPr>
              <m:begChr m:val="("/>
              <m:endChr m:val=")"/>
              <m:sepChr m:val=""/>
              <m:grow/>
            </m:dPr>
            <m:e>
              <m:r>
                <m:t>11</m:t>
              </m:r>
            </m:e>
          </m:d>
        </m:oMath>
      </m:oMathPara>
      <w:bookmarkEnd w:id="36"/>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r>
        <w:t xml:space="preserve"> </w:t>
      </w:r>
      <w:hyperlink w:anchor="eq-maximum-utility">
        <w:r>
          <w:rPr>
            <w:rStyle w:val="Hyperlink"/>
          </w:rPr>
          <w:t xml:space="preserve">Equation 12</w:t>
        </w:r>
      </w:hyperlink>
      <w:r>
        <w:t xml:space="preserve">:</w:t>
      </w:r>
    </w:p>
    <w:p>
      <w:pPr>
        <w:pStyle w:val="FirstParagraph"/>
      </w:pPr>
      <w:bookmarkStart w:id="37" w:name="eq-maximum-utility"/>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r>
            <m:t>  </m:t>
          </m:r>
          <m:d>
            <m:dPr>
              <m:begChr m:val="("/>
              <m:endChr m:val=")"/>
              <m:sepChr m:val=""/>
              <m:grow/>
            </m:dPr>
            <m:e>
              <m:r>
                <m:t>12</m:t>
              </m:r>
            </m:e>
          </m:d>
        </m:oMath>
      </m:oMathPara>
      <w:bookmarkEnd w:id="37"/>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bSup>
            <m:e>
              <m:r>
                <m:t>A</m:t>
              </m:r>
            </m:e>
            <m:sub>
              <m:r>
                <m:t>i</m:t>
              </m:r>
            </m:sub>
            <m:sup>
              <m:r>
                <m:t>p</m:t>
              </m:r>
            </m:sup>
          </m:sSubSup>
          <m:r>
            <m:rPr>
              <m:sty m:val="p"/>
            </m:rPr>
            <m:t>=</m:t>
          </m:r>
          <m:r>
            <m:rPr>
              <m:sty m:val="p"/>
            </m:rPr>
            <m:t>ln</m:t>
          </m:r>
          <m:d>
            <m:dPr>
              <m:begChr m:val="("/>
              <m:endChr m:val=")"/>
              <m:sepChr m:val=""/>
              <m:grow/>
            </m:dPr>
            <m:e>
              <m:nary>
                <m:naryPr>
                  <m:chr m:val="∑"/>
                  <m:limLoc m:val="undOvr"/>
                  <m:subHide m:val="0"/>
                  <m:supHide m:val="1"/>
                </m:naryPr>
                <m:sub>
                  <m:r>
                    <m:t>j</m:t>
                  </m:r>
                  <m:r>
                    <m:t>ϵ</m:t>
                  </m:r>
                  <m:sSup>
                    <m:e>
                      <m:r>
                        <m:t>L</m:t>
                      </m:r>
                    </m:e>
                    <m:sup>
                      <m:r>
                        <m:t>i</m:t>
                      </m:r>
                      <m:r>
                        <m:t>p</m:t>
                      </m:r>
                    </m:sup>
                  </m:sSup>
                </m:sub>
                <m:sup>
                  <m:r>
                    <m:t>​</m:t>
                  </m:r>
                </m:sup>
                <m:e>
                  <m:sSup>
                    <m:e>
                      <m:r>
                        <m:t>e</m:t>
                      </m:r>
                    </m:e>
                    <m:sup>
                      <m:r>
                        <m:t>β</m:t>
                      </m:r>
                      <m:sSub>
                        <m:e>
                          <m:r>
                            <m:t>z</m:t>
                          </m:r>
                        </m:e>
                        <m:sub>
                          <m:r>
                            <m:t>j</m:t>
                          </m:r>
                        </m:sub>
                      </m:sSub>
                    </m:sup>
                  </m:sSup>
                </m:e>
              </m:nary>
            </m:e>
          </m:d>
        </m:oMath>
      </m:oMathPara>
    </w:p>
    <w:p>
      <w:pPr>
        <w:pStyle w:val="FirstParagraph"/>
      </w:pPr>
      <w:r>
        <w:t xml:space="preserve">{eq-accessibility-maximum-utility}</w:t>
      </w:r>
    </w:p>
    <w:p>
      <w:pPr>
        <w:pStyle w:val="BodyText"/>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38"/>
    <w:bookmarkStart w:id="39"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9"/>
    <w:bookmarkStart w:id="40"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40"/>
    <w:bookmarkEnd w:id="41"/>
    <w:bookmarkStart w:id="42"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42"/>
    <w:bookmarkStart w:id="52"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hyperlink r:id="rId43">
              <w:r>
                <w:rPr>
                  <w:rStyle w:val="Hyperlink"/>
                </w:rPr>
                <w:t xml:space="preserve">General social survey (GSS)</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44">
              <w:r>
                <w:rPr>
                  <w:rStyle w:val="Hyperlink"/>
                </w:rPr>
                <w:t xml:space="preserve">Transportation Tomorrow Survey (TTS) of Toronto</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45">
              <w:r>
                <w:rPr>
                  <w:rStyle w:val="Hyperlink"/>
                </w:rPr>
                <w:t xml:space="preserve">Autorité régionale de transport métropolitain (ARTM) survey of Montreal</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46">
              <w:r>
                <w:rPr>
                  <w:rStyle w:val="Hyperlink"/>
                </w:rPr>
                <w:t xml:space="preserve">The Linkable Open Data Environment (LODE)</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47">
              <w:r>
                <w:rPr>
                  <w:rStyle w:val="Hyperlink"/>
                </w:rPr>
                <w:t xml:space="preserve">Can-BICS</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hyperlink r:id="rId48">
              <w:r>
                <w:rPr>
                  <w:rStyle w:val="Hyperlink"/>
                </w:rPr>
                <w:t xml:space="preserve">open street map</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hyperlink r:id="rId49">
              <w:r>
                <w:rPr>
                  <w:rStyle w:val="Hyperlink"/>
                </w:rPr>
                <w:t xml:space="preserve">Toronto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50">
              <w:r>
                <w:rPr>
                  <w:rStyle w:val="Hyperlink"/>
                </w:rPr>
                <w:t xml:space="preserve">Vancouver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51">
              <w:r>
                <w:rPr>
                  <w:rStyle w:val="Hyperlink"/>
                </w:rPr>
                <w:t xml:space="preserve">Montreal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52"/>
    <w:bookmarkStart w:id="59"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54" name="Picture"/>
                  <a:graphic>
                    <a:graphicData uri="http://schemas.openxmlformats.org/drawingml/2006/picture">
                      <pic:pic>
                        <pic:nvPicPr>
                          <pic:cNvPr descr="images/Fig.1.jpg" id="55" name="Picture"/>
                          <pic:cNvPicPr>
                            <a:picLocks noChangeArrowheads="1" noChangeAspect="1"/>
                          </pic:cNvPicPr>
                        </pic:nvPicPr>
                        <pic:blipFill>
                          <a:blip r:embed="rId53"/>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57" name="Picture"/>
                  <a:graphic>
                    <a:graphicData uri="http://schemas.openxmlformats.org/drawingml/2006/picture">
                      <pic:pic>
                        <pic:nvPicPr>
                          <pic:cNvPr descr="images/Fig.2.jpg" id="58" name="Picture"/>
                          <pic:cNvPicPr>
                            <a:picLocks noChangeArrowheads="1" noChangeAspect="1"/>
                          </pic:cNvPicPr>
                        </pic:nvPicPr>
                        <pic:blipFill>
                          <a:blip r:embed="rId56"/>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59"/>
    <w:bookmarkStart w:id="60"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60"/>
    <w:bookmarkStart w:id="64" w:name="discusion"/>
    <w:p>
      <w:pPr>
        <w:pStyle w:val="Heading2"/>
      </w:pPr>
      <w:r>
        <w:t xml:space="preserve">Discusion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62" name="Picture"/>
                  <a:graphic>
                    <a:graphicData uri="http://schemas.openxmlformats.org/drawingml/2006/picture">
                      <pic:pic>
                        <pic:nvPicPr>
                          <pic:cNvPr descr="images/Drawing.png" id="63" name="Picture"/>
                          <pic:cNvPicPr>
                            <a:picLocks noChangeArrowheads="1" noChangeAspect="1"/>
                          </pic:cNvPicPr>
                        </pic:nvPicPr>
                        <pic:blipFill>
                          <a:blip r:embed="rId61"/>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64"/>
    <w:bookmarkStart w:id="252" w:name="references"/>
    <w:p>
      <w:pPr>
        <w:pStyle w:val="Heading2"/>
      </w:pPr>
      <w:r>
        <w:t xml:space="preserve">References</w:t>
      </w:r>
    </w:p>
    <w:bookmarkStart w:id="251" w:name="refs"/>
    <w:bookmarkStart w:id="65"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65"/>
    <w:bookmarkStart w:id="66"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66"/>
    <w:bookmarkStart w:id="67"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67"/>
    <w:bookmarkStart w:id="68"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68"/>
    <w:bookmarkStart w:id="69"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69"/>
    <w:bookmarkStart w:id="70"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70"/>
    <w:bookmarkStart w:id="71"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71"/>
    <w:bookmarkStart w:id="72"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72"/>
    <w:bookmarkStart w:id="73"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73"/>
    <w:bookmarkStart w:id="74"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74"/>
    <w:bookmarkStart w:id="75"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75"/>
    <w:bookmarkStart w:id="76"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76"/>
    <w:bookmarkStart w:id="77"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77"/>
    <w:bookmarkStart w:id="78"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78"/>
    <w:bookmarkStart w:id="79"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79"/>
    <w:bookmarkStart w:id="80"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80"/>
    <w:bookmarkStart w:id="81"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81"/>
    <w:bookmarkStart w:id="82"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82"/>
    <w:bookmarkStart w:id="83"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83"/>
    <w:bookmarkStart w:id="84"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84"/>
    <w:bookmarkStart w:id="85"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85"/>
    <w:bookmarkStart w:id="86"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86"/>
    <w:bookmarkStart w:id="87"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87"/>
    <w:bookmarkStart w:id="88"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88"/>
    <w:bookmarkStart w:id="89"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89"/>
    <w:bookmarkStart w:id="90"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90"/>
    <w:bookmarkStart w:id="91"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91"/>
    <w:bookmarkStart w:id="92"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92"/>
    <w:bookmarkStart w:id="93"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93"/>
    <w:bookmarkStart w:id="94"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94"/>
    <w:bookmarkStart w:id="95"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95"/>
    <w:bookmarkStart w:id="96"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96"/>
    <w:bookmarkStart w:id="97"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97"/>
    <w:bookmarkStart w:id="98"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98"/>
    <w:bookmarkStart w:id="99"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99"/>
    <w:bookmarkStart w:id="100"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100"/>
    <w:bookmarkStart w:id="101"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101"/>
    <w:bookmarkStart w:id="102"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102"/>
    <w:bookmarkStart w:id="103"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103"/>
    <w:bookmarkStart w:id="104"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104"/>
    <w:bookmarkStart w:id="105"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105"/>
    <w:bookmarkStart w:id="106"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106"/>
    <w:bookmarkStart w:id="107"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107"/>
    <w:bookmarkStart w:id="108"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108"/>
    <w:bookmarkStart w:id="109"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109"/>
    <w:bookmarkStart w:id="110"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110"/>
    <w:bookmarkStart w:id="111"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111"/>
    <w:bookmarkStart w:id="112"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112"/>
    <w:bookmarkStart w:id="113"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113"/>
    <w:bookmarkStart w:id="114"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114"/>
    <w:bookmarkStart w:id="115"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115"/>
    <w:bookmarkStart w:id="116"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116"/>
    <w:bookmarkStart w:id="117"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117"/>
    <w:bookmarkStart w:id="118"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118"/>
    <w:bookmarkStart w:id="119"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119"/>
    <w:bookmarkStart w:id="120"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120"/>
    <w:bookmarkStart w:id="121"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21"/>
    <w:bookmarkStart w:id="122"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22"/>
    <w:bookmarkStart w:id="123"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23"/>
    <w:bookmarkStart w:id="124"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24"/>
    <w:bookmarkStart w:id="125"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25"/>
    <w:bookmarkStart w:id="126"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26"/>
    <w:bookmarkStart w:id="127"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27"/>
    <w:bookmarkStart w:id="128"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28"/>
    <w:bookmarkStart w:id="129"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29"/>
    <w:bookmarkStart w:id="130"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30"/>
    <w:bookmarkStart w:id="131"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31"/>
    <w:bookmarkStart w:id="132"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32"/>
    <w:bookmarkStart w:id="133"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33"/>
    <w:bookmarkStart w:id="134"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34"/>
    <w:bookmarkStart w:id="135"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35"/>
    <w:bookmarkStart w:id="136"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36"/>
    <w:bookmarkStart w:id="137"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37"/>
    <w:bookmarkStart w:id="138"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38"/>
    <w:bookmarkStart w:id="139"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39"/>
    <w:bookmarkStart w:id="140"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40"/>
    <w:bookmarkStart w:id="141"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41"/>
    <w:bookmarkStart w:id="142"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42"/>
    <w:bookmarkStart w:id="143"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43"/>
    <w:bookmarkStart w:id="144"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44"/>
    <w:bookmarkStart w:id="145"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45"/>
    <w:bookmarkStart w:id="146"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46"/>
    <w:bookmarkStart w:id="147"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47"/>
    <w:bookmarkStart w:id="148"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48"/>
    <w:bookmarkStart w:id="149"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49"/>
    <w:bookmarkStart w:id="150"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50"/>
    <w:bookmarkStart w:id="151"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51"/>
    <w:bookmarkStart w:id="152"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52"/>
    <w:bookmarkStart w:id="153"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53"/>
    <w:bookmarkStart w:id="154"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54"/>
    <w:bookmarkStart w:id="155"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55"/>
    <w:bookmarkStart w:id="156" w:name="ref-lee1998application"/>
    <w:p>
      <w:pPr>
        <w:pStyle w:val="Bibliography"/>
      </w:pPr>
      <w:r>
        <w:t xml:space="preserve">Lee, Ming S, and Michael G McNally. 1998.</w:t>
      </w:r>
      <w:r>
        <w:t xml:space="preserve"> </w:t>
      </w:r>
      <w:r>
        <w:t xml:space="preserve">“Application of Space-Time Prisms for the Measurement of Accessibility.”</w:t>
      </w:r>
    </w:p>
    <w:bookmarkEnd w:id="156"/>
    <w:bookmarkStart w:id="157"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57"/>
    <w:bookmarkStart w:id="158"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58"/>
    <w:bookmarkStart w:id="159"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59"/>
    <w:bookmarkStart w:id="160"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60"/>
    <w:bookmarkStart w:id="161"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61"/>
    <w:bookmarkStart w:id="162"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62"/>
    <w:bookmarkStart w:id="163"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63"/>
    <w:bookmarkStart w:id="164"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64"/>
    <w:bookmarkStart w:id="165"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65"/>
    <w:bookmarkStart w:id="166"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66"/>
    <w:bookmarkStart w:id="167"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67"/>
    <w:bookmarkStart w:id="168"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68"/>
    <w:bookmarkStart w:id="169"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69"/>
    <w:bookmarkStart w:id="170"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70"/>
    <w:bookmarkStart w:id="171"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71"/>
    <w:bookmarkStart w:id="172"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72"/>
    <w:bookmarkStart w:id="173"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73"/>
    <w:bookmarkStart w:id="174"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74"/>
    <w:bookmarkStart w:id="175"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75"/>
    <w:bookmarkStart w:id="176"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76"/>
    <w:bookmarkStart w:id="177"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77"/>
    <w:bookmarkStart w:id="178"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78"/>
    <w:bookmarkStart w:id="179"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79"/>
    <w:bookmarkStart w:id="180"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80"/>
    <w:bookmarkStart w:id="181"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81"/>
    <w:bookmarkStart w:id="182"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82"/>
    <w:bookmarkStart w:id="183"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83"/>
    <w:bookmarkStart w:id="184"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84"/>
    <w:bookmarkStart w:id="185"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85"/>
    <w:bookmarkStart w:id="186"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86"/>
    <w:bookmarkStart w:id="187" w:name="ref-o2003aggregate"/>
    <w:p>
      <w:pPr>
        <w:pStyle w:val="Bibliography"/>
      </w:pPr>
      <w:r>
        <w:t xml:space="preserve">O’Kelly, Morton E, and Mark W Horner. 2003.</w:t>
      </w:r>
      <w:r>
        <w:t xml:space="preserve"> </w:t>
      </w:r>
      <w:r>
        <w:t xml:space="preserve">“Aggregate Accessibility to Population at the County Level: US 1940-2000.”</w:t>
      </w:r>
      <w:r>
        <w:t xml:space="preserve"> </w:t>
      </w:r>
      <w:r>
        <w:rPr>
          <w:iCs/>
          <w:i/>
        </w:rPr>
        <w:t xml:space="preserve">Journal of Geographical Systems</w:t>
      </w:r>
      <w:r>
        <w:t xml:space="preserve"> </w:t>
      </w:r>
      <w:r>
        <w:t xml:space="preserve">5 (1): 5.</w:t>
      </w:r>
    </w:p>
    <w:bookmarkEnd w:id="187"/>
    <w:bookmarkStart w:id="188"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88"/>
    <w:bookmarkStart w:id="189"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89"/>
    <w:bookmarkStart w:id="190"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90"/>
    <w:bookmarkStart w:id="191"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91"/>
    <w:bookmarkStart w:id="192"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92"/>
    <w:bookmarkStart w:id="193"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93"/>
    <w:bookmarkStart w:id="194"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94"/>
    <w:bookmarkStart w:id="195"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95"/>
    <w:bookmarkStart w:id="196"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96"/>
    <w:bookmarkStart w:id="197"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97"/>
    <w:bookmarkStart w:id="198"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98"/>
    <w:bookmarkStart w:id="199"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99"/>
    <w:bookmarkStart w:id="200"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200"/>
    <w:bookmarkStart w:id="201"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201"/>
    <w:bookmarkStart w:id="202"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202"/>
    <w:bookmarkStart w:id="203"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203"/>
    <w:bookmarkStart w:id="204"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204"/>
    <w:bookmarkStart w:id="205"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205"/>
    <w:bookmarkStart w:id="206"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206"/>
    <w:bookmarkStart w:id="207"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207"/>
    <w:bookmarkStart w:id="208"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208"/>
    <w:bookmarkStart w:id="209"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209"/>
    <w:bookmarkStart w:id="210"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210"/>
    <w:bookmarkStart w:id="211"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211"/>
    <w:bookmarkStart w:id="212"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212"/>
    <w:bookmarkStart w:id="213"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213"/>
    <w:bookmarkStart w:id="214"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214"/>
    <w:bookmarkStart w:id="215"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215"/>
    <w:bookmarkStart w:id="216"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216"/>
    <w:bookmarkStart w:id="217"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217"/>
    <w:bookmarkStart w:id="218"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218"/>
    <w:bookmarkStart w:id="219"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219"/>
    <w:bookmarkStart w:id="220"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220"/>
    <w:bookmarkStart w:id="221"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221"/>
    <w:bookmarkStart w:id="222"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22"/>
    <w:bookmarkStart w:id="223"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23"/>
    <w:bookmarkStart w:id="224"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24"/>
    <w:bookmarkStart w:id="225"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25"/>
    <w:bookmarkStart w:id="226"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26"/>
    <w:bookmarkStart w:id="227"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27"/>
    <w:bookmarkStart w:id="228"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28"/>
    <w:bookmarkStart w:id="229"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29"/>
    <w:bookmarkStart w:id="230"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30"/>
    <w:bookmarkStart w:id="231"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31"/>
    <w:bookmarkStart w:id="232"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32"/>
    <w:bookmarkStart w:id="233"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33"/>
    <w:bookmarkStart w:id="234"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34"/>
    <w:bookmarkStart w:id="235"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35"/>
    <w:bookmarkStart w:id="236"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36"/>
    <w:bookmarkStart w:id="237"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37"/>
    <w:bookmarkStart w:id="238"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38"/>
    <w:bookmarkStart w:id="239"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39"/>
    <w:bookmarkStart w:id="240"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40"/>
    <w:bookmarkStart w:id="241"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41"/>
    <w:bookmarkStart w:id="242"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42"/>
    <w:bookmarkStart w:id="243"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43"/>
    <w:bookmarkStart w:id="244"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44"/>
    <w:bookmarkStart w:id="245"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45"/>
    <w:bookmarkStart w:id="246"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46"/>
    <w:bookmarkStart w:id="247"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47"/>
    <w:bookmarkStart w:id="248"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48"/>
    <w:bookmarkStart w:id="249"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49"/>
    <w:bookmarkStart w:id="250"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50"/>
    <w:bookmarkEnd w:id="251"/>
    <w:bookmarkEnd w:id="252"/>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hyperlink" Id="rId43" Target="" TargetMode="External" /><Relationship Type="http://schemas.openxmlformats.org/officeDocument/2006/relationships/hyperlink" Id="rId44" Target="http://dmg.utoronto.ca/transportation-tomorrow-survey/tts-introduction" TargetMode="External" /><Relationship Type="http://schemas.openxmlformats.org/officeDocument/2006/relationships/hyperlink" Id="rId45" Target="https://donnees.artm.quebec/depots" TargetMode="External" /><Relationship Type="http://schemas.openxmlformats.org/officeDocument/2006/relationships/hyperlink" Id="rId51" Target="https://montreal.ca/en/articles/open-data-window-municipal-arena-32256" TargetMode="External" /><Relationship Type="http://schemas.openxmlformats.org/officeDocument/2006/relationships/hyperlink" Id="rId49" Target="https://open.toronto.ca/catalogue/" TargetMode="External" /><Relationship Type="http://schemas.openxmlformats.org/officeDocument/2006/relationships/hyperlink" Id="rId50" Target="https://vancouver.ca/streets-transportation/walk-bike-and-transit.aspx" TargetMode="External" /><Relationship Type="http://schemas.openxmlformats.org/officeDocument/2006/relationships/hyperlink" Id="rId47" Target="https://www.arcgis.com/home/item.html?id=6a15224d9ea347c9898c112f974c47a2" TargetMode="External" /><Relationship Type="http://schemas.openxmlformats.org/officeDocument/2006/relationships/hyperlink" Id="rId48" Target="https://www.openstreetmap.org/#map=3/71.34/-96.82" TargetMode="External" /><Relationship Type="http://schemas.openxmlformats.org/officeDocument/2006/relationships/hyperlink" Id="rId46" Target="https://www.statcan.gc.ca/en/lode/databases"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4" Target="http://dmg.utoronto.ca/transportation-tomorrow-survey/tts-introduction" TargetMode="External" /><Relationship Type="http://schemas.openxmlformats.org/officeDocument/2006/relationships/hyperlink" Id="rId45" Target="https://donnees.artm.quebec/depots" TargetMode="External" /><Relationship Type="http://schemas.openxmlformats.org/officeDocument/2006/relationships/hyperlink" Id="rId51" Target="https://montreal.ca/en/articles/open-data-window-municipal-arena-32256" TargetMode="External" /><Relationship Type="http://schemas.openxmlformats.org/officeDocument/2006/relationships/hyperlink" Id="rId49" Target="https://open.toronto.ca/catalogue/" TargetMode="External" /><Relationship Type="http://schemas.openxmlformats.org/officeDocument/2006/relationships/hyperlink" Id="rId50" Target="https://vancouver.ca/streets-transportation/walk-bike-and-transit.aspx" TargetMode="External" /><Relationship Type="http://schemas.openxmlformats.org/officeDocument/2006/relationships/hyperlink" Id="rId47" Target="https://www.arcgis.com/home/item.html?id=6a15224d9ea347c9898c112f974c47a2" TargetMode="External" /><Relationship Type="http://schemas.openxmlformats.org/officeDocument/2006/relationships/hyperlink" Id="rId48" Target="https://www.openstreetmap.org/#map=3/71.34/-96.82" TargetMode="External" /><Relationship Type="http://schemas.openxmlformats.org/officeDocument/2006/relationships/hyperlink" Id="rId46" Target="https://www.statcan.gc.ca/en/lode/datab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2023-04-12T13:46:20Z</dcterms:created>
  <dcterms:modified xsi:type="dcterms:W3CDTF">2023-04-12T13:46:20Z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