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incresingly pressing. The distinguishing features of these modes – lower speeds, shorter trips, potentially different purposes compared to motorized trips –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2" w:name="introduction"/>
    <w:p>
      <w:pPr>
        <w:pStyle w:val="Heading2"/>
      </w:pPr>
      <w:r>
        <w:t xml:space="preserve">Introduction</w:t>
      </w:r>
    </w:p>
    <w:p>
      <w:pPr>
        <w:pStyle w:val="FirstParagraph"/>
      </w:pPr>
      <w:r>
        <w:t xml:space="preserve">Active travel is a key component of efforts in urban areas as they try to achieve more robust and healthy urban transportation polycultures</w:t>
      </w:r>
      <w:r>
        <w:t xml:space="preserve"> </w:t>
      </w:r>
      <w:r>
        <w:t xml:space="preserve">(Lavery, Páez, and Kanaroglou 2013; Millera 2011; Lira and Paez 2021)</w:t>
      </w:r>
      <w:r>
        <w:t xml:space="preserve">. Cycling and walking are effective modes for short- and mid-range travel in urban areas that have, over a period of decades, grown to accommodate travel by automobile</w:t>
      </w:r>
      <w:r>
        <w:t xml:space="preserve"> </w:t>
      </w:r>
      <w:r>
        <w:t xml:space="preserve">(Brown, Morris, and Taylor 2009; Wiersma et al. 2020)</w:t>
      </w:r>
      <w:r>
        <w:t xml:space="preserve"> </w:t>
      </w:r>
      <w:r>
        <w:t xml:space="preserve">while treating other modes almost as afterthoughts</w:t>
      </w:r>
      <w:r>
        <w:t xml:space="preserve"> </w:t>
      </w:r>
      <w:r>
        <w:t xml:space="preserve">(Brezina, Leth, and Lemmerer 2020; Koglin 2020; Ruffino and Jarre 2021)</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 and even becoming aware –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Compared to motorized travel, active travel tends to be slower, happens at smaller scales, is used to reach potentially different destinations, and involves costs, such as physical effort, that are usually are ignored in the analysis of motorized travel.</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p>
      <w:pPr>
        <w:pStyle w:val="BodyText"/>
      </w:pPr>
      <m:oMathPara>
        <m:oMathParaPr>
          <m:jc m:val="center"/>
        </m:oMathParaPr>
        <m:oMath>
          <m:sSub>
            <m:e>
              <m:r>
                <m:t>A</m:t>
              </m:r>
            </m:e>
            <m:sub>
              <m:r>
                <m:t>i</m:t>
              </m:r>
            </m:sub>
          </m:sSub>
          <m:r>
            <m:rPr>
              <m:sty m:val="p"/>
            </m:rPr>
            <m:t>=</m:t>
          </m:r>
          <m:nary>
            <m:naryPr>
              <m:chr m:val="∑"/>
              <m:limLoc m:val="undOvr"/>
              <m:subHide m:val="0"/>
              <m:supHide m:val="0"/>
            </m:naryPr>
            <m:sub>
              <m:r>
                <m:t>j</m:t>
              </m:r>
            </m:sub>
            <m:sup>
              <m:r>
                <m:t>n</m:t>
              </m:r>
            </m:sup>
            <m:e>
              <m:sSub>
                <m:e>
                  <m:r>
                    <m:t>O</m:t>
                  </m:r>
                </m:e>
                <m:sub>
                  <m:r>
                    <m:t>j</m:t>
                  </m:r>
                </m:sub>
              </m:sSub>
            </m:e>
          </m:nary>
        </m:oMath>
      </m:oMathPara>
    </w:p>
    <w:bookmarkStart w:id="21" w:name="tbl-example"/>
    <w:p>
      <w:pPr>
        <w:pStyle w:val="TableCaption"/>
      </w:pPr>
      <w:r>
        <w:t xml:space="preserve">Table 1: Demonstration of pipe table sytnax</w:t>
      </w:r>
    </w:p>
    <w:tbl>
      <w:tblPr>
        <w:tblStyle w:val="Table"/>
        <w:tblW w:type="auto" w:w="0"/>
        <w:tblLook w:firstRow="1" w:lastRow="0" w:firstColumn="0" w:lastColumn="0" w:noHBand="0" w:noVBand="0" w:val="0020"/>
        <w:tblCaption w:val="Table 1: Demonstration of pipe table sytnax"/>
      </w:tblPr>
      <w:tblGrid>
        <w:gridCol w:w="1980"/>
        <w:gridCol w:w="1980"/>
        <w:gridCol w:w="1980"/>
        <w:gridCol w:w="1980"/>
      </w:tblGrid>
      <w:tr>
        <w:trPr>
          <w:tblHeader w:val="true"/>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21"/>
    <w:p>
      <w:pPr>
        <w:pStyle w:val="BodyText"/>
      </w:pPr>
      <w:r>
        <w:t xml:space="preserve">As seen in</w:t>
      </w:r>
      <w:r>
        <w:t xml:space="preserve"> </w:t>
      </w:r>
      <w:hyperlink w:anchor="tbl-example">
        <w:r>
          <w:rPr>
            <w:rStyle w:val="Hyperlink"/>
          </w:rPr>
          <w:t xml:space="preserve">Table 1</w:t>
        </w:r>
      </w:hyperlink>
      <w:r>
        <w:t xml:space="preserve">, we can easily do tables in Quarto documents.</w:t>
      </w:r>
    </w:p>
    <w:bookmarkEnd w:id="22"/>
    <w:bookmarkStart w:id="51" w:name="references"/>
    <w:p>
      <w:pPr>
        <w:pStyle w:val="Heading2"/>
      </w:pPr>
      <w:r>
        <w:t xml:space="preserve">References</w:t>
      </w:r>
    </w:p>
    <w:bookmarkStart w:id="50" w:name="refs"/>
    <w:bookmarkStart w:id="23"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23"/>
    <w:bookmarkStart w:id="24"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24"/>
    <w:bookmarkStart w:id="25"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25"/>
    <w:bookmarkStart w:id="26" w:name="ref-brown2009"/>
    <w:p>
      <w:pPr>
        <w:pStyle w:val="Bibliography"/>
      </w:pPr>
      <w:r>
        <w:t xml:space="preserve">Brown, Jeffrey R, Eric A Morris, and Brian D Taylor. 2009.</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26"/>
    <w:bookmarkStart w:id="27"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27"/>
    <w:bookmarkStart w:id="28"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28"/>
    <w:bookmarkStart w:id="29"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29"/>
    <w:bookmarkStart w:id="30"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30"/>
    <w:bookmarkStart w:id="31"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31"/>
    <w:bookmarkStart w:id="32"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32"/>
    <w:bookmarkStart w:id="33"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33"/>
    <w:bookmarkStart w:id="34" w:name="ref-lavery2013"/>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34"/>
    <w:bookmarkStart w:id="35"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35"/>
    <w:bookmarkStart w:id="36"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36"/>
    <w:bookmarkStart w:id="37"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37"/>
    <w:bookmarkStart w:id="38"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38"/>
    <w:bookmarkStart w:id="39"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39"/>
    <w:bookmarkStart w:id="40"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40"/>
    <w:bookmarkStart w:id="41"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41"/>
    <w:bookmarkStart w:id="42"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42"/>
    <w:bookmarkStart w:id="43"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43"/>
    <w:bookmarkStart w:id="44"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44"/>
    <w:bookmarkStart w:id="45"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45"/>
    <w:bookmarkStart w:id="46"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46"/>
    <w:bookmarkStart w:id="47"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47"/>
    <w:bookmarkStart w:id="48"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48"/>
    <w:bookmarkStart w:id="49"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2022-09-28T15:56:10Z</dcterms:created>
  <dcterms:modified xsi:type="dcterms:W3CDTF">2022-09-28T15:56:10Z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