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ind w:start="142" w:end="41"/>
        <w:jc w:val="center"/>
        <w:textAlignment w:val="auto"/>
        <w:rPr>
          <w:rFonts w:ascii="Times New Roman" w:hAnsi="Times New Roman" w:eastAsia="Tahoma" w:cs="Times New Roman"/>
          <w:sz w:val="28"/>
          <w:szCs w:val="28"/>
          <w:lang w:eastAsia="en-US" w:bidi="ar-SA"/>
        </w:rPr>
      </w:pPr>
      <w:r>
        <w:rPr>
          <w:rFonts w:eastAsia="Times New Roman" w:cs="Times New Roman" w:ascii="Times New Roman" w:hAnsi="Times New Roman"/>
          <w:b/>
          <w:color w:val="000000"/>
          <w:sz w:val="28"/>
          <w:szCs w:val="28"/>
          <w:lang w:eastAsia="ru-RU" w:bidi="ar-SA"/>
        </w:rPr>
        <w:t>МИНИСТЕРСТВО ТРАНСПОРТА РОССИЙСКОЙ ФЕДЕРАЦИИ</w:t>
      </w:r>
    </w:p>
    <w:p>
      <w:pPr>
        <w:pStyle w:val="Normal"/>
        <w:spacing w:before="120" w:after="120"/>
        <w:ind w:start="142" w:end="41"/>
        <w:jc w:val="center"/>
        <w:textAlignment w:val="auto"/>
        <w:rPr>
          <w:rFonts w:ascii="Times New Roman" w:hAnsi="Times New Roman" w:eastAsia="Tahoma" w:cs="Times New Roman"/>
          <w:sz w:val="28"/>
          <w:szCs w:val="28"/>
          <w:lang w:eastAsia="en-US" w:bidi="ar-SA"/>
        </w:rPr>
      </w:pPr>
      <w:r>
        <w:rPr>
          <w:rFonts w:eastAsia="Calibri" w:cs="Times New Roman" w:ascii="Times New Roman" w:hAnsi="Times New Roman"/>
          <w:b/>
          <w:sz w:val="28"/>
          <w:szCs w:val="28"/>
          <w:lang w:eastAsia="en-US" w:bidi="ar-SA"/>
        </w:rPr>
        <w:t>ФЕДЕРАЛЬНОЕ ГОСУДАРСТВЕННОЕ АВТОНОМНОЕ</w:t>
      </w:r>
    </w:p>
    <w:p>
      <w:pPr>
        <w:pStyle w:val="Normal"/>
        <w:spacing w:before="120" w:after="120"/>
        <w:ind w:start="142" w:end="41"/>
        <w:jc w:val="center"/>
        <w:textAlignment w:val="auto"/>
        <w:rPr>
          <w:rFonts w:ascii="Times New Roman" w:hAnsi="Times New Roman" w:eastAsia="Tahoma" w:cs="Times New Roman"/>
          <w:sz w:val="28"/>
          <w:szCs w:val="28"/>
          <w:lang w:eastAsia="en-US" w:bidi="ar-SA"/>
        </w:rPr>
      </w:pPr>
      <w:r>
        <w:rPr>
          <w:rFonts w:eastAsia="Calibri" w:cs="Times New Roman" w:ascii="Times New Roman" w:hAnsi="Times New Roman"/>
          <w:b/>
          <w:sz w:val="28"/>
          <w:szCs w:val="28"/>
          <w:lang w:eastAsia="en-US" w:bidi="ar-SA"/>
        </w:rPr>
        <w:t>ОБРАЗОВАТЕЛЬНОЕ УЧРЕЖДЕНИЕ ВЫСШЕГО ОБРАЗОВАНИЯ</w:t>
      </w:r>
    </w:p>
    <w:p>
      <w:pPr>
        <w:pStyle w:val="Normal"/>
        <w:spacing w:before="120" w:after="120"/>
        <w:ind w:start="142" w:end="41"/>
        <w:jc w:val="center"/>
        <w:textAlignment w:val="auto"/>
        <w:rPr>
          <w:rFonts w:ascii="Times New Roman" w:hAnsi="Times New Roman" w:eastAsia="Tahoma" w:cs="Times New Roman"/>
          <w:sz w:val="28"/>
          <w:szCs w:val="28"/>
          <w:lang w:eastAsia="en-US" w:bidi="ar-SA"/>
        </w:rPr>
      </w:pPr>
      <w:r>
        <w:rPr>
          <w:rFonts w:eastAsia="Calibri" w:cs="Times New Roman" w:ascii="Times New Roman" w:hAnsi="Times New Roman"/>
          <w:b/>
          <w:sz w:val="28"/>
          <w:szCs w:val="28"/>
          <w:lang w:eastAsia="en-US" w:bidi="ar-SA"/>
        </w:rPr>
        <w:t xml:space="preserve">«РОССИЙСКИЙ УНИВЕРСИТЕТ ТРАНСПОРТА» </w:t>
      </w:r>
    </w:p>
    <w:p>
      <w:pPr>
        <w:pStyle w:val="Normal"/>
        <w:spacing w:before="120" w:after="120"/>
        <w:ind w:start="142" w:end="41"/>
        <w:jc w:val="center"/>
        <w:textAlignment w:val="auto"/>
        <w:rPr>
          <w:rFonts w:ascii="Times New Roman" w:hAnsi="Times New Roman" w:eastAsia="Tahoma" w:cs="Times New Roman"/>
          <w:sz w:val="28"/>
          <w:szCs w:val="28"/>
          <w:lang w:eastAsia="en-US" w:bidi="ar-SA"/>
        </w:rPr>
      </w:pPr>
      <w:r>
        <w:rPr>
          <w:rFonts w:eastAsia="Calibri" w:cs="Times New Roman" w:ascii="Times New Roman" w:hAnsi="Times New Roman"/>
          <w:b/>
          <w:sz w:val="28"/>
          <w:szCs w:val="28"/>
          <w:lang w:eastAsia="en-US" w:bidi="ar-SA"/>
        </w:rPr>
        <w:t>РУТ (МИИТ)</w:t>
      </w:r>
    </w:p>
    <w:p>
      <w:pPr>
        <w:pStyle w:val="Normal"/>
        <w:spacing w:before="120" w:after="120"/>
        <w:jc w:val="center"/>
        <w:textAlignment w:val="auto"/>
        <w:rPr>
          <w:rFonts w:ascii="Times New Roman" w:hAnsi="Times New Roman" w:eastAsia="Calibri" w:cs="Times New Roman"/>
          <w:b/>
          <w:sz w:val="28"/>
          <w:szCs w:val="28"/>
          <w:lang w:eastAsia="en-US" w:bidi="ar-SA"/>
        </w:rPr>
      </w:pPr>
      <w:r>
        <w:rPr>
          <w:rFonts w:eastAsia="Calibri" w:cs="Times New Roman" w:ascii="Times New Roman" w:hAnsi="Times New Roman"/>
          <w:b/>
          <w:sz w:val="28"/>
          <w:szCs w:val="28"/>
          <w:lang w:eastAsia="en-US" w:bidi="ar-SA"/>
        </w:rPr>
      </w:r>
    </w:p>
    <w:p>
      <w:pPr>
        <w:pStyle w:val="Normal"/>
        <w:spacing w:before="120" w:after="120"/>
        <w:jc w:val="center"/>
        <w:textAlignment w:val="auto"/>
        <w:rPr>
          <w:rFonts w:ascii="Times New Roman" w:hAnsi="Times New Roman" w:eastAsia="Tahoma" w:cs="Times New Roman"/>
          <w:sz w:val="28"/>
          <w:szCs w:val="28"/>
          <w:lang w:eastAsia="en-US" w:bidi="ar-SA"/>
        </w:rPr>
      </w:pPr>
      <w:r>
        <w:rPr>
          <w:rFonts w:eastAsia="Calibri" w:cs="Times New Roman" w:ascii="Times New Roman" w:hAnsi="Times New Roman"/>
          <w:sz w:val="28"/>
          <w:szCs w:val="28"/>
          <w:lang w:eastAsia="en-US" w:bidi="ar-SA"/>
        </w:rPr>
        <w:t>Кафедра «</w:t>
      </w:r>
      <w:r>
        <w:rPr>
          <w:rFonts w:eastAsia="Calibri" w:cs="Times New Roman" w:ascii="Times New Roman" w:hAnsi="Times New Roman"/>
          <w:sz w:val="28"/>
          <w:szCs w:val="28"/>
          <w:u w:val="single"/>
          <w:lang w:eastAsia="en-US" w:bidi="ar-SA"/>
        </w:rPr>
        <w:t>Информационные системы цифровой экономики</w:t>
      </w:r>
      <w:r>
        <w:rPr>
          <w:rFonts w:eastAsia="Calibri" w:cs="Times New Roman" w:ascii="Times New Roman" w:hAnsi="Times New Roman"/>
          <w:sz w:val="28"/>
          <w:szCs w:val="28"/>
          <w:lang w:eastAsia="en-US" w:bidi="ar-SA"/>
        </w:rPr>
        <w:t>»</w:t>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jc w:val="center"/>
        <w:rPr>
          <w:rFonts w:ascii="Times New Roman" w:hAnsi="Times New Roman"/>
          <w:sz w:val="28"/>
          <w:szCs w:val="28"/>
        </w:rPr>
      </w:pPr>
      <w:r>
        <w:rPr>
          <w:rFonts w:ascii="Times New Roman" w:hAnsi="Times New Roman"/>
          <w:sz w:val="28"/>
          <w:szCs w:val="28"/>
        </w:rPr>
        <w:t>Выпускная квалификационная работа по теме:</w:t>
      </w:r>
    </w:p>
    <w:p>
      <w:pPr>
        <w:pStyle w:val="Standard"/>
        <w:jc w:val="center"/>
        <w:rPr>
          <w:rFonts w:ascii="Times New Roman" w:hAnsi="Times New Roman"/>
          <w:b/>
          <w:bCs/>
          <w:sz w:val="28"/>
          <w:szCs w:val="28"/>
        </w:rPr>
      </w:pPr>
      <w:r>
        <w:rPr>
          <w:rFonts w:ascii="Times New Roman" w:hAnsi="Times New Roman"/>
          <w:b/>
          <w:bCs/>
          <w:sz w:val="28"/>
          <w:szCs w:val="28"/>
        </w:rPr>
        <w:t>«</w:t>
      </w:r>
      <w:r>
        <w:rPr>
          <w:rFonts w:eastAsia="Calibri" w:cs="Times New Roman" w:ascii="Times New Roman" w:hAnsi="Times New Roman"/>
          <w:b/>
          <w:bCs/>
          <w:iCs/>
          <w:kern w:val="0"/>
          <w:sz w:val="28"/>
          <w:szCs w:val="28"/>
          <w:lang w:eastAsia="en-US" w:bidi="ar-SA"/>
        </w:rPr>
        <w:t>Реализация методики формирования здоровых привычек средствами игровой психологии и наставнической поддержки в Телеграм боте</w:t>
      </w:r>
      <w:r>
        <w:rPr>
          <w:rFonts w:ascii="Times New Roman" w:hAnsi="Times New Roman"/>
          <w:b/>
          <w:bCs/>
          <w:sz w:val="28"/>
          <w:szCs w:val="28"/>
        </w:rPr>
        <w:t>»</w:t>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jc w:val="center"/>
        <w:rPr>
          <w:sz w:val="28"/>
          <w:szCs w:val="28"/>
        </w:rPr>
      </w:pPr>
      <w:r>
        <w:rPr>
          <w:rFonts w:ascii="Times New Roman" w:hAnsi="Times New Roman"/>
          <w:sz w:val="28"/>
          <w:szCs w:val="28"/>
        </w:rPr>
        <w:t>Направление (специальность) «</w:t>
      </w:r>
      <w:r>
        <w:rPr>
          <w:rFonts w:ascii="Times New Roman" w:hAnsi="Times New Roman"/>
          <w:sz w:val="28"/>
          <w:szCs w:val="28"/>
          <w:u w:val="single"/>
        </w:rPr>
        <w:t>Прикладная информатика</w:t>
      </w:r>
      <w:r>
        <w:rPr>
          <w:rFonts w:ascii="Times New Roman" w:hAnsi="Times New Roman"/>
          <w:sz w:val="28"/>
          <w:szCs w:val="28"/>
        </w:rPr>
        <w:t>»</w:t>
      </w:r>
    </w:p>
    <w:p>
      <w:pPr>
        <w:pStyle w:val="Standard"/>
        <w:jc w:val="center"/>
        <w:rPr>
          <w:sz w:val="28"/>
          <w:szCs w:val="28"/>
        </w:rPr>
      </w:pPr>
      <w:r>
        <w:rPr>
          <w:rFonts w:ascii="Times New Roman" w:hAnsi="Times New Roman"/>
          <w:sz w:val="28"/>
          <w:szCs w:val="28"/>
        </w:rPr>
        <w:t>Профиль (направление/направленность) «</w:t>
      </w:r>
      <w:r>
        <w:rPr>
          <w:rFonts w:ascii="Times New Roman" w:hAnsi="Times New Roman"/>
          <w:sz w:val="28"/>
          <w:szCs w:val="28"/>
          <w:u w:val="single"/>
        </w:rPr>
        <w:t>Информационные технологии управления социально-экономическими системами</w:t>
      </w:r>
      <w:r>
        <w:rPr>
          <w:rFonts w:ascii="Times New Roman" w:hAnsi="Times New Roman"/>
          <w:sz w:val="28"/>
          <w:szCs w:val="28"/>
        </w:rPr>
        <w:t>»</w:t>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jc w:val="end"/>
        <w:rPr>
          <w:sz w:val="28"/>
          <w:szCs w:val="28"/>
        </w:rPr>
      </w:pPr>
      <w:r>
        <w:rPr>
          <w:rFonts w:ascii="Times New Roman" w:hAnsi="Times New Roman"/>
          <w:iCs/>
          <w:sz w:val="28"/>
          <w:szCs w:val="28"/>
        </w:rPr>
        <w:t xml:space="preserve">Выполнил студент группы </w:t>
      </w:r>
      <w:r>
        <w:rPr>
          <w:rFonts w:ascii="Times New Roman" w:hAnsi="Times New Roman"/>
          <w:iCs/>
          <w:sz w:val="28"/>
          <w:szCs w:val="28"/>
          <w:u w:val="single"/>
        </w:rPr>
        <w:t>ЭМС-271</w:t>
      </w:r>
    </w:p>
    <w:p>
      <w:pPr>
        <w:pStyle w:val="Standard"/>
        <w:jc w:val="end"/>
        <w:rPr>
          <w:sz w:val="28"/>
          <w:szCs w:val="28"/>
        </w:rPr>
      </w:pPr>
      <w:r>
        <w:rPr>
          <w:rFonts w:ascii="Times New Roman" w:hAnsi="Times New Roman"/>
          <w:i/>
          <w:iCs/>
          <w:sz w:val="28"/>
          <w:szCs w:val="28"/>
        </w:rPr>
        <w:t>П.А. Гамов</w:t>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rPr>
          <w:rFonts w:ascii="Times New Roman" w:hAnsi="Times New Roman"/>
        </w:rPr>
      </w:pPr>
      <w:r>
        <w:rPr>
          <w:rFonts w:ascii="Times New Roman" w:hAnsi="Times New Roman"/>
        </w:rPr>
      </w:r>
    </w:p>
    <w:p>
      <w:pPr>
        <w:pStyle w:val="Standard"/>
        <w:jc w:val="center"/>
        <w:rPr>
          <w:rFonts w:ascii="Times New Roman" w:hAnsi="Times New Roman"/>
        </w:rPr>
      </w:pPr>
      <w:r>
        <w:rPr>
          <w:rFonts w:ascii="Times New Roman" w:hAnsi="Times New Roman"/>
        </w:rPr>
        <w:t>Москва – 2026</w:t>
      </w:r>
    </w:p>
    <w:sdt>
      <w:sdtPr>
        <w:docPartObj>
          <w:docPartGallery w:val="Table of Contents"/>
          <w:docPartUnique w:val="true"/>
        </w:docPartObj>
      </w:sdtPr>
      <w:sdtContent>
        <w:p>
          <w:pPr>
            <w:pStyle w:val="TOCHeading"/>
            <w:spacing w:before="0" w:after="120"/>
            <w:rPr>
              <w:rFonts w:ascii="Times New Roman" w:hAnsi="Times New Roman" w:cs="Times New Roman"/>
            </w:rPr>
          </w:pPr>
          <w:r>
            <w:br w:type="page"/>
          </w:r>
          <w:r>
            <w:rPr>
              <w:rFonts w:cs="Times New Roman" w:ascii="Times New Roman" w:hAnsi="Times New Roman"/>
            </w:rPr>
            <w:t>Оглавление</w:t>
          </w:r>
        </w:p>
        <w:p>
          <w:pPr>
            <w:pStyle w:val="TOC1"/>
            <w:rPr>
              <w:rFonts w:ascii="Times New Roman" w:hAnsi="Times New Roman" w:eastAsia="" w:cs="Times New Roman" w:eastAsiaTheme="minorEastAsia"/>
              <w:lang w:eastAsia="ru-RU" w:bidi="ar-SA"/>
              <w14:ligatures w14:val="standardContextual"/>
            </w:rPr>
          </w:pPr>
          <w:r>
            <w:fldChar w:fldCharType="begin"/>
          </w:r>
          <w:r>
            <w:rPr>
              <w:rStyle w:val="Style14"/>
              <w:rFonts w:cs="Times New Roman" w:ascii="Times New Roman" w:hAnsi="Times New Roman"/>
            </w:rPr>
            <w:instrText xml:space="preserve"> TOC \f \o "1-9" \h</w:instrText>
          </w:r>
          <w:r>
            <w:rPr>
              <w:rStyle w:val="Style14"/>
              <w:rFonts w:cs="Times New Roman" w:ascii="Times New Roman" w:hAnsi="Times New Roman"/>
            </w:rPr>
            <w:fldChar w:fldCharType="separate"/>
          </w:r>
          <w:hyperlink w:anchor="_Toc225970237">
            <w:r>
              <w:rPr>
                <w:rStyle w:val="Style14"/>
                <w:rFonts w:cs="Times New Roman" w:ascii="Times New Roman" w:hAnsi="Times New Roman"/>
              </w:rPr>
              <w:t>ЧАСТЬ 1. ПОСТАНОВКА ПРОБЛЕМЫ</w:t>
            </w:r>
            <w:r>
              <w:rPr>
                <w:webHidden/>
              </w:rPr>
              <w:fldChar w:fldCharType="begin"/>
            </w:r>
            <w:r>
              <w:rPr>
                <w:webHidden/>
              </w:rPr>
              <w:instrText xml:space="preserve">PAGEREF _Toc225970237 \h</w:instrText>
            </w:r>
            <w:r>
              <w:rPr>
                <w:webHidden/>
              </w:rPr>
              <w:fldChar w:fldCharType="separate"/>
            </w:r>
            <w:r>
              <w:rPr>
                <w:rStyle w:val="Style14"/>
                <w:rFonts w:cs="Times New Roman" w:ascii="Times New Roman" w:hAnsi="Times New Roman"/>
              </w:rPr>
              <w:tab/>
              <w:t>3</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38">
            <w:r>
              <w:rPr>
                <w:webHidden/>
              </w:rPr>
              <w:fldChar w:fldCharType="begin"/>
            </w:r>
            <w:r>
              <w:rPr>
                <w:webHidden/>
              </w:rPr>
              <w:instrText xml:space="preserve">PAGEREF _Toc225970238 \h</w:instrText>
            </w:r>
            <w:r>
              <w:rPr>
                <w:webHidden/>
              </w:rPr>
              <w:fldChar w:fldCharType="separate"/>
            </w:r>
            <w:r>
              <w:rPr>
                <w:rStyle w:val="Style14"/>
                <w:rFonts w:cs="Times New Roman" w:ascii="Times New Roman" w:hAnsi="Times New Roman"/>
              </w:rPr>
              <w:t>Актуальность формирования здоровых привычек в цифровую эпоху</w:t>
              <w:tab/>
              <w:t>6</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39">
            <w:r>
              <w:rPr>
                <w:webHidden/>
              </w:rPr>
              <w:fldChar w:fldCharType="begin"/>
            </w:r>
            <w:r>
              <w:rPr>
                <w:webHidden/>
              </w:rPr>
              <w:instrText xml:space="preserve">PAGEREF _Toc225970239 \h</w:instrText>
            </w:r>
            <w:r>
              <w:rPr>
                <w:webHidden/>
              </w:rPr>
              <w:fldChar w:fldCharType="separate"/>
            </w:r>
            <w:r>
              <w:rPr>
                <w:rStyle w:val="Style14"/>
                <w:rFonts w:cs="Times New Roman" w:ascii="Times New Roman" w:hAnsi="Times New Roman"/>
              </w:rPr>
              <w:t>Проблемы традиционных подходов к формированию привычек</w:t>
              <w:tab/>
              <w:t>9</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0">
            <w:r>
              <w:rPr>
                <w:webHidden/>
              </w:rPr>
              <w:fldChar w:fldCharType="begin"/>
            </w:r>
            <w:r>
              <w:rPr>
                <w:webHidden/>
              </w:rPr>
              <w:instrText xml:space="preserve">PAGEREF _Toc225970240 \h</w:instrText>
            </w:r>
            <w:r>
              <w:rPr>
                <w:webHidden/>
              </w:rPr>
              <w:fldChar w:fldCharType="separate"/>
            </w:r>
            <w:r>
              <w:rPr>
                <w:rStyle w:val="Style14"/>
                <w:rFonts w:cs="Times New Roman" w:ascii="Times New Roman" w:hAnsi="Times New Roman"/>
              </w:rPr>
              <w:t>Роль мотивации и поддержки в формировании устойчивых привычек</w:t>
              <w:tab/>
              <w:t>12</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1">
            <w:r>
              <w:rPr>
                <w:webHidden/>
              </w:rPr>
              <w:fldChar w:fldCharType="begin"/>
            </w:r>
            <w:r>
              <w:rPr>
                <w:webHidden/>
              </w:rPr>
              <w:instrText xml:space="preserve">PAGEREF _Toc225970241 \h</w:instrText>
            </w:r>
            <w:r>
              <w:rPr>
                <w:webHidden/>
              </w:rPr>
              <w:fldChar w:fldCharType="separate"/>
            </w:r>
            <w:r>
              <w:rPr>
                <w:rStyle w:val="Style14"/>
                <w:rFonts w:cs="Times New Roman" w:ascii="Times New Roman" w:hAnsi="Times New Roman"/>
              </w:rPr>
              <w:t>Социальные и эмоциональные аспекты формирования привычек</w:t>
              <w:tab/>
              <w:t>15</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2">
            <w:r>
              <w:rPr>
                <w:webHidden/>
              </w:rPr>
              <w:fldChar w:fldCharType="begin"/>
            </w:r>
            <w:r>
              <w:rPr>
                <w:webHidden/>
              </w:rPr>
              <w:instrText xml:space="preserve">PAGEREF _Toc225970242 \h</w:instrText>
            </w:r>
            <w:r>
              <w:rPr>
                <w:webHidden/>
              </w:rPr>
              <w:fldChar w:fldCharType="separate"/>
            </w:r>
            <w:r>
              <w:rPr>
                <w:rStyle w:val="Style14"/>
                <w:rFonts w:cs="Times New Roman" w:ascii="Times New Roman" w:hAnsi="Times New Roman"/>
              </w:rPr>
              <w:t>Проблемы персонализации и адаптации цифровых решений</w:t>
              <w:tab/>
              <w:t>17</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3">
            <w:r>
              <w:rPr>
                <w:webHidden/>
              </w:rPr>
              <w:fldChar w:fldCharType="begin"/>
            </w:r>
            <w:r>
              <w:rPr>
                <w:webHidden/>
              </w:rPr>
              <w:instrText xml:space="preserve">PAGEREF _Toc225970243 \h</w:instrText>
            </w:r>
            <w:r>
              <w:rPr>
                <w:webHidden/>
              </w:rPr>
              <w:fldChar w:fldCharType="separate"/>
            </w:r>
            <w:r>
              <w:rPr>
                <w:rStyle w:val="Style14"/>
                <w:rFonts w:cs="Times New Roman" w:ascii="Times New Roman" w:hAnsi="Times New Roman"/>
              </w:rPr>
              <w:t>Поведенческие и психологические барьеры формирования привычек</w:t>
              <w:tab/>
              <w:t>19</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4">
            <w:r>
              <w:rPr>
                <w:webHidden/>
              </w:rPr>
              <w:fldChar w:fldCharType="begin"/>
            </w:r>
            <w:r>
              <w:rPr>
                <w:webHidden/>
              </w:rPr>
              <w:instrText xml:space="preserve">PAGEREF _Toc225970244 \h</w:instrText>
            </w:r>
            <w:r>
              <w:rPr>
                <w:webHidden/>
              </w:rPr>
              <w:fldChar w:fldCharType="separate"/>
            </w:r>
            <w:r>
              <w:rPr>
                <w:rStyle w:val="Style14"/>
                <w:rFonts w:cs="Times New Roman" w:ascii="Times New Roman" w:hAnsi="Times New Roman"/>
              </w:rPr>
              <w:t>Проблемы обратной связи и аналитики в существующих решениях</w:t>
              <w:tab/>
              <w:t>21</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5">
            <w:r>
              <w:rPr>
                <w:webHidden/>
              </w:rPr>
              <w:fldChar w:fldCharType="begin"/>
            </w:r>
            <w:r>
              <w:rPr>
                <w:webHidden/>
              </w:rPr>
              <w:instrText xml:space="preserve">PAGEREF _Toc225970245 \h</w:instrText>
            </w:r>
            <w:r>
              <w:rPr>
                <w:webHidden/>
              </w:rPr>
              <w:fldChar w:fldCharType="separate"/>
            </w:r>
            <w:r>
              <w:rPr>
                <w:rStyle w:val="Style14"/>
                <w:rFonts w:cs="Times New Roman" w:ascii="Times New Roman" w:hAnsi="Times New Roman"/>
              </w:rPr>
              <w:t>Потенциал и ограничения цифровых платформ в формировании привычек</w:t>
              <w:tab/>
              <w:t>23</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6">
            <w:r>
              <w:rPr>
                <w:webHidden/>
              </w:rPr>
              <w:fldChar w:fldCharType="begin"/>
            </w:r>
            <w:r>
              <w:rPr>
                <w:webHidden/>
              </w:rPr>
              <w:instrText xml:space="preserve">PAGEREF _Toc225970246 \h</w:instrText>
            </w:r>
            <w:r>
              <w:rPr>
                <w:webHidden/>
              </w:rPr>
              <w:fldChar w:fldCharType="separate"/>
            </w:r>
            <w:r>
              <w:rPr>
                <w:rStyle w:val="Style14"/>
                <w:rFonts w:cs="Times New Roman" w:ascii="Times New Roman" w:hAnsi="Times New Roman"/>
              </w:rPr>
              <w:t>Обоснование необходимости интеграции геймификации и наставнической поддержки</w:t>
              <w:tab/>
              <w:t>24</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7">
            <w:r>
              <w:rPr>
                <w:webHidden/>
              </w:rPr>
              <w:fldChar w:fldCharType="begin"/>
            </w:r>
            <w:r>
              <w:rPr>
                <w:webHidden/>
              </w:rPr>
              <w:instrText xml:space="preserve">PAGEREF _Toc225970247 \h</w:instrText>
            </w:r>
            <w:r>
              <w:rPr>
                <w:webHidden/>
              </w:rPr>
              <w:fldChar w:fldCharType="separate"/>
            </w:r>
            <w:r>
              <w:rPr>
                <w:rStyle w:val="Style14"/>
                <w:rFonts w:cs="Times New Roman" w:ascii="Times New Roman" w:hAnsi="Times New Roman"/>
              </w:rPr>
              <w:t>ЧАСТЬ 2. ПРЕДЛАГАЕМОЕ РЕШЕНИЕ</w:t>
              <w:tab/>
              <w:t>27</w:t>
            </w:r>
            <w:r>
              <w:rPr>
                <w:webHidden/>
              </w:rPr>
              <w:fldChar w:fldCharType="end"/>
            </w:r>
          </w:hyperlink>
        </w:p>
        <w:p>
          <w:pPr>
            <w:pStyle w:val="TOC1"/>
            <w:rPr>
              <w:rFonts w:ascii="Times New Roman" w:hAnsi="Times New Roman" w:eastAsia="" w:cs="Times New Roman" w:eastAsiaTheme="minorEastAsia"/>
              <w:lang w:eastAsia="ru-RU" w:bidi="ar-SA"/>
              <w14:ligatures w14:val="standardContextual"/>
            </w:rPr>
          </w:pPr>
          <w:hyperlink w:anchor="_Toc225970248">
            <w:r>
              <w:rPr>
                <w:webHidden/>
              </w:rPr>
              <w:fldChar w:fldCharType="begin"/>
            </w:r>
            <w:r>
              <w:rPr>
                <w:webHidden/>
              </w:rPr>
              <w:instrText xml:space="preserve">PAGEREF _Toc225970248 \h</w:instrText>
            </w:r>
            <w:r>
              <w:rPr>
                <w:webHidden/>
              </w:rPr>
              <w:fldChar w:fldCharType="separate"/>
            </w:r>
            <w:r>
              <w:rPr>
                <w:rStyle w:val="Style14"/>
                <w:rFonts w:cs="Times New Roman" w:ascii="Times New Roman" w:hAnsi="Times New Roman"/>
              </w:rPr>
              <w:t>СПИСОК ЛИТЕРАТУРЫ</w:t>
              <w:tab/>
              <w:t>27</w:t>
            </w:r>
            <w:r>
              <w:rPr>
                <w:webHidden/>
              </w:rPr>
              <w:fldChar w:fldCharType="end"/>
            </w:r>
          </w:hyperlink>
        </w:p>
        <w:p>
          <w:pPr>
            <w:pStyle w:val="TOC1"/>
            <w:tabs>
              <w:tab w:val="clear" w:pos="9638"/>
              <w:tab w:val="right" w:pos="9637" w:leader="dot"/>
            </w:tabs>
            <w:rPr/>
          </w:pPr>
          <w:r>
            <w:rPr/>
          </w:r>
          <w:r>
            <w:rPr/>
            <w:fldChar w:fldCharType="end"/>
          </w:r>
        </w:p>
      </w:sdtContent>
    </w:sdt>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1"/>
        <w:numPr>
          <w:ilvl w:val="0"/>
          <w:numId w:val="0"/>
        </w:numPr>
        <w:ind w:hanging="0" w:start="0"/>
        <w:jc w:val="center"/>
        <w:rPr>
          <w:rFonts w:ascii="Times New Roman" w:hAnsi="Times New Roman" w:cs="Times New Roman"/>
          <w:sz w:val="32"/>
          <w:szCs w:val="28"/>
        </w:rPr>
      </w:pPr>
      <w:bookmarkStart w:id="0" w:name="_Toc225970237"/>
      <w:r>
        <w:rPr>
          <w:rFonts w:cs="Times New Roman" w:ascii="Times New Roman" w:hAnsi="Times New Roman"/>
          <w:sz w:val="32"/>
          <w:szCs w:val="28"/>
        </w:rPr>
        <w:t>ЧАСТЬ 1. ПОСТАНОВКА ПРОБЛЕМЫ</w:t>
      </w:r>
      <w:bookmarkEnd w:id="0"/>
    </w:p>
    <w:p>
      <w:pPr>
        <w:pStyle w:val="13"/>
        <w:rPr/>
      </w:pPr>
      <w:r>
        <w:rPr/>
        <w:t>На протяжении последних нескольких десятилетий цифровые технологии прочно вошли в повседневную жизнь человека, кардинально изменив привычные модели поведения и образ жизни. Ускорение темпа жизни, развитие городской инфраструктуры и цифровизация всех сфер деятельности – от образования до досуга привели к тому, что человек всё больше времени проводит в искусственной, цифровой среде. Этот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Цифровые технологии перестали быть инструментом для решения отдельных задач, они стали средой обитания, в которой человек проводит значительную часть своего бодрствующего времени.</w:t>
      </w:r>
    </w:p>
    <w:p>
      <w:pPr>
        <w:pStyle w:val="13"/>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w:t>
      </w:r>
    </w:p>
    <w:p>
      <w:pPr>
        <w:pStyle w:val="13"/>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такие как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3"/>
        <w:rPr/>
      </w:pPr>
      <w:r>
        <w:rPr/>
        <w:t>Важно понимать, что влияние цифровизации на поведение человека носит комплексный характер. С одной стороны, цифровые технологии существенно упростили доступ к информации, коммуникации и развлечениям, сделав многие процессы более удобными и эффективными.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 и начинает пренебрегать базовыми потребностями организма.</w:t>
      </w:r>
    </w:p>
    <w:p>
      <w:pPr>
        <w:pStyle w:val="13"/>
        <w:rPr/>
      </w:pPr>
      <w:r>
        <w:rPr/>
        <w:t>Феномен «цифрового сидячего образа жизни» стал предметом многочисленных научных исследований. Учёные отмечают, что продолжительное использование цифровых устройств связано не только с физической неактивностью, но и с целым комплексом поведенческих изменений.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3"/>
        <w:rPr/>
      </w:pPr>
      <w:r>
        <w:rPr/>
        <w:t>Однако цифровизация не только создаёт угрозы, но и несёт в себе потенциал для решения проблем здоровья. Современные технологии могут выступать как инструменты поддержки и сопровождения, позволяя интегрировать формирование здоровых привычек в повседневную цифровую рутину.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3"/>
        <w:rPr/>
      </w:pPr>
      <w:r>
        <w:rPr/>
        <w:t>В таблице 1 приведены эффекты цифровизации на здоровье населения.</w:t>
      </w:r>
    </w:p>
    <w:p>
      <w:pPr>
        <w:pStyle w:val="13"/>
        <w:jc w:val="center"/>
        <w:rPr>
          <w:sz w:val="24"/>
          <w:szCs w:val="22"/>
        </w:rPr>
      </w:pPr>
      <w:r>
        <w:rPr>
          <w:sz w:val="24"/>
          <w:szCs w:val="22"/>
        </w:rPr>
        <w:t>Таблица 1 – Эффекты цифровизации на здоровье населения</w:t>
      </w:r>
    </w:p>
    <w:tbl>
      <w:tblPr>
        <w:tblStyle w:val="af0"/>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814"/>
        <w:gridCol w:w="4814"/>
      </w:tblGrid>
      <w:tr>
        <w:trPr/>
        <w:tc>
          <w:tcPr>
            <w:tcW w:w="4814" w:type="dxa"/>
            <w:tcBorders/>
          </w:tcPr>
          <w:p>
            <w:pPr>
              <w:pStyle w:val="13"/>
              <w:widowControl/>
              <w:suppressAutoHyphens w:val="true"/>
              <w:spacing w:before="120" w:after="120"/>
              <w:ind w:hanging="0"/>
              <w:rPr>
                <w:b/>
                <w:bCs/>
              </w:rPr>
            </w:pPr>
            <w:r>
              <w:rPr>
                <w:rFonts w:eastAsia="NSimSun" w:cs="Lucida Sans"/>
                <w:b/>
                <w:bCs/>
                <w:kern w:val="2"/>
                <w:sz w:val="24"/>
                <w:szCs w:val="22"/>
                <w:lang w:val="ru-RU" w:eastAsia="zh-CN" w:bidi="hi-IN"/>
              </w:rPr>
              <w:t>Эффект цифровизации</w:t>
            </w:r>
          </w:p>
        </w:tc>
        <w:tc>
          <w:tcPr>
            <w:tcW w:w="4814" w:type="dxa"/>
            <w:tcBorders/>
          </w:tcPr>
          <w:p>
            <w:pPr>
              <w:pStyle w:val="13"/>
              <w:widowControl/>
              <w:suppressAutoHyphens w:val="true"/>
              <w:spacing w:before="120" w:after="120"/>
              <w:ind w:hanging="0"/>
              <w:rPr>
                <w:b/>
                <w:bCs/>
              </w:rPr>
            </w:pPr>
            <w:r>
              <w:rPr>
                <w:rFonts w:eastAsia="NSimSun" w:cs="Lucida Sans"/>
                <w:b/>
                <w:bCs/>
                <w:kern w:val="2"/>
                <w:sz w:val="24"/>
                <w:szCs w:val="22"/>
                <w:lang w:val="ru-RU" w:eastAsia="zh-CN" w:bidi="hi-IN"/>
              </w:rPr>
              <w:t>Описание</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Физиологические нарушения</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Матаболические сбои, ожирение, нарушение костно-мышечной системы, нарушение зрения</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Нарушение циркадных ритмов</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Влияние экранного времени на выработку мелатонина и биоритмы</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Психоэмоциональные нарушения</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Тревожность, депрессия, снижение стрессоустойчивости, эмоциональные расстройства</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Развитие зависимостей</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Интернет-зависимость, зависимость от социальных сетей и видеоигр</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Когнитивные изменения</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«Клиповое мышление», снижение внимания и концентрации</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Социальные нарушения</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Снижение эмпатии, ухудшение коммуникативных анвыков</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Потребность в постоянном присутствии онлайн</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 xml:space="preserve">Страх пропустить важное, феномен </w:t>
            </w:r>
            <w:r>
              <w:rPr>
                <w:rFonts w:eastAsia="NSimSun" w:cs="Lucida Sans"/>
                <w:kern w:val="2"/>
                <w:sz w:val="24"/>
                <w:szCs w:val="22"/>
                <w:lang w:val="en-US" w:eastAsia="zh-CN" w:bidi="hi-IN"/>
              </w:rPr>
              <w:t>FOMO</w:t>
            </w:r>
          </w:p>
        </w:tc>
      </w:tr>
      <w:tr>
        <w:trPr/>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Информационная перегрузка</w:t>
            </w:r>
          </w:p>
        </w:tc>
        <w:tc>
          <w:tcPr>
            <w:tcW w:w="4814" w:type="dxa"/>
            <w:tcBorders/>
          </w:tcPr>
          <w:p>
            <w:pPr>
              <w:pStyle w:val="13"/>
              <w:widowControl/>
              <w:suppressAutoHyphens w:val="true"/>
              <w:spacing w:before="120" w:after="120"/>
              <w:ind w:hanging="0"/>
              <w:rPr>
                <w:sz w:val="24"/>
                <w:szCs w:val="22"/>
              </w:rPr>
            </w:pPr>
            <w:r>
              <w:rPr>
                <w:rFonts w:eastAsia="NSimSun" w:cs="Lucida Sans"/>
                <w:kern w:val="2"/>
                <w:sz w:val="24"/>
                <w:szCs w:val="22"/>
                <w:lang w:val="ru-RU" w:eastAsia="zh-CN" w:bidi="hi-IN"/>
              </w:rPr>
              <w:t>Избыток информации, трудности с ее переработкой</w:t>
            </w:r>
          </w:p>
        </w:tc>
      </w:tr>
    </w:tbl>
    <w:p>
      <w:pPr>
        <w:pStyle w:val="13"/>
        <w:jc w:val="end"/>
        <w:rPr>
          <w:sz w:val="24"/>
          <w:szCs w:val="22"/>
        </w:rPr>
      </w:pPr>
      <w:r>
        <w:rPr>
          <w:sz w:val="24"/>
          <w:szCs w:val="22"/>
        </w:rPr>
        <w:t>Конец таблицы 1</w:t>
      </w:r>
    </w:p>
    <w:p>
      <w:pPr>
        <w:pStyle w:val="13"/>
        <w:rPr/>
      </w:pPr>
      <w:r>
        <w:rPr/>
        <w:t>Тем не менее, для эффективного использования этого потенциала необходима глубокая проработка подходов, учитывающих психологические, социальные и технологические особенности современного пользователя. Простое наличие технологий не гарантирует их правильного применения, и даже самые продвинутые устройства для мониторинга здоровья оказываются бесполезными, если пользователь не мотивирован следовать их рекомендациям или забрасывает использование устройства через несколько недель после покупки.</w:t>
      </w:r>
    </w:p>
    <w:p>
      <w:pPr>
        <w:pStyle w:val="13"/>
        <w:rPr/>
      </w:pPr>
      <w:r>
        <w:rPr/>
        <w:t>Парадокс современной ситуации заключается в том, что именно технологии, ставшие причиной многих проблем со здоровьем, могут стать ключом к их решению. Для этого необходимо понимание механизмов влияния цифровой среды на поведение человека и разработка решений, которые используют эти механизмы во благо пользователя. Цифровая среда формирует определённые ожидания и привычки взаимодействия: мгновенная обратная связь, персонализированный контент, геймифицированные элементы. Эффективные решения для формирования здоровых привычек должны соответствовать этим ожиданиям, интегрируясь в существующую цифровую экосистему пользователя, а не противопоставляясь ей.</w:t>
      </w:r>
    </w:p>
    <w:p>
      <w:pPr>
        <w:pStyle w:val="Heading1"/>
        <w:numPr>
          <w:ilvl w:val="0"/>
          <w:numId w:val="1"/>
        </w:numPr>
        <w:jc w:val="center"/>
        <w:rPr>
          <w:rFonts w:ascii="Times New Roman" w:hAnsi="Times New Roman" w:cs="Times New Roman"/>
          <w:sz w:val="28"/>
          <w:szCs w:val="24"/>
        </w:rPr>
      </w:pPr>
      <w:bookmarkStart w:id="1" w:name="_Toc225970238"/>
      <w:r>
        <w:rPr>
          <w:rFonts w:cs="Times New Roman" w:ascii="Times New Roman" w:hAnsi="Times New Roman"/>
          <w:sz w:val="28"/>
          <w:szCs w:val="24"/>
        </w:rPr>
        <w:t>Актуальность формирования здоровых привычек в цифровую эпоху</w:t>
      </w:r>
      <w:bookmarkEnd w:id="1"/>
    </w:p>
    <w:p>
      <w:pPr>
        <w:pStyle w:val="13"/>
        <w:rPr/>
      </w:pPr>
      <w:r>
        <w:rPr/>
        <w:t>Молодое поколение, выросшее в цифровой среде, сталкивается с рядом специфических проблем: дефицитом внимания, повышенной утомляемостью, проблемами саморегуляции и осознанности. Эти факторы затрудняют переход от осознания необходимости здорового образа жизни к его реальному воплощению в жизнь.</w:t>
      </w:r>
    </w:p>
    <w:p>
      <w:pPr>
        <w:pStyle w:val="13"/>
        <w:rPr/>
      </w:pPr>
      <w:r>
        <w:rPr/>
        <w:t xml:space="preserve">Представители поколения </w:t>
      </w:r>
      <w:r>
        <w:rPr>
          <w:lang w:val="en-US"/>
        </w:rPr>
        <w:t>Z</w:t>
      </w:r>
      <w:r>
        <w:rPr/>
        <w:t xml:space="preserve">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3"/>
        <w:rPr/>
      </w:pPr>
      <w:r>
        <w:rPr/>
        <w:t>Социальные обязательства, работа, семья, учёба часто вытесняют заботу о собственном здоровье. При этом цифровые технологии, которые могли бы помочь в формировании привычек, зачастую используются неэффективно. 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pPr>
        <w:pStyle w:val="13"/>
        <w:rPr/>
      </w:pPr>
      <w:r>
        <w:rPr/>
        <w:t>Рост числа вредных привычек среди молодёжи, такие как курение, злоупотребление алкоголем и переедание указывает на то, что традиционные подходы к профилактике и обучению здоровому образу жизни не соответствуют новым условиям жизни.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3"/>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3"/>
        <w:rPr/>
      </w:pPr>
      <w:r>
        <w:rPr/>
        <w:t>Особую роль в этом контексте играет проблема осознанности и саморегуляции. 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3"/>
        <w:rPr/>
      </w:pPr>
      <w:r>
        <w:rPr/>
        <w:t>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а именно формирования неосознанных, нездоровых закономерностей поведения.</w:t>
      </w:r>
    </w:p>
    <w:p>
      <w:pPr>
        <w:pStyle w:val="13"/>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которая часто противоречит интересам здоровья пользователя.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3"/>
        <w:rPr/>
      </w:pPr>
      <w:r>
        <w:rPr/>
        <w:t>Актуальность проблемы подтверждается статистическими данными о состоянии здоровья молодого поколения. По данным различных исследований, уровень физической активности среди молодёжи снижается, распространённость ожирения растёт, а показатели психического здоровья ухудшаются. 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Всё это указывает на острую необходимость разработки новых подходов к формированию здоровых привычек, адаптированных к реалиям цифровой эпохи.</w:t>
      </w:r>
    </w:p>
    <w:p>
      <w:pPr>
        <w:pStyle w:val="Heading1"/>
        <w:numPr>
          <w:ilvl w:val="0"/>
          <w:numId w:val="1"/>
        </w:numPr>
        <w:jc w:val="center"/>
        <w:rPr>
          <w:rFonts w:ascii="Times New Roman" w:hAnsi="Times New Roman" w:cs="Times New Roman"/>
          <w:sz w:val="28"/>
          <w:szCs w:val="28"/>
        </w:rPr>
      </w:pPr>
      <w:bookmarkStart w:id="2" w:name="_Toc225970239"/>
      <w:r>
        <w:rPr>
          <w:rFonts w:cs="Times New Roman" w:ascii="Times New Roman" w:hAnsi="Times New Roman"/>
          <w:sz w:val="28"/>
          <w:szCs w:val="28"/>
        </w:rPr>
        <w:t>Проблемы традиционных подходов к формированию привычек</w:t>
      </w:r>
      <w:bookmarkEnd w:id="2"/>
    </w:p>
    <w:p>
      <w:pPr>
        <w:pStyle w:val="13"/>
        <w:rPr/>
      </w:pP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Хотя рынок приложений для здоровья активно развивается: более 1,2 миллиарда установок приложений категории «фитнес и здоровый образ жизни», оказывается, что лишь небольшая часть из них использует современные методы геймификации и персонализации.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3"/>
        <w:rPr/>
      </w:pPr>
      <w:r>
        <w:rPr/>
        <w:t>Такой подход, несмотря на свою простоту,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3"/>
        <w:jc w:val="center"/>
        <w:rPr>
          <w:sz w:val="24"/>
          <w:szCs w:val="22"/>
        </w:rPr>
      </w:pPr>
      <w:r>
        <w:rPr>
          <w:sz w:val="24"/>
          <w:szCs w:val="22"/>
        </w:rPr>
        <w:t>Таблица 2 – Анализ популярных приложений для формирования привычек</w:t>
      </w:r>
    </w:p>
    <w:tbl>
      <w:tblPr>
        <w:tblStyle w:val="af0"/>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980"/>
        <w:gridCol w:w="2125"/>
        <w:gridCol w:w="1339"/>
        <w:gridCol w:w="2049"/>
        <w:gridCol w:w="2135"/>
      </w:tblGrid>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Приложение</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Геймификация</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Персонализация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Социальные функции</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Наставничество и поддержка</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Habitica</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(RPG-механики, уровни, квесты)</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Частичная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(гильдии, совместные квесты)</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Streaks</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дней)</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Минимальная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Loop Habit Tracker</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и графики)</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Минимальная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Fabulous</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(сюжет, путешествие, награды)</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(коучинговые программы)</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Habitify</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достижения)</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Частичная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Coach.me</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бейджи)</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Частичная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(сообщество)</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(персональный коучинг)</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Daylio</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(достижения)</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Productive</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визуальный прогресс)</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Частичная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TickTick (Habits)</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достижения)</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Частичная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r>
        <w:trPr/>
        <w:tc>
          <w:tcPr>
            <w:tcW w:w="198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Way of Life</w:t>
            </w:r>
          </w:p>
        </w:tc>
        <w:tc>
          <w:tcPr>
            <w:tcW w:w="212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 (серии, цветовая индикация)</w:t>
            </w:r>
          </w:p>
        </w:tc>
        <w:tc>
          <w:tcPr>
            <w:tcW w:w="13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Минимальная</w:t>
            </w:r>
          </w:p>
        </w:tc>
        <w:tc>
          <w:tcPr>
            <w:tcW w:w="204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c>
          <w:tcPr>
            <w:tcW w:w="213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w:t>
            </w:r>
          </w:p>
        </w:tc>
      </w:tr>
    </w:tbl>
    <w:p>
      <w:pPr>
        <w:pStyle w:val="13"/>
        <w:jc w:val="end"/>
        <w:rPr>
          <w:sz w:val="24"/>
          <w:szCs w:val="22"/>
        </w:rPr>
      </w:pPr>
      <w:r>
        <w:rPr>
          <w:sz w:val="24"/>
          <w:szCs w:val="22"/>
        </w:rPr>
        <w:t>Конец таблицы 2</w:t>
      </w:r>
    </w:p>
    <w:p>
      <w:pPr>
        <w:pStyle w:val="13"/>
        <w:rPr>
          <w:lang w:val="en-US"/>
        </w:rPr>
      </w:pPr>
      <w:r>
        <w:rPr/>
        <w:t>Исследования показывают, что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Причина в том, что эти элементы заимствованы из игровой индустрии без понимания их психологических механизмов и адаптации к контексту формирования привычек.</w:t>
      </w:r>
    </w:p>
    <w:p>
      <w:pPr>
        <w:pStyle w:val="13"/>
        <w:rPr/>
      </w:pPr>
      <w:r>
        <w:rPr/>
        <w:t>В таблице 3 приведено сравнение базовых механик, которые используют большинство приложений, а также приведены расширенные механики, которые могут быть использованы для увеличения вовлеченности и повышения результатов приобретения привычек у пользователя</w:t>
      </w:r>
    </w:p>
    <w:p>
      <w:pPr>
        <w:pStyle w:val="13"/>
        <w:rPr/>
      </w:pPr>
      <w:r>
        <w:rPr/>
      </w:r>
    </w:p>
    <w:p>
      <w:pPr>
        <w:pStyle w:val="13"/>
        <w:jc w:val="center"/>
        <w:rPr>
          <w:sz w:val="24"/>
          <w:szCs w:val="22"/>
        </w:rPr>
      </w:pPr>
      <w:r>
        <w:rPr>
          <w:sz w:val="24"/>
          <w:szCs w:val="22"/>
        </w:rPr>
        <w:t>Таблица 3 – сравнение базовых и глубинных механик геймификации</w:t>
      </w:r>
    </w:p>
    <w:tbl>
      <w:tblPr>
        <w:tblStyle w:val="af0"/>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110"/>
        <w:gridCol w:w="3839"/>
        <w:gridCol w:w="3679"/>
      </w:tblGrid>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Критерий</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Поверхностная геймификация</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Глубокая геймификация</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Основные механики</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Баллы, бейджи, таблицы лидеров</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Нарратив, прогрессия персонажа, квесты, социальные миссии</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Источник мотивации</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Внешняя (награды, рейтинги)</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Внутренняя (интерес, мастерство, смысл)</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Связь с целями пользователя</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Отсутствует или формальная</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Награды привязаны к реальному прогрессу и личным целям</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Эмоциональная вовлечённость</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Низкая, быстро угасает</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поддерживается сюжетом и персонализацией</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Адаптивность</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Одинаковый опыт для всех пользователей</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Механики адаптируются под поведение и предпочтения</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Обратная связь</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Статичная (одинаковые сообщения)</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Динамическая, учитывает контекст и состояние пользователя</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Социальное взаимодействие</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Соревнование через таблицы лидеров</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Кооперация, взаимопомощь, групповые цели</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Учёт психологии</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Игнорируется</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Основано на теориях мотивации и поведения</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Долгосрочная эффективность</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Низкая, интерес теряется через 1–2 недели</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вовлечённость сохраняется месяцами</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Восприятие пользователем</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Манипулятивные трюки</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Увлекательный и осмысленный опыт</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Примеры приложений</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Большинство фитнес-трекеров, простые трекеры привычек</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Habitica, Zombies Run, SuperBetter</w:t>
            </w:r>
          </w:p>
        </w:tc>
      </w:tr>
      <w:tr>
        <w:trPr/>
        <w:tc>
          <w:tcPr>
            <w:tcW w:w="2110"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Типичные проблемы</w:t>
            </w:r>
          </w:p>
        </w:tc>
        <w:tc>
          <w:tcPr>
            <w:tcW w:w="383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Быстрое насыщение наградами, потеря интереса</w:t>
            </w:r>
          </w:p>
        </w:tc>
        <w:tc>
          <w:tcPr>
            <w:tcW w:w="3679"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Требует больше ресурсов на разработку</w:t>
            </w:r>
          </w:p>
        </w:tc>
      </w:tr>
    </w:tbl>
    <w:p>
      <w:pPr>
        <w:pStyle w:val="13"/>
        <w:jc w:val="end"/>
        <w:rPr>
          <w:sz w:val="24"/>
          <w:szCs w:val="22"/>
        </w:rPr>
      </w:pPr>
      <w:r>
        <w:rPr>
          <w:sz w:val="24"/>
          <w:szCs w:val="22"/>
        </w:rPr>
        <w:t>Конец таблицы 3</w:t>
      </w:r>
    </w:p>
    <w:p>
      <w:pPr>
        <w:pStyle w:val="13"/>
        <w:rPr>
          <w:lang w:val="en-US"/>
        </w:rPr>
      </w:pPr>
      <w:r>
        <w:rPr/>
        <w:t>Кроме того, большинство цифровых продуктов не учитывают индивидуальные особенности пользователей, их контекст и временные рамки формирования привычек. Это снижает их эффективность и приводит к быстрому оттоку пользователей. 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w:t>
      </w:r>
    </w:p>
    <w:p>
      <w:pPr>
        <w:pStyle w:val="13"/>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 Им нужны решения, которые требуют минимальных усилий и интегрируются в существующую рутину, а не добавляют к ней дополнительные задачи.</w:t>
      </w:r>
    </w:p>
    <w:p>
      <w:pPr>
        <w:pStyle w:val="13"/>
        <w:rPr/>
      </w:pPr>
      <w:r>
        <w:rPr/>
        <w:t>Проблема усугубляется тем, что многие цифровые решения разрабатываются технологическими специалистами без привлечения экспертов в области психологии и поведенческих наук. В результате получаются технически совершенные продукты, которые не учитывают реальные механизмы человеческой мотивации и поведения. Разработчики исходят из рационалистической модели поведения, предполагающей, что человек, получив информацию о необходимости изменений и инструмент для их реализации, автоматически изменит своё поведение. Эта модель не соответствует реальности, в которой поведение определяется сложным взаимодействием эмоций, привычек, социального окружения и контекста.</w:t>
      </w:r>
    </w:p>
    <w:p>
      <w:pPr>
        <w:pStyle w:val="13"/>
        <w:rPr/>
      </w:pPr>
      <w:r>
        <w:rPr/>
        <w:t>Ещё одной проблемой традиционных подходов является их фокус на краткосрочных результатах. Маркетинг приложений обещает быстрые изменения – «выработай привычку за 21 день», «изменись за месяц» – но эти обещания не соответствуют научным данным о процессе формирования привычек. Когда пользователь не видит ожидаемых результатов в заявленные сроки, он разочаровывается и отказывается от использования продукта, не понимая, что процесс требует значительно больше времени.</w:t>
      </w:r>
    </w:p>
    <w:p>
      <w:pPr>
        <w:pStyle w:val="Heading1"/>
        <w:numPr>
          <w:ilvl w:val="0"/>
          <w:numId w:val="1"/>
        </w:numPr>
        <w:jc w:val="center"/>
        <w:rPr>
          <w:rFonts w:ascii="Times New Roman" w:hAnsi="Times New Roman" w:cs="Times New Roman"/>
          <w:sz w:val="28"/>
          <w:szCs w:val="24"/>
        </w:rPr>
      </w:pPr>
      <w:bookmarkStart w:id="3" w:name="_Toc225970240"/>
      <w:r>
        <w:rPr>
          <w:rFonts w:cs="Times New Roman" w:ascii="Times New Roman" w:hAnsi="Times New Roman"/>
          <w:sz w:val="28"/>
          <w:szCs w:val="24"/>
        </w:rPr>
        <w:t>Роль мотивации и поддержки в формировании устойчивых привычек</w:t>
      </w:r>
      <w:bookmarkEnd w:id="3"/>
    </w:p>
    <w:p>
      <w:pPr>
        <w:pStyle w:val="13"/>
        <w:rPr/>
      </w:pPr>
      <w:r>
        <w:rPr/>
        <w:t>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 Пользователь получает уведомления и статистику, но не получает того, что действительно необходимо для изменения поведения – понимания, поддержки и персонализированного руководства.</w:t>
      </w:r>
    </w:p>
    <w:p>
      <w:pPr>
        <w:pStyle w:val="13"/>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 автономия, компетентность и связанность. Автономия означает ощущение контроля над своими действиями и возможность делать выбор. Компетентность это чувство мастерства и способности справляться с задачами. Связанность это ощущение принадлежности и значимых отношений с другими людьми.</w:t>
      </w:r>
    </w:p>
    <w:p>
      <w:pPr>
        <w:pStyle w:val="13"/>
        <w:jc w:val="center"/>
        <w:rPr>
          <w:sz w:val="24"/>
          <w:szCs w:val="22"/>
        </w:rPr>
      </w:pPr>
      <w:r>
        <w:rPr>
          <w:sz w:val="24"/>
          <w:szCs w:val="22"/>
        </w:rPr>
        <w:t>Таблица 4 – Три базовые психологические потребности по теории самодетерминации</w:t>
      </w:r>
    </w:p>
    <w:tbl>
      <w:tblPr>
        <w:tblStyle w:val="af0"/>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61"/>
        <w:gridCol w:w="1985"/>
        <w:gridCol w:w="2837"/>
        <w:gridCol w:w="2545"/>
      </w:tblGrid>
      <w:tr>
        <w:trPr/>
        <w:tc>
          <w:tcPr>
            <w:tcW w:w="2261"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Потребность</w:t>
            </w:r>
          </w:p>
        </w:tc>
        <w:tc>
          <w:tcPr>
            <w:tcW w:w="1985"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Определение</w:t>
            </w:r>
          </w:p>
        </w:tc>
        <w:tc>
          <w:tcPr>
            <w:tcW w:w="2837"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Проявление в контексте формирования привычек</w:t>
            </w:r>
          </w:p>
        </w:tc>
        <w:tc>
          <w:tcPr>
            <w:tcW w:w="2545"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Как реализуется в цифровых решениях</w:t>
            </w:r>
          </w:p>
        </w:tc>
      </w:tr>
      <w:tr>
        <w:trPr/>
        <w:tc>
          <w:tcPr>
            <w:tcW w:w="226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Автономия</w:t>
            </w:r>
          </w:p>
        </w:tc>
        <w:tc>
          <w:tcPr>
            <w:tcW w:w="198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Ощущение контроля над своими действиями и возможность самостоятельного выбора</w:t>
            </w:r>
          </w:p>
        </w:tc>
        <w:tc>
          <w:tcPr>
            <w:tcW w:w="2837"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Пользователь сам выбирает привычки, темп развития, способы выполнения</w:t>
            </w:r>
          </w:p>
        </w:tc>
        <w:tc>
          <w:tcPr>
            <w:tcW w:w="254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Гибкие настройки, отсутствие жёстких ограничений, возможность пропуска без наказания</w:t>
            </w:r>
          </w:p>
        </w:tc>
      </w:tr>
      <w:tr>
        <w:trPr/>
        <w:tc>
          <w:tcPr>
            <w:tcW w:w="226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Компетентность</w:t>
            </w:r>
          </w:p>
        </w:tc>
        <w:tc>
          <w:tcPr>
            <w:tcW w:w="198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Чувство мастерства и способности справляться с задачами</w:t>
            </w:r>
          </w:p>
        </w:tc>
        <w:tc>
          <w:tcPr>
            <w:tcW w:w="2837"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Постепенное усложнение задач, видимый прогресс, преодоление посильных вызовов</w:t>
            </w:r>
          </w:p>
        </w:tc>
        <w:tc>
          <w:tcPr>
            <w:tcW w:w="254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Система уровней, достижения за реальный прогресс, адаптивная сложность</w:t>
            </w:r>
          </w:p>
        </w:tc>
      </w:tr>
      <w:tr>
        <w:trPr/>
        <w:tc>
          <w:tcPr>
            <w:tcW w:w="226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Связанность</w:t>
            </w:r>
          </w:p>
        </w:tc>
        <w:tc>
          <w:tcPr>
            <w:tcW w:w="198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Ощущение принадлежности и значимых отношений с другими людьми</w:t>
            </w:r>
          </w:p>
        </w:tc>
        <w:tc>
          <w:tcPr>
            <w:tcW w:w="2837"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Поддержка сообщества, обмен опытом, признание со стороны других</w:t>
            </w:r>
          </w:p>
        </w:tc>
        <w:tc>
          <w:tcPr>
            <w:tcW w:w="2545"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Социальные функции, групповые цели, наставничество, обратная связь</w:t>
            </w:r>
          </w:p>
        </w:tc>
      </w:tr>
    </w:tbl>
    <w:p>
      <w:pPr>
        <w:pStyle w:val="13"/>
        <w:jc w:val="end"/>
        <w:rPr>
          <w:sz w:val="24"/>
          <w:szCs w:val="22"/>
        </w:rPr>
      </w:pPr>
      <w:r>
        <w:rPr>
          <w:sz w:val="24"/>
          <w:szCs w:val="22"/>
        </w:rPr>
        <w:t>Конец таблицы 4</w:t>
      </w:r>
    </w:p>
    <w:p>
      <w:pPr>
        <w:pStyle w:val="13"/>
        <w:rPr/>
      </w:pPr>
      <w:r>
        <w:rP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 Результатом становится неустойчивая мотивация, основанная исключительно на внешних стимулах, которая быстро угасает при их отсутствии.</w:t>
      </w:r>
    </w:p>
    <w:p>
      <w:pPr>
        <w:pStyle w:val="13"/>
        <w:rPr/>
      </w:pPr>
      <w:r>
        <w:rPr/>
        <w:t>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Наставник обеспечивает персонализированную обратную связь, помогает справляться с трудностями, поддерживает в моменты сомнений и отмечает прогресс.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pPr>
        <w:pStyle w:val="13"/>
        <w:rPr/>
      </w:pPr>
      <w:r>
        <w:rPr/>
        <w:t>Цифровые технологии открывают возможности для масштабирования наставнической поддержки. Чат-боты, системы искусственного интеллекта и автоматизированные программы сопровождения могут предоставлять элементы наставничества широкой аудитории при минимальных затратах. Однако для эффективного использования этих возможностей необходимо понимание того, какие именно аспекты наставничества можно автоматизировать, а какие требуют человеческого участия.</w:t>
      </w:r>
    </w:p>
    <w:p>
      <w:pPr>
        <w:pStyle w:val="13"/>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Это особенно важно для молодой аудитории, которая часто испытывает тревогу при личном общении и предпочитает цифровые формы взаимодействия.</w:t>
      </w:r>
    </w:p>
    <w:p>
      <w:pPr>
        <w:pStyle w:val="13"/>
        <w:jc w:val="center"/>
        <w:rPr>
          <w:sz w:val="24"/>
          <w:szCs w:val="22"/>
        </w:rPr>
      </w:pPr>
      <w:r>
        <w:rPr>
          <w:sz w:val="24"/>
          <w:szCs w:val="22"/>
        </w:rPr>
        <w:t>Таблица 5 – Преимущества анонимной цифровой поддержки по сравнению с традиционным наставничеством</w:t>
      </w:r>
    </w:p>
    <w:tbl>
      <w:tblPr>
        <w:tblStyle w:val="af0"/>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51"/>
        <w:gridCol w:w="4186"/>
        <w:gridCol w:w="3191"/>
      </w:tblGrid>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Критерий</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Традиционное наставничество</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b/>
                <w:bCs/>
                <w:kern w:val="0"/>
                <w:lang w:eastAsia="ru-RU" w:bidi="ar-SA"/>
              </w:rPr>
            </w:pPr>
            <w:r>
              <w:rPr>
                <w:rFonts w:eastAsia="Times New Roman" w:cs="Times New Roman" w:ascii="Times New Roman" w:hAnsi="Times New Roman"/>
                <w:b/>
                <w:bCs/>
                <w:kern w:val="0"/>
                <w:sz w:val="24"/>
                <w:szCs w:val="24"/>
                <w:lang w:val="ru-RU" w:eastAsia="ru-RU" w:bidi="ar-SA"/>
              </w:rPr>
              <w:t>Анонимная цифровая поддержка</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Доступность</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Ограничена географией и расписанием наставника</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Доступна 24/7 из любой точки мира</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Стоимость</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(оплата услуг специалиста)</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Низкая или бесплатная</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Психологический барьер</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Высокий (страх осуждения, стыд, необходимость раскрытия личности)</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Низкий (анонимность снимает страх оценки)</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Скорость получения помощи</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Требует записи, ожидания встречи</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Мгновенный отклик в любое время</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Откровенность пользователя</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Может быть ограничена социальным давлением</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Выше благодаря отсутствию личного контакта</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Масштабируемость</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Один наставник – ограниченное число подопечных</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Один сервис – миллионы пользователей</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Персонализация</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(индивидуальный подход)</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Зависит от алгоритмов и качества разработки</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Эмоциональная глубина</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(эмпатия, невербальная коммуникация)</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Ограниченная (отсутствие живого контакта)</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Гибкость взаимодействия</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Фиксированные встречи</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Пользователь сам выбирает время и интенсивность</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Страх неудачи</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Присутствует (боязнь разочаровать наставника)</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Снижен (нет социальных последствий)</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Возможность экспериментировать</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Ограничена (необходимость отчитываться)</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Высокая (можно пробовать без давления)</w:t>
            </w:r>
          </w:p>
        </w:tc>
      </w:tr>
      <w:tr>
        <w:trPr/>
        <w:tc>
          <w:tcPr>
            <w:tcW w:w="225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Конфиденциальность данных</w:t>
            </w:r>
          </w:p>
        </w:tc>
        <w:tc>
          <w:tcPr>
            <w:tcW w:w="4186"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Зависит от этики наставника</w:t>
            </w:r>
          </w:p>
        </w:tc>
        <w:tc>
          <w:tcPr>
            <w:tcW w:w="3191" w:type="dxa"/>
            <w:tcBorders/>
          </w:tcPr>
          <w:p>
            <w:pPr>
              <w:pStyle w:val="Normal"/>
              <w:widowControl/>
              <w:suppressAutoHyphens w:val="false"/>
              <w:spacing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Зависит от политики сервиса</w:t>
            </w:r>
          </w:p>
        </w:tc>
      </w:tr>
    </w:tbl>
    <w:p>
      <w:pPr>
        <w:pStyle w:val="13"/>
        <w:jc w:val="end"/>
        <w:rPr>
          <w:sz w:val="24"/>
          <w:szCs w:val="22"/>
        </w:rPr>
      </w:pPr>
      <w:r>
        <w:rPr>
          <w:sz w:val="24"/>
          <w:szCs w:val="22"/>
        </w:rPr>
        <w:t>Конец таблицы 5</w:t>
      </w:r>
    </w:p>
    <w:p>
      <w:pPr>
        <w:pStyle w:val="13"/>
        <w:rPr/>
      </w:pPr>
      <w:r>
        <w:rPr/>
        <w:t>Но существующие продукты редко используют эти преимущества, игнорируя важность эмоциональной вовлечённости и персонализированного взаимодействия. Типичный чат-бот для формирования привычек представляет собой последовательность заранее запрограммированных сообщений, которые не адаптируются к состоянию пользователя и не создают ощущения реального диалога. Пользователь быстро распознаёт механистичность взаимодействия и теряет интерес.</w:t>
      </w:r>
    </w:p>
    <w:p>
      <w:pPr>
        <w:pStyle w:val="13"/>
        <w:rPr/>
      </w:pPr>
      <w:r>
        <w:rPr/>
        <w:t>Психологическая мотивация играет ключевую роль в формировании устойчивых привычек, но часто игнорируется в массовых решениях. Мотивация это не статичное состояние, а динамический процесс, который меняется в зависимости от множества факторов: настроения, уровня стресса, социального контекста, предыдущего опыта успехов и неудач. Эффективное цифровое решение должно учитывать эту динамику, адаптируя свои стратегии к текущему состоянию пользователя. Без системной интеграции между геймификацией, аналитикой и поддержкой цифровые решения теряют свою эффективность. Обратная связь должна быть не просто информационной, но и эмоционально значимой, привязанной к личным целям пользователя и учитывающей его индивидуальные особенности.</w:t>
      </w:r>
    </w:p>
    <w:p>
      <w:pPr>
        <w:pStyle w:val="13"/>
        <w:rPr/>
      </w:pPr>
      <w:r>
        <w:rPr/>
        <w:t>Исследования в области поведенческой экономики показывают, что люди значительно более чувствительны к потерям, чем к приобретениям. Этот принцип, известный как «неприятие потерь», может использоваться в цифровых решениях для повышения мотивации. Например, система, в которой пользователь «теряет» накопленные достижения при пропуске действий, может быть более эффективной, чем система, основанная только на накоплении вознаграждений. Однако такие механизмы требуют осторожного применения, чтобы не создавать избыточный стресс и не демотивировать пользователей после неудач.</w:t>
      </w:r>
    </w:p>
    <w:p>
      <w:pPr>
        <w:pStyle w:val="Heading1"/>
        <w:numPr>
          <w:ilvl w:val="0"/>
          <w:numId w:val="1"/>
        </w:numPr>
        <w:jc w:val="center"/>
        <w:rPr>
          <w:rFonts w:ascii="Times New Roman" w:hAnsi="Times New Roman" w:cs="Times New Roman"/>
          <w:sz w:val="28"/>
          <w:szCs w:val="28"/>
        </w:rPr>
      </w:pPr>
      <w:bookmarkStart w:id="4" w:name="_Toc225970241"/>
      <w:r>
        <w:rPr>
          <w:rFonts w:cs="Times New Roman" w:ascii="Times New Roman" w:hAnsi="Times New Roman"/>
          <w:sz w:val="28"/>
          <w:szCs w:val="28"/>
        </w:rPr>
        <w:t>Социальные и эмоциональные аспекты формирования привычек</w:t>
      </w:r>
      <w:bookmarkEnd w:id="4"/>
    </w:p>
    <w:p>
      <w:pPr>
        <w:pStyle w:val="13"/>
        <w:rPr/>
      </w:pPr>
      <w:r>
        <w:rPr/>
        <w:t>Формирование привычек не только индивидуальный процесс, но и социальное явление. Наличие поддержки со стороны сообщества, возможность делиться успехами и получать обратную связь значительно повышает шансы на успех. Социальное влияние на поведение изучается в психологии десятилетиями, и его значимость подтверждена множеством исследований. Люди склонны искать одобрения значимых других и следовать примеру тех, кем восхищаются.</w:t>
      </w:r>
    </w:p>
    <w:p>
      <w:pPr>
        <w:pStyle w:val="13"/>
        <w:rPr/>
      </w:pPr>
      <w:r>
        <w:rPr/>
        <w:t>В контексте формирования привычек социальная поддержка выполняет несколько важных функций. Во-первых, она создаёт социальную ответственность: когда человек объявляет о своих намерениях публично или перед группой единомышленников, он с большей вероятностью будет следовать своим обещаниям. Во-вторых, социальное сравнение может служить источником мотивации и ориентиром для оценки собственного прогресса. В-третьих, сообщество предоставляет эмоциональную поддержку в трудные моменты, помогая справляться с неудачами и сохранять мотивацию.</w:t>
      </w:r>
    </w:p>
    <w:p>
      <w:pPr>
        <w:pStyle w:val="13"/>
        <w:rPr/>
      </w:pPr>
      <w:r>
        <w:rPr/>
        <w:t>Эмоциональная вовлечённость, поддерживаемая игровыми элементами, способствует устойчивости привычек во времени. Исследования нейрофизиологии показывают, что эмоционально окрашенный опыт с большей вероятностью приводит к формированию устойчивого поведенческого поведения. Когда выполнение привычки связано с положительными эмоциями радостью от достижения, гордостью за прогресс, удовольствием от признания мозг формирует более прочные нейронные связи, закрепляющие это поведение.</w:t>
      </w:r>
    </w:p>
    <w:p>
      <w:pPr>
        <w:pStyle w:val="13"/>
        <w:rPr/>
      </w:pPr>
      <w:r>
        <w:rPr/>
        <w:t>Игровые элементы, правильно интегрированные в процесс формирования привычек, могут создавать необходимую эмоциональную вовлечённость.  Однако важно понимать, что эмоциональная вовлечённость должна быть связана с содержательным прогрессом, а не с манипулятивными механиками, направленными исключительно на удержание внимания.</w:t>
      </w:r>
    </w:p>
    <w:p>
      <w:pPr>
        <w:pStyle w:val="13"/>
        <w:rPr/>
      </w:pPr>
      <w:r>
        <w:rPr/>
        <w:t>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3"/>
        <w:rPr/>
      </w:pPr>
      <w:r>
        <w:rPr/>
        <w:t>Чат-боты как форма цифрового взаимодействия обеспечивают высокую степень доступности и вовлечённости пользователей. Формат диалога, характерный для мессенджеров, создаёт ощущение личного общения, которое недоступно в традиционных приложениях с графическим интерфейсом. Пользователь не просто нажимает кнопки и заполняет формы, а «разговаривает» с ботом, что формирует более глубокую связь и повышает приверженность использованию.</w:t>
      </w:r>
    </w:p>
    <w:p>
      <w:pPr>
        <w:pStyle w:val="13"/>
        <w:rPr/>
      </w:pPr>
      <w:r>
        <w:rPr/>
        <w:t>Telegram как платформа предоставляет дополнительные возможности для реализации социальных механик. Групповые чаты, каналы, интеграция с другими ботами и сервисами позволяют создавать комплексные экосистемы поддержки. Пользователи могут объединяться в группы по интересам, делиться прогрессом, поддерживать друг друга и соревноваться в дружеском формате. Всё это усиливает социальный аспект формирования привычек, который остаётся слабо представленным в большинстве существующих решений.</w:t>
      </w:r>
    </w:p>
    <w:p>
      <w:pPr>
        <w:pStyle w:val="13"/>
        <w:rPr/>
      </w:pPr>
      <w:r>
        <w:rPr/>
        <w:t>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Бот отправляет одинаковые сообщения каждый день, не учитывает контекст и настроение пользователя, не создаёт ощущения прогресса и не вовлекает в игровой процесс. В результате пользователь быстро теряет интерес и перестаёт реагировать на сообщения.</w:t>
      </w:r>
    </w:p>
    <w:p>
      <w:pPr>
        <w:pStyle w:val="13"/>
        <w:rPr/>
      </w:pPr>
      <w:r>
        <w:rPr/>
        <w:t>Особую роль в формировании привычек играет регулярность взаимодействия. Ежедневный контакт с системой поддержки, даже кратковременный, помогает поддерживать фокус на целях и создаёт ритм, который постепенно интегрируется в жизнь пользователя. Чат-боты идеально подходят для такого регулярного взаимодействия: они доступны в любое время, не требуют специальных усилий для запуска и могут адаптировать частоту и содержание сообщений к предпочтениям пользователя.</w:t>
      </w:r>
    </w:p>
    <w:p>
      <w:pPr>
        <w:pStyle w:val="Heading1"/>
        <w:numPr>
          <w:ilvl w:val="0"/>
          <w:numId w:val="1"/>
        </w:numPr>
        <w:jc w:val="center"/>
        <w:rPr>
          <w:rFonts w:ascii="Times New Roman" w:hAnsi="Times New Roman" w:cs="Times New Roman"/>
          <w:sz w:val="28"/>
          <w:szCs w:val="28"/>
        </w:rPr>
      </w:pPr>
      <w:bookmarkStart w:id="5" w:name="_Toc225970242"/>
      <w:r>
        <w:rPr>
          <w:rFonts w:cs="Times New Roman" w:ascii="Times New Roman" w:hAnsi="Times New Roman"/>
          <w:sz w:val="28"/>
          <w:szCs w:val="28"/>
        </w:rPr>
        <w:t>Проблемы персонализации и адаптации цифровых решений</w:t>
      </w:r>
      <w:bookmarkEnd w:id="5"/>
    </w:p>
    <w:p>
      <w:pPr>
        <w:pStyle w:val="13"/>
        <w:rPr/>
      </w:pPr>
      <w:r>
        <w:rPr/>
        <w:t>Один из ключевых недостатков существующих цифровых продуктов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pPr>
        <w:pStyle w:val="13"/>
        <w:rPr/>
      </w:pPr>
      <w:r>
        <w:rPr/>
        <w:t>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Кто-то предпочитает получать подробные объяснения и обоснования, кто-то хочет только краткие напоминания. Время и частота взаимодействия также должны адаптироваться.</w:t>
      </w:r>
    </w:p>
    <w:p>
      <w:pPr>
        <w:pStyle w:val="13"/>
        <w:rPr/>
      </w:pPr>
      <w:r>
        <w:rP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 Обезличенные напоминания теряются в потоке информации.</w:t>
      </w:r>
    </w:p>
    <w:p>
      <w:pPr>
        <w:pStyle w:val="13"/>
        <w:rPr/>
      </w:pPr>
      <w:r>
        <w:rPr/>
        <w:t>Существующие решения не используют данные о поведении пользователей для корректировки мотивационных стратегий, что делает их неэффективными в долгосрочной перспективе. При этом сами пользователи генерируют огромное количество данных, которые могли бы использоваться для персонализации: время взаимодействия с приложением, закономерности выполнения и пропуска привычек, реакции на различные типы сообщений. Анализ этих данных позволил бы создавать индивидуальные профили и адаптировать стратегии под каждого пользователя.</w:t>
      </w:r>
    </w:p>
    <w:p>
      <w:pPr>
        <w:pStyle w:val="13"/>
        <w:rPr/>
      </w:pPr>
      <w:r>
        <w:rPr/>
        <w:t>Проблема усугубляется отсутствием обратной связи от пользователя. Большинство приложений не спрашивают пользователя о его состоянии, причинах пропуска действий, уровне мотивации. Без этой информации система не может адаптироваться и продолжает применять неэффективные стратегии. Пользователь, в свою очередь, не чувствует, что его понимают, и теряет доверие к продукту.</w:t>
      </w:r>
    </w:p>
    <w:p>
      <w:pPr>
        <w:pStyle w:val="13"/>
        <w:rPr/>
      </w:pPr>
      <w:r>
        <w:rPr/>
        <w:t>Потребность в комплексных цифровых решениях, учитывающих индивидуальные особенности пользователей, становится всё более очевидной. Такие решения должны не только собирать данные о поведении, но и интерпретировать их, выявляя закономерности и адаптируя свои рекомендации. Они должны предоставлять пользователю возможность обратной связи и учитывать её в своих алгоритмах. Наконец, они должны быть способны к обучению, становясь более эффективными по мере накопления данных о конкретном пользователе.</w:t>
      </w:r>
    </w:p>
    <w:p>
      <w:pPr>
        <w:pStyle w:val="13"/>
        <w:rPr/>
      </w:pPr>
      <w:r>
        <w:rPr/>
        <w:t>Технологии машинного обучения и искусственного интеллекта открывают новые возможности для персонализации, но пока эти возможности используются в сфере здоровья недостаточно. Большинство разработчиков фокусируются на базовой функциональности, откладывая внедрение продвинутых алгоритмов персонализации на будущее. В результате рынок заполнен однотипными решениями, которые не соответствуют ожиданиям пользователей и не обеспечивают долгосрочной эффективности.</w:t>
      </w:r>
    </w:p>
    <w:p>
      <w:pPr>
        <w:pStyle w:val="Heading1"/>
        <w:numPr>
          <w:ilvl w:val="0"/>
          <w:numId w:val="1"/>
        </w:numPr>
        <w:jc w:val="center"/>
        <w:rPr>
          <w:rFonts w:ascii="Times New Roman" w:hAnsi="Times New Roman" w:cs="Times New Roman"/>
          <w:sz w:val="28"/>
          <w:szCs w:val="24"/>
        </w:rPr>
      </w:pPr>
      <w:bookmarkStart w:id="6" w:name="_Toc225970243"/>
      <w:r>
        <w:rPr>
          <w:rFonts w:cs="Times New Roman" w:ascii="Times New Roman" w:hAnsi="Times New Roman"/>
          <w:sz w:val="28"/>
          <w:szCs w:val="24"/>
        </w:rPr>
        <w:t>Поведенческие и психологические барьеры формирования привычек</w:t>
      </w:r>
      <w:bookmarkEnd w:id="6"/>
    </w:p>
    <w:p>
      <w:pPr>
        <w:pStyle w:val="13"/>
        <w:rPr/>
      </w:pPr>
      <w:r>
        <w:rPr/>
        <w:t>Формирование привычек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pPr>
        <w:pStyle w:val="13"/>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pPr>
        <w:pStyle w:val="13"/>
        <w:rPr/>
      </w:pPr>
      <w:r>
        <w:rPr/>
        <w:t>Понимание реальных временных рамок имеет критическое значение для разработки цифровых решений. Продукты, которые обещают быстрые результаты, создают нереалистичные ожидания и приводят к разочарованию. Пользователь, не увидевший ожидаемых изменений через три недели, может решить, что «это не работает», и отказаться от дальнейших попыток. Эффективные решения должны формировать правильные ожидания, подготавливая пользователя к длительному процессу и поддерживая его мотивацию на протяжении всего пути.</w:t>
      </w:r>
    </w:p>
    <w:p>
      <w:pPr>
        <w:pStyle w:val="13"/>
        <w:rPr/>
      </w:pPr>
      <w:r>
        <w:rPr/>
        <w:t>Ключевыми внутренними барьерами формирования привычек являются высокий порог входа, отсутствие мгновенной обратной связи, недостаток внутренней мотивации и страх неудачи. Высокий порог входа означает, что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w:t>
      </w:r>
    </w:p>
    <w:p>
      <w:pPr>
        <w:pStyle w:val="13"/>
        <w:rPr/>
      </w:pPr>
      <w:r>
        <w:rPr/>
        <w:t>Отсутствие мгновенной обратной связи является особенно значимым барьером в цифровую эпоху.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через месяцы. Этот разрыв между действием и результатом создаёт когнитивный диссонанс и снижает мотивацию.</w:t>
      </w:r>
    </w:p>
    <w:p>
      <w:pPr>
        <w:pStyle w:val="13"/>
        <w:rPr/>
      </w:pPr>
      <w:r>
        <w:rPr/>
        <w:t>Перфекционизм также препятствует формированию привычек.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это процесс с неизбежными сбоями, и отдельная неудача не отменяет предыдущего прогресса. Эффективные цифровые решения должны помогать пользователям справляться с неудачами, нормализуя их как часть процесса.</w:t>
      </w:r>
    </w:p>
    <w:p>
      <w:pPr>
        <w:pStyle w:val="13"/>
        <w:rPr/>
      </w:pPr>
      <w:r>
        <w:rPr/>
        <w:t>Когнитивные искажения, такие как дисконтирование будущего и предвзятость дополнительно затрудняют формирование привычек. Дисконтирование будущего означает, что люди склонны переоценивать сиюминутные удовольствия и недооценивать будущие выгоды. Предвзятость проявляется в предпочтении текущего положения дел, даже если оно не оптимально. Понимание этих искажений позволяет разрабатывать решения, которые их учитывают и компенсируют.</w:t>
      </w:r>
    </w:p>
    <w:p>
      <w:pPr>
        <w:pStyle w:val="Heading1"/>
        <w:numPr>
          <w:ilvl w:val="0"/>
          <w:numId w:val="1"/>
        </w:numPr>
        <w:jc w:val="center"/>
        <w:rPr>
          <w:rFonts w:ascii="Times New Roman" w:hAnsi="Times New Roman" w:cs="Times New Roman"/>
          <w:sz w:val="28"/>
          <w:szCs w:val="22"/>
        </w:rPr>
      </w:pPr>
      <w:bookmarkStart w:id="7" w:name="_Toc225970244"/>
      <w:r>
        <w:rPr>
          <w:rFonts w:cs="Times New Roman" w:ascii="Times New Roman" w:hAnsi="Times New Roman"/>
          <w:sz w:val="28"/>
          <w:szCs w:val="22"/>
        </w:rPr>
        <w:t>Проблемы обратной связи и аналитики в существующих решениях</w:t>
      </w:r>
      <w:bookmarkEnd w:id="7"/>
    </w:p>
    <w:p>
      <w:pPr>
        <w:pStyle w:val="13"/>
        <w:rPr/>
      </w:pPr>
      <w:r>
        <w:rPr/>
        <w:t>Большинство цифровых решений не обеспечивают адаптивной обратной связи, основанной на поведении пользователя. Это приводит к снижению интереса и отказу от использования продукта.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3"/>
        <w:rPr>
          <w:lang w:val="en-US"/>
        </w:rPr>
      </w:pPr>
      <w:r>
        <w:rPr/>
        <w:t>Обычное приложение для отслеживания привычек предоставляет статистику в виде календаря с отмеченными днями выполнения или графика с накопленными «серией» дней. Такая обратная связь информативна, но не создаёт эмоционального отклика.</w:t>
      </w:r>
    </w:p>
    <w:p>
      <w:pPr>
        <w:pStyle w:val="13"/>
        <w:rPr>
          <w:lang w:val="en-US"/>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время выполнения действий, паттерны пропусков, длительность использования приложения, реакции на уведомления, но эти данные редко используются для персонализации опыта.</w:t>
      </w:r>
    </w:p>
    <w:p>
      <w:pPr>
        <w:pStyle w:val="13"/>
        <w:rPr>
          <w:lang w:val="en-US"/>
        </w:rPr>
      </w:pPr>
      <w:r>
        <w:rPr/>
        <w:t>Анализ поведенческих данных мог бы выявить множество закономерностей, полезных для оптимизации процесса формирования привычек. Например, приложение могло бы определить, что пользователь чаще пропускает действия по пятницам, и предложить адаптированную стратегию для конца недели. Или заметить, что мотивационные сообщения определённого типа вызывают больший отклик, и использовать их чаще. Или выявить, что пользователь успешнее выполняет привычки утром, и скорректировать расписание напоминаний.</w:t>
      </w:r>
    </w:p>
    <w:p>
      <w:pPr>
        <w:pStyle w:val="13"/>
        <w:rPr>
          <w:lang w:val="en-US"/>
        </w:rPr>
      </w:pPr>
      <w:r>
        <w:rPr/>
        <w:t>Механизмы обратной связи в существующих решениях редко связаны с поведенческой психологией. Исследования показывают, что эффективная обратная связь должна быть своевременной, конкретной, конструктивной и связанной с целями. Она должна признавать усилия, а не только результаты, и помогать пользователю понять, какие действия привели к успеху или неудаче.</w:t>
      </w:r>
    </w:p>
    <w:p>
      <w:pPr>
        <w:pStyle w:val="13"/>
        <w:rPr/>
      </w:pPr>
      <w:r>
        <w:rPr/>
        <w:t>Современные алгоритмы машинного обучения позволяют не только анализировать прошлое поведение, но и прогнозировать будущее. Система могла бы предсказать вероятность пропуска действия и предложить превентивные меры. Или выявить закономерности, предшествующие отказу от использования приложения, и вмешаться до того, как пользователь потеряет интерес. Однако такие возможности пока остаются нереализованными в большинстве продуктов.</w:t>
      </w:r>
    </w:p>
    <w:p>
      <w:pPr>
        <w:pStyle w:val="13"/>
        <w:rPr/>
      </w:pPr>
      <w:r>
        <w:rPr/>
        <w:t>Комбинирование различных подходов таких как геймификация, аналитика и поддержка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и теряет вовлекающий эффект. Аналитика без геймификации предоставляет полезную информацию, но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3"/>
        <w:rPr/>
      </w:pPr>
      <w:r>
        <w:rPr/>
        <w:t>Важную роль играет визуализация прогресса. Люди лучше воспринимают информацию в визуальной форме, и правильно спроектированная визуализация может значительно усилить мотивационный эффект. Обратная связь должна учитывать не только успехи, но и неудачи. Большинство приложений игнорируют пропуски или отмечают их негативно, что усиливает чувство вины и снижает мотивацию.</w:t>
      </w:r>
    </w:p>
    <w:p>
      <w:pPr>
        <w:pStyle w:val="Heading1"/>
        <w:numPr>
          <w:ilvl w:val="0"/>
          <w:numId w:val="1"/>
        </w:numPr>
        <w:jc w:val="center"/>
        <w:rPr>
          <w:rFonts w:ascii="Times New Roman" w:hAnsi="Times New Roman" w:cs="Times New Roman"/>
          <w:sz w:val="28"/>
          <w:szCs w:val="28"/>
        </w:rPr>
      </w:pPr>
      <w:bookmarkStart w:id="8" w:name="_Toc225970245"/>
      <w:r>
        <w:rPr>
          <w:rFonts w:cs="Times New Roman" w:ascii="Times New Roman" w:hAnsi="Times New Roman"/>
          <w:sz w:val="28"/>
          <w:szCs w:val="28"/>
        </w:rPr>
        <w:t>Потенциал и ограничения цифровых платформ в формировании привычек</w:t>
      </w:r>
      <w:bookmarkEnd w:id="8"/>
    </w:p>
    <w:p>
      <w:pPr>
        <w:pStyle w:val="13"/>
        <w:rPr/>
      </w:pPr>
      <w:r>
        <w:rPr/>
        <w:t>Цифровые платформы, такие как чат-боты, обладают высоким потенциалом для формирования привычек благодаря своей доступности, интерактивности и возможности масштабирования. Чат-боты доступны круглосуточно, не требуют специальной подготовки для использования и могут взаимодействовать с миллионами пользователей одновременно. Это делает их идеальным инструментом для массового распространения поддержки в формировании привычек.</w:t>
      </w:r>
    </w:p>
    <w:p>
      <w:pPr>
        <w:pStyle w:val="13"/>
        <w:rPr/>
      </w:pPr>
      <w:r>
        <w:rPr/>
        <w:t>Преимущества чат-ботов как платформы для формирования привычек многочисленны. Низкий барьер входа означает, что пользователю не нужно скачивать отдельное приложение или создавать аккаунт, достаточно найти бота в привычном мессенджере и начать диалог. Формат диалога создаёт ощущение персонального общения, которое недоступно в традиционных интерфейсах. Возможность отправки push-уведомлений позволяет поддерживать регулярный контакт с пользователем без навязчивости.</w:t>
      </w:r>
    </w:p>
    <w:p>
      <w:pPr>
        <w:pStyle w:val="13"/>
        <w:rPr/>
      </w:pPr>
      <w:r>
        <w:rPr/>
        <w:t>Интерактивность чат-ботов открывает возможности для динамического взаимодействия. В отличие от статических приложений, бот может задавать вопросы, реагировать на ответы, адаптировать свои сообщения в зависимости от контекста. Это позволяет создавать более персонализированный опыт и поддерживать интерес пользователя на протяжении длительного времени. Диалоговый формат также естественен для оказания поддержки и наставничества.</w:t>
      </w:r>
    </w:p>
    <w:p>
      <w:pPr>
        <w:pStyle w:val="13"/>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Некоторые ситуации требуют эмпатии и понимания, которые бот не может предоставить в полной мере.</w:t>
      </w:r>
    </w:p>
    <w:p>
      <w:pPr>
        <w:pStyle w:val="13"/>
        <w:rPr/>
      </w:pPr>
      <w:r>
        <w:rPr/>
        <w:t>Ограниченная персонализация в существующих решениях также снижает их эффективность. Хотя чат-боты технически способны к глубокой персонализации на основе анализа данных, большинство реализаций используют простые алгоритмы с ограниченным количеством вариаций.</w:t>
      </w:r>
    </w:p>
    <w:p>
      <w:pPr>
        <w:pStyle w:val="13"/>
        <w:rPr/>
      </w:pPr>
      <w:r>
        <w:rPr/>
        <w:t>Технические ограничения платформ также играют роль. Мессенджеры накладывают ограничения на возможности ботов: ограниченные варианты визуализации, отсутствие возможности использовать сложные интерфейсные элементы, зависимость от политик и алгоритмов платформы. Это требует креативных решений для обхода ограничений при сохранении качества пользовательского опыта.</w:t>
      </w:r>
    </w:p>
    <w:p>
      <w:pPr>
        <w:pStyle w:val="13"/>
        <w:rPr/>
      </w:pPr>
      <w:r>
        <w:rPr/>
        <w:t>Несмотря на эти ограничения, потенциал цифровых платформ для формирования привычек остаётся высоким. Ключ к его реализации в понимании специфики платформы и разработке решений, которые используют её преимущества, одновременно компенсируя недостатки. Чат-боты не должны пытаться заменить человеческое общение или традиционные приложения они должны занять свою нишу, предлагая уникальную ценность, недоступную в других форматах.</w:t>
      </w:r>
    </w:p>
    <w:p>
      <w:pPr>
        <w:pStyle w:val="Heading1"/>
        <w:numPr>
          <w:ilvl w:val="0"/>
          <w:numId w:val="1"/>
        </w:numPr>
        <w:jc w:val="center"/>
        <w:rPr>
          <w:rFonts w:ascii="Times New Roman" w:hAnsi="Times New Roman" w:cs="Times New Roman"/>
          <w:sz w:val="28"/>
          <w:szCs w:val="28"/>
        </w:rPr>
      </w:pPr>
      <w:bookmarkStart w:id="9" w:name="_Toc225970246"/>
      <w:r>
        <w:rPr>
          <w:rFonts w:cs="Times New Roman" w:ascii="Times New Roman" w:hAnsi="Times New Roman"/>
          <w:sz w:val="28"/>
          <w:szCs w:val="28"/>
        </w:rPr>
        <w:t>Обоснование необходимости интеграции геймификации и наставнической поддержки</w:t>
      </w:r>
      <w:bookmarkEnd w:id="9"/>
    </w:p>
    <w:p>
      <w:pPr>
        <w:pStyle w:val="13"/>
        <w:rPr/>
      </w:pPr>
      <w:r>
        <w:rPr/>
        <w:t>Проблема формирования здоровых привычек требует системной работы с поведением, учитывающей психологические, социальные и технологические аспекты. Современные пользователи ожидают персонализированного, интерактивного и поддерживающего цифрового опыта. Удовлетворение этих ожиданий возможно только при комплексном подходе, объединяющем различные методы воздействия на поведение.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 Объединение этих подходов создаёт синергетический эффект, когда целое оказывается больше суммы частей.</w:t>
      </w:r>
    </w:p>
    <w:p>
      <w:pPr>
        <w:pStyle w:val="13"/>
        <w:rPr/>
      </w:pPr>
      <w:r>
        <w:rPr/>
        <w:t>Психологическая безопасность и анонимность взаимодействия играют важную роль в цифровых сервисах поддержки. Многие люди не готовы открыто обсуждать свои проблемы с формированием привычек из-за страха осуждения или стыда за свои «слабости». Цифровые решения позволяют получать поддержку без необходимости раскрывать свою идентичность, что снижает психологический барьер и повышает готовность к открытому взаимодействию.</w:t>
      </w:r>
    </w:p>
    <w:p>
      <w:pPr>
        <w:pStyle w:val="13"/>
        <w:rPr/>
      </w:pPr>
      <w:r>
        <w:rPr/>
        <w:t>Интеграция геймификации, аналитики и поддержки позволяет создавать адаптивные системы, которые меняются вместе с пользователем. На начальном этапе, когда мотивация высока, система может фокусироваться на формировании привычки действия. По мере развития, когда первоначальный энтузиазм угасает, акцент смещается на поддержку и помощь в преодолении трудностей. На этапе автоматизации привычки система переходит к более ненавязчивому сопровождению.</w:t>
      </w:r>
    </w:p>
    <w:p>
      <w:pPr>
        <w:pStyle w:val="13"/>
        <w:rPr/>
      </w:pPr>
      <w:r>
        <w:rPr/>
        <w:t>Комплексный подход как решение существующих проблем предполагает учёт всех факторов, влияющих на формирование привычек. Внешняя мотивация, обеспечиваемая геймификацией, должна постепенно привиться пользователю, превращаясь во внутреннюю заинтересованность. Для этого необходимо связывать игровые достижения с реальным прогрессом и личными целями пользователя. Наставническая поддержка помогает в этом процессе, обеспечивая рефлексию и осознание связи между действиями и результатами.</w:t>
      </w:r>
    </w:p>
    <w:p>
      <w:pPr>
        <w:pStyle w:val="13"/>
        <w:rPr/>
      </w:pPr>
      <w:r>
        <w:rPr/>
        <w:t>Социальный аспект также должен быть интегрирован в комплексное решение. Возможность делиться достижениями, соревноваться с друзьями или незнакомыми людьми, получать поддержку от сообщества усиливает мотивационный эффект и создаёт дополнительный уровень ответственности. Однако социальные элементы должны быть опциональными, учитывая, что не все пользователи комфортно чувствуют себя в социальных ситуациях.</w:t>
      </w:r>
    </w:p>
    <w:p>
      <w:pPr>
        <w:pStyle w:val="13"/>
        <w:rPr/>
      </w:pPr>
      <w:r>
        <w:rPr/>
        <w:t>Таким образом, необходимость в комплексных цифровых решениях, объединяющих геймификацию, аналитику и поддержку, остаётся невостребованной, несмотря на растущий спрос на качественные продукты цифрового здравоохранения. Рынок заполнен решениями, которые используют отдельные элементы: игровые механики, трекинг, напоминания, но не интегрируют их в единую систему, основанную на понимании психологии поведения.</w:t>
      </w:r>
    </w:p>
    <w:p>
      <w:pPr>
        <w:pStyle w:val="13"/>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3"/>
        <w:rPr/>
      </w:pPr>
      <w:r>
        <w:rPr/>
        <w:t>Проблема неэффективности существующих решений обусловлена отсутствием комплексного подхода к мотивации. Отдельные элементы такие как напоминания, геймификация, статистика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 Разработка такой системы является актуальной задачей, решение которой может значительно улучшить эффективность цифровых инструментов для здоровья. Цифровые платформы становятся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w:t>
      </w:r>
    </w:p>
    <w:p>
      <w:pPr>
        <w:pStyle w:val="13"/>
        <w:rPr/>
      </w:pPr>
      <w:r>
        <w:rPr/>
        <w:t>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Такое решение должно учитывать особенности современного пользователя, использовать потенциал цифровых платформ и основываться на научном понимании психологии формирования привычек. Его создание представляет собой как научную, так и практическую ценность, открывая новые возможности для поддержки здоровья в цифровую эпоху.</w:t>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1"/>
        </w:numPr>
        <w:spacing w:before="0" w:after="120"/>
        <w:jc w:val="center"/>
        <w:rPr>
          <w:rFonts w:ascii="Times New Roman" w:hAnsi="Times New Roman" w:cs="Times New Roman"/>
          <w:sz w:val="32"/>
          <w:szCs w:val="32"/>
        </w:rPr>
      </w:pPr>
      <w:bookmarkStart w:id="10" w:name="_Toc225970247"/>
      <w:r>
        <w:rPr>
          <w:rFonts w:cs="Times New Roman" w:ascii="Times New Roman" w:hAnsi="Times New Roman"/>
          <w:sz w:val="32"/>
          <w:szCs w:val="32"/>
        </w:rPr>
        <w:t>ЧАСТЬ 2. ПРЕДЛАГАЕМОЕ РЕШЕНИЕ</w:t>
      </w:r>
      <w:bookmarkEnd w:id="10"/>
    </w:p>
    <w:p>
      <w:pPr>
        <w:pStyle w:val="13"/>
        <w:rPr/>
      </w:pPr>
      <w:r>
        <w:rPr/>
      </w:r>
    </w:p>
    <w:p>
      <w:pPr>
        <w:pStyle w:val="13"/>
        <w:rPr/>
      </w:pPr>
      <w:r>
        <w:rPr/>
      </w:r>
    </w:p>
    <w:p>
      <w:pPr>
        <w:pStyle w:val="13"/>
        <w:rPr/>
      </w:pPr>
      <w:r>
        <w:rPr/>
      </w:r>
    </w:p>
    <w:p>
      <w:pPr>
        <w:pStyle w:val="13"/>
        <w:rPr/>
      </w:pPr>
      <w:r>
        <w:rPr/>
      </w:r>
    </w:p>
    <w:p>
      <w:pPr>
        <w:pStyle w:val="13"/>
        <w:rPr/>
      </w:pPr>
      <w:r>
        <w:rPr/>
      </w:r>
    </w:p>
    <w:p>
      <w:pPr>
        <w:pStyle w:val="Normal"/>
        <w:textAlignment w:val="auto"/>
        <w:rPr>
          <w:rFonts w:ascii="Times New Roman" w:hAnsi="Times New Roman"/>
          <w:sz w:val="28"/>
          <w:szCs w:val="28"/>
        </w:rPr>
      </w:pPr>
      <w:r>
        <w:rPr>
          <w:rFonts w:ascii="Times New Roman" w:hAnsi="Times New Roman"/>
          <w:sz w:val="28"/>
          <w:szCs w:val="28"/>
        </w:rPr>
      </w:r>
      <w:r>
        <w:br w:type="page"/>
      </w:r>
    </w:p>
    <w:p>
      <w:pPr>
        <w:pStyle w:val="Heading1"/>
        <w:numPr>
          <w:ilvl w:val="0"/>
          <w:numId w:val="1"/>
        </w:numPr>
        <w:spacing w:before="0" w:after="120"/>
        <w:jc w:val="center"/>
        <w:rPr>
          <w:rFonts w:ascii="Times New Roman" w:hAnsi="Times New Roman" w:cs="Times New Roman"/>
          <w:sz w:val="32"/>
          <w:szCs w:val="32"/>
        </w:rPr>
      </w:pPr>
      <w:bookmarkStart w:id="11" w:name="_Toc225970248"/>
      <w:r>
        <w:rPr>
          <w:rFonts w:cs="Times New Roman" w:ascii="Times New Roman" w:hAnsi="Times New Roman"/>
          <w:sz w:val="32"/>
          <w:szCs w:val="32"/>
        </w:rPr>
        <w:t>СПИСОК ЛИТЕРАТУРЫ</w:t>
      </w:r>
      <w:bookmarkEnd w:id="11"/>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2"/>
        </w:numPr>
        <w:spacing w:lineRule="auto" w:line="360"/>
        <w:ind w:firstLine="709" w:start="0"/>
        <w:rPr>
          <w:lang w:val="en-US"/>
        </w:rPr>
      </w:pPr>
      <w:r>
        <w:rPr>
          <w:rFonts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2"/>
        </w:numPr>
        <w:spacing w:lineRule="auto" w:line="360"/>
        <w:ind w:firstLine="709" w:start="0"/>
        <w:rPr>
          <w:lang w:val="en-US"/>
        </w:rPr>
      </w:pPr>
      <w:r>
        <w:rPr>
          <w:rFonts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2"/>
        </w:numPr>
        <w:spacing w:lineRule="auto" w:line="360"/>
        <w:ind w:firstLine="709" w:start="0"/>
        <w:rPr>
          <w:lang w:val="en-US"/>
        </w:rPr>
      </w:pPr>
      <w:r>
        <w:rPr>
          <w:rFonts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2"/>
        </w:numPr>
        <w:spacing w:lineRule="auto" w:line="360"/>
        <w:ind w:firstLine="709" w:start="0"/>
        <w:rPr>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pPr>
        <w:pStyle w:val="Standard"/>
        <w:numPr>
          <w:ilvl w:val="0"/>
          <w:numId w:val="2"/>
        </w:numPr>
        <w:spacing w:lineRule="auto" w:line="360"/>
        <w:ind w:firstLine="709" w:start="0"/>
        <w:rPr>
          <w:lang w:val="en-US"/>
        </w:rPr>
      </w:pPr>
      <w:r>
        <w:rPr>
          <w:rFonts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pPr>
        <w:pStyle w:val="Standard"/>
        <w:numPr>
          <w:ilvl w:val="0"/>
          <w:numId w:val="2"/>
        </w:numPr>
        <w:spacing w:lineRule="auto" w:line="360"/>
        <w:ind w:firstLine="709" w:start="0"/>
        <w:rPr>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pPr>
        <w:pStyle w:val="Standard"/>
        <w:numPr>
          <w:ilvl w:val="0"/>
          <w:numId w:val="2"/>
        </w:numPr>
        <w:spacing w:lineRule="auto" w:line="360"/>
        <w:ind w:firstLine="709" w:start="0"/>
        <w:rPr>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2"/>
        </w:numPr>
        <w:spacing w:lineRule="auto" w:line="360"/>
        <w:ind w:firstLine="709" w:start="0"/>
        <w:rPr>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2"/>
        </w:numPr>
        <w:spacing w:lineRule="auto" w:line="360"/>
        <w:ind w:firstLine="709" w:start="0"/>
        <w:rPr>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2"/>
        </w:numPr>
        <w:spacing w:lineRule="auto" w:line="360"/>
        <w:ind w:firstLine="709" w:start="0"/>
        <w:rPr>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2"/>
        </w:numPr>
        <w:spacing w:lineRule="auto" w:line="360"/>
        <w:ind w:firstLine="709" w:start="0"/>
        <w:rPr/>
      </w:pPr>
      <w:r>
        <w:rPr>
          <w:rFonts w:ascii="Times New Roman" w:hAnsi="Times New Roman"/>
          <w:sz w:val="28"/>
          <w:szCs w:val="28"/>
        </w:rPr>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r>
        <w:rPr>
          <w:rFonts w:ascii="Times New Roman" w:hAnsi="Times New Roman"/>
          <w:sz w:val="28"/>
          <w:szCs w:val="28"/>
          <w:lang w:val="en-US"/>
        </w:rPr>
        <w:t>elar</w:t>
      </w:r>
      <w:r>
        <w:rPr>
          <w:rFonts w:ascii="Times New Roman" w:hAnsi="Times New Roman"/>
          <w:sz w:val="28"/>
          <w:szCs w:val="28"/>
        </w:rPr>
        <w:t>.</w:t>
      </w:r>
      <w:r>
        <w:rPr>
          <w:rFonts w:ascii="Times New Roman" w:hAnsi="Times New Roman"/>
          <w:sz w:val="28"/>
          <w:szCs w:val="28"/>
          <w:lang w:val="en-US"/>
        </w:rPr>
        <w:t>urfu</w:t>
      </w:r>
      <w:r>
        <w:rPr>
          <w:rFonts w:ascii="Times New Roman" w:hAnsi="Times New Roman"/>
          <w:sz w:val="28"/>
          <w:szCs w:val="28"/>
        </w:rPr>
        <w:t>.</w:t>
      </w:r>
      <w:r>
        <w:rPr>
          <w:rFonts w:ascii="Times New Roman" w:hAnsi="Times New Roman"/>
          <w:sz w:val="28"/>
          <w:szCs w:val="28"/>
          <w:lang w:val="en-US"/>
        </w:rPr>
        <w:t>ru</w:t>
      </w:r>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r>
        <w:rPr>
          <w:rFonts w:ascii="Times New Roman" w:hAnsi="Times New Roman"/>
          <w:sz w:val="28"/>
          <w:szCs w:val="28"/>
          <w:lang w:val="en-US"/>
        </w:rPr>
        <w:t>th</w:t>
      </w:r>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r>
        <w:rPr>
          <w:rFonts w:ascii="Times New Roman" w:hAnsi="Times New Roman"/>
          <w:sz w:val="28"/>
          <w:szCs w:val="28"/>
          <w:lang w:val="en-US"/>
        </w:rPr>
        <w:t>pyatkov</w:t>
      </w:r>
      <w:r>
        <w:rPr>
          <w:rFonts w:ascii="Times New Roman" w:hAnsi="Times New Roman"/>
          <w:sz w:val="28"/>
          <w:szCs w:val="28"/>
        </w:rPr>
        <w:t>_2022.</w:t>
      </w:r>
      <w:r>
        <w:rPr>
          <w:rFonts w:ascii="Times New Roman" w:hAnsi="Times New Roman"/>
          <w:sz w:val="28"/>
          <w:szCs w:val="28"/>
          <w:lang w:val="en-US"/>
        </w:rPr>
        <w:t>pdf</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Ростов-на-Дону: Феникс.</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Моросанова,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Войскунский,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Фогг,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World Health Organization. (2022). Global status report on physical activity 2022. WHO Press.</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 xml:space="preserve">World Health Organization. (2020). WHO guidelines on physical activity and sedentary behaviour. </w:t>
      </w:r>
      <w:r>
        <w:rPr>
          <w:rFonts w:hint="eastAsia" w:ascii="Times New Roman" w:hAnsi="Times New Roman"/>
          <w:sz w:val="28"/>
          <w:szCs w:val="28"/>
        </w:rPr>
        <w:t>WHO Press.</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 xml:space="preserve">We Are Social &amp; Hootsuite. (2023). Digital 2023: Global Overview Report. </w:t>
      </w:r>
      <w:r>
        <w:rPr>
          <w:rFonts w:hint="eastAsia" w:ascii="Times New Roman" w:hAnsi="Times New Roman"/>
          <w:sz w:val="28"/>
          <w:szCs w:val="28"/>
        </w:rPr>
        <w:t>DataReportal.</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lang w:val="en-US"/>
        </w:rPr>
        <w:t>Wood, W., &amp; Rünger, D. (2016). Psychology of habit. </w:t>
      </w:r>
      <w:r>
        <w:rPr>
          <w:rFonts w:ascii="Times New Roman" w:hAnsi="Times New Roman"/>
          <w:i/>
          <w:iCs/>
          <w:sz w:val="28"/>
          <w:szCs w:val="28"/>
        </w:rPr>
        <w:t>Annual Review of Psychology</w:t>
      </w:r>
      <w:r>
        <w:rPr>
          <w:rFonts w:ascii="Times New Roman" w:hAnsi="Times New Roman"/>
          <w:sz w:val="28"/>
          <w:szCs w:val="28"/>
        </w:rPr>
        <w:t>, 67, 289–314.</w:t>
      </w:r>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pPr>
        <w:pStyle w:val="Standard"/>
        <w:numPr>
          <w:ilvl w:val="0"/>
          <w:numId w:val="2"/>
        </w:numPr>
        <w:spacing w:lineRule="auto" w:line="360"/>
        <w:ind w:firstLine="709" w:start="0"/>
        <w:rPr>
          <w:rFonts w:ascii="Times New Roman" w:hAnsi="Times New Roman"/>
          <w:sz w:val="28"/>
          <w:szCs w:val="28"/>
        </w:rPr>
      </w:pPr>
      <w:r>
        <w:rPr>
          <w:rFonts w:ascii="Times New Roman" w:hAnsi="Times New Roman"/>
          <w:sz w:val="28"/>
          <w:szCs w:val="28"/>
          <w:lang w:val="en-US"/>
        </w:rPr>
        <w:t>Johnson, D., Deterding, S., Kuhn, K. A., Staneva, A., Stoyanov, S., &amp; Hides, L. (2016). Gamification for health and wellbeing: A systematic review of the literature. </w:t>
      </w:r>
      <w:r>
        <w:rPr>
          <w:rFonts w:ascii="Times New Roman" w:hAnsi="Times New Roman"/>
          <w:i/>
          <w:iCs/>
          <w:sz w:val="28"/>
          <w:szCs w:val="28"/>
        </w:rPr>
        <w:t>Internet Interventions</w:t>
      </w:r>
      <w:r>
        <w:rPr>
          <w:rFonts w:ascii="Times New Roman" w:hAnsi="Times New Roman"/>
          <w:sz w:val="28"/>
          <w:szCs w:val="28"/>
        </w:rPr>
        <w:t>, 6, 89–106.</w:t>
      </w:r>
    </w:p>
    <w:p>
      <w:pPr>
        <w:pStyle w:val="Standard"/>
        <w:numPr>
          <w:ilvl w:val="0"/>
          <w:numId w:val="2"/>
        </w:numPr>
        <w:spacing w:lineRule="auto" w:line="360"/>
        <w:ind w:firstLine="709" w:start="0"/>
        <w:rPr>
          <w:rFonts w:ascii="Times New Roman" w:hAnsi="Times New Roman"/>
          <w:sz w:val="28"/>
          <w:szCs w:val="28"/>
          <w:lang w:val="en-US"/>
        </w:rPr>
      </w:pPr>
      <w:r>
        <w:rPr>
          <w:rFonts w:ascii="Times New Roman" w:hAnsi="Times New Roman"/>
          <w:sz w:val="28"/>
          <w:szCs w:val="28"/>
          <w:lang w:val="en-US"/>
        </w:rPr>
        <w:t>Laranjo, L., Dunn, A. G., Tong, H. L., Kocaballi, A. B., Chen, J., Bashir, R., ... &amp; Coiera,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Clear, J. (2018). Atomic Habits: An Easy &amp; Proven Way to Build Good Habits &amp; Break Bad Ones. Avery.</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Fogg, B. J. (2019). Tiny Habits: The Small Changes That Change Everything. Houghton Mifflin Harcourt.</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Duhigg, C. (2012). The Power of Habit: Why We Do What We Do in Life and Business. Random House.</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Kahneman, D. (2011). Thinking, Fast and Slow. Farrar, Straus and Giroux.</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Eyal, N. (2014). Hooked: How to Build Habit-Forming Products. Portfolio.</w:t>
      </w:r>
    </w:p>
    <w:p>
      <w:pPr>
        <w:pStyle w:val="Standard"/>
        <w:numPr>
          <w:ilvl w:val="0"/>
          <w:numId w:val="2"/>
        </w:numPr>
        <w:spacing w:lineRule="auto" w:line="360"/>
        <w:ind w:firstLine="709" w:start="0"/>
        <w:rPr>
          <w:rFonts w:ascii="Times New Roman" w:hAnsi="Times New Roman"/>
          <w:sz w:val="28"/>
          <w:szCs w:val="28"/>
        </w:rPr>
      </w:pPr>
      <w:r>
        <w:rPr>
          <w:rFonts w:hint="eastAsia" w:ascii="Times New Roman" w:hAnsi="Times New Roman"/>
          <w:sz w:val="28"/>
          <w:szCs w:val="28"/>
          <w:lang w:val="en-US"/>
        </w:rPr>
        <w:t>Pink, D. H. (2009). Drive: The Surprising Truth About What Motivates Us. Riverhead Books.</w:t>
      </w:r>
    </w:p>
    <w:p>
      <w:pPr>
        <w:pStyle w:val="Standard"/>
        <w:numPr>
          <w:ilvl w:val="0"/>
          <w:numId w:val="2"/>
        </w:numPr>
        <w:spacing w:lineRule="auto" w:line="360"/>
        <w:ind w:firstLine="709" w:start="0"/>
        <w:rPr>
          <w:rFonts w:ascii="Times New Roman" w:hAnsi="Times New Roman"/>
          <w:sz w:val="28"/>
          <w:szCs w:val="28"/>
          <w:lang w:val="en-US"/>
        </w:rPr>
      </w:pPr>
      <w:r>
        <w:rPr>
          <w:rFonts w:hint="eastAsia" w:ascii="Times New Roman" w:hAnsi="Times New Roman"/>
          <w:sz w:val="28"/>
          <w:szCs w:val="28"/>
          <w:lang w:val="en-US"/>
        </w:rPr>
        <w:t>Thaler, R. H., &amp; Sunstein, C. R. (2008). Nudge: Improving Decisions About Health, Wealth, and Happiness. Yale University Press.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Light">
    <w:charset w:val="cc" w:characterSet="windows-1251"/>
    <w:family w:val="roman"/>
    <w:pitch w:val="variable"/>
  </w:font>
  <w:font w:name="OpenSymbol">
    <w:altName w:val="Arial Unicode MS"/>
    <w:charset w:val="cc" w:characterSet="windows-1251"/>
    <w:family w:val="roman"/>
    <w:pitch w:val="variable"/>
  </w:font>
  <w:font w:name="Times New Roman">
    <w:charset w:val="cc" w:characterSet="windows-1251"/>
    <w:family w:val="roman"/>
    <w:pitch w:val="variable"/>
  </w:font>
  <w:font w:name="Liberation Sans">
    <w:altName w:val="Arial"/>
    <w:charset w:val="cc" w:characterSet="windows-125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080" w:hanging="360"/>
      </w:pPr>
      <w:rPr/>
    </w:lvl>
    <w:lvl w:ilvl="2">
      <w:start w:val="1"/>
      <w:numFmt w:val="decimal"/>
      <w:lvlText w:val="%3."/>
      <w:lvlJc w:val="start"/>
      <w:pPr>
        <w:tabs>
          <w:tab w:val="num" w:pos="0"/>
        </w:tabs>
        <w:ind w:start="1440" w:hanging="360"/>
      </w:pPr>
      <w:rPr/>
    </w:lvl>
    <w:lvl w:ilvl="3">
      <w:start w:val="1"/>
      <w:numFmt w:val="decimal"/>
      <w:lvlText w:val="%4."/>
      <w:lvlJc w:val="start"/>
      <w:pPr>
        <w:tabs>
          <w:tab w:val="num" w:pos="0"/>
        </w:tabs>
        <w:ind w:start="1800" w:hanging="360"/>
      </w:pPr>
      <w:rPr/>
    </w:lvl>
    <w:lvl w:ilvl="4">
      <w:start w:val="1"/>
      <w:numFmt w:val="decimal"/>
      <w:lvlText w:val="%5."/>
      <w:lvlJc w:val="start"/>
      <w:pPr>
        <w:tabs>
          <w:tab w:val="num" w:pos="0"/>
        </w:tabs>
        <w:ind w:start="2160" w:hanging="360"/>
      </w:pPr>
      <w:rPr/>
    </w:lvl>
    <w:lvl w:ilvl="5">
      <w:start w:val="1"/>
      <w:numFmt w:val="decimal"/>
      <w:lvlText w:val="%6."/>
      <w:lvlJc w:val="start"/>
      <w:pPr>
        <w:tabs>
          <w:tab w:val="num" w:pos="0"/>
        </w:tabs>
        <w:ind w:start="2520" w:hanging="360"/>
      </w:pPr>
      <w:rPr/>
    </w:lvl>
    <w:lvl w:ilvl="6">
      <w:start w:val="1"/>
      <w:numFmt w:val="decimal"/>
      <w:lvlText w:val="%7."/>
      <w:lvlJc w:val="start"/>
      <w:pPr>
        <w:tabs>
          <w:tab w:val="num" w:pos="0"/>
        </w:tabs>
        <w:ind w:start="2880" w:hanging="360"/>
      </w:pPr>
      <w:rPr/>
    </w:lvl>
    <w:lvl w:ilvl="7">
      <w:start w:val="1"/>
      <w:numFmt w:val="decimal"/>
      <w:lvlText w:val="%8."/>
      <w:lvlJc w:val="start"/>
      <w:pPr>
        <w:tabs>
          <w:tab w:val="num" w:pos="0"/>
        </w:tabs>
        <w:ind w:start="3240" w:hanging="360"/>
      </w:pPr>
      <w:rPr/>
    </w:lvl>
    <w:lvl w:ilvl="8">
      <w:start w:val="1"/>
      <w:numFmt w:val="decimal"/>
      <w:lvlText w:val="%9."/>
      <w:lvlJc w:val="start"/>
      <w:pPr>
        <w:tabs>
          <w:tab w:val="num" w:pos="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09"/>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01aa"/>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1"/>
    <w:next w:val="BodyText"/>
    <w:qFormat/>
    <w:pPr>
      <w:numPr>
        <w:ilvl w:val="0"/>
        <w:numId w:val="1"/>
      </w:numPr>
      <w:outlineLvl w:val="0"/>
    </w:pPr>
    <w:rPr>
      <w:b/>
      <w:bCs/>
      <w:sz w:val="36"/>
      <w:szCs w:val="36"/>
    </w:rPr>
  </w:style>
  <w:style w:type="paragraph" w:styleId="Heading2">
    <w:name w:val="heading 2"/>
    <w:basedOn w:val="Normal"/>
    <w:next w:val="Normal"/>
    <w:link w:val="2"/>
    <w:uiPriority w:val="9"/>
    <w:semiHidden/>
    <w:unhideWhenUsed/>
    <w:qFormat/>
    <w:rsid w:val="003b1f91"/>
    <w:pPr>
      <w:keepNext w:val="true"/>
      <w:keepLines/>
      <w:spacing w:before="40" w:after="0"/>
      <w:outlineLvl w:val="1"/>
    </w:pPr>
    <w:rPr>
      <w:rFonts w:ascii="Calibri Light" w:hAnsi="Calibri Light" w:eastAsia="" w:cs="Mangal" w:asciiTheme="majorHAnsi" w:eastAsiaTheme="majorEastAsia" w:hAnsiTheme="majorHAnsi"/>
      <w:color w:themeColor="accent1" w:themeShade="bf" w:val="2F5496"/>
      <w:sz w:val="26"/>
      <w:szCs w:val="23"/>
    </w:rPr>
  </w:style>
  <w:style w:type="character" w:styleId="DefaultParagraphFont" w:default="1">
    <w:name w:val="Default Paragraph Font"/>
    <w:uiPriority w:val="1"/>
    <w:semiHidden/>
    <w:unhideWhenUsed/>
    <w:qFormat/>
    <w:rPr/>
  </w:style>
  <w:style w:type="character" w:styleId="Internetlink" w:customStyle="1">
    <w:name w:val="Internet link"/>
    <w:qFormat/>
    <w:rPr>
      <w:color w:val="000080"/>
      <w:u w:val="single"/>
    </w:rPr>
  </w:style>
  <w:style w:type="character" w:styleId="Style12" w:customStyle="1">
    <w:name w:val="Символ нумерации"/>
    <w:qFormat/>
    <w:rPr/>
  </w:style>
  <w:style w:type="character" w:styleId="Style13" w:customStyle="1">
    <w:name w:val="Маркеры"/>
    <w:qFormat/>
    <w:rPr>
      <w:rFonts w:ascii="OpenSymbol" w:hAnsi="OpenSymbol" w:eastAsia="OpenSymbol" w:cs="OpenSymbol"/>
    </w:rPr>
  </w:style>
  <w:style w:type="character" w:styleId="Hyperlink">
    <w:name w:val="Hyperlink"/>
    <w:uiPriority w:val="99"/>
    <w:rPr>
      <w:color w:val="000080"/>
      <w:u w:val="single"/>
    </w:rPr>
  </w:style>
  <w:style w:type="character" w:styleId="Style14" w:customStyle="1">
    <w:name w:val="Ссылка указателя"/>
    <w:qFormat/>
    <w:rPr/>
  </w:style>
  <w:style w:type="character" w:styleId="Style15"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5"/>
    <w:link w:val="13"/>
    <w:qFormat/>
    <w:rsid w:val="00827d46"/>
    <w:rPr>
      <w:rFonts w:ascii="Times New Roman" w:hAnsi="Times New Roman"/>
      <w:sz w:val="28"/>
    </w:rPr>
  </w:style>
  <w:style w:type="character" w:styleId="2" w:customStyle="1">
    <w:name w:val="Заголовок 2 Знак"/>
    <w:basedOn w:val="DefaultParagraphFont"/>
    <w:uiPriority w:val="9"/>
    <w:semiHidden/>
    <w:qFormat/>
    <w:rsid w:val="003b1f91"/>
    <w:rPr>
      <w:rFonts w:ascii="Calibri Light" w:hAnsi="Calibri Light" w:eastAsia="" w:cs="Mangal" w:asciiTheme="majorHAnsi" w:eastAsiaTheme="majorEastAsia" w:hAnsiTheme="majorHAnsi"/>
      <w:color w:themeColor="accent1" w:themeShade="bf" w:val="2F5496"/>
      <w:sz w:val="26"/>
      <w:szCs w:val="23"/>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user" w:customStyle="1">
    <w:name w:val="Ссылка указателя (user)"/>
    <w:qFormat/>
    <w:rPr/>
  </w:style>
  <w:style w:type="character" w:styleId="user1" w:customStyle="1">
    <w:name w:val="Символ нумерации (user)"/>
    <w:qFormat/>
    <w:rPr/>
  </w:style>
  <w:style w:type="paragraph" w:styleId="Style16">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5"/>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7">
    <w:name w:val="Указатель"/>
    <w:basedOn w:val="Normal"/>
    <w:qFormat/>
    <w:pPr>
      <w:suppressLineNumbers/>
    </w:pPr>
    <w:rPr>
      <w:rFonts w:cs="Lucida Sans"/>
    </w:rPr>
  </w:style>
  <w:style w:type="paragraph" w:styleId="Title">
    <w:name w:val="Title"/>
    <w:basedOn w:val="11"/>
    <w:next w:val="BodyText"/>
    <w:qFormat/>
    <w:pPr>
      <w:jc w:val="center"/>
    </w:pPr>
    <w:rPr>
      <w:b/>
      <w:bCs/>
      <w:sz w:val="56"/>
      <w:szCs w:val="56"/>
    </w:rPr>
  </w:style>
  <w:style w:type="paragraph" w:styleId="IndexHeading">
    <w:name w:val="index heading"/>
    <w:basedOn w:val="11"/>
    <w:pPr>
      <w:suppressLineNumbers/>
    </w:pPr>
    <w:rPr>
      <w:b/>
      <w:bCs/>
      <w:sz w:val="32"/>
      <w:szCs w:val="32"/>
    </w:rPr>
  </w:style>
  <w:style w:type="paragraph" w:styleId="11"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2"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qFormat/>
    <w:pPr/>
    <w:rPr/>
  </w:style>
  <w:style w:type="paragraph" w:styleId="TOC1">
    <w:name w:val="toc 1"/>
    <w:basedOn w:val="12"/>
    <w:uiPriority w:val="39"/>
    <w:pPr>
      <w:tabs>
        <w:tab w:val="clear" w:pos="709"/>
        <w:tab w:val="right" w:pos="9638" w:leader="dot"/>
      </w:tabs>
    </w:pPr>
    <w:rPr/>
  </w:style>
  <w:style w:type="paragraph" w:styleId="13" w:customStyle="1">
    <w:name w:val="Стиль1"/>
    <w:basedOn w:val="BodyText"/>
    <w:link w:val="1"/>
    <w:qFormat/>
    <w:rsid w:val="00827d46"/>
    <w:pPr>
      <w:spacing w:before="120" w:after="120"/>
    </w:pPr>
    <w:rPr/>
  </w:style>
  <w:style w:type="numbering" w:styleId="Style18" w:customStyle="1">
    <w:name w:val="Без списка"/>
    <w:uiPriority w:val="99"/>
    <w:semiHidden/>
    <w:unhideWhenUsed/>
    <w:qFormat/>
  </w:style>
  <w:style w:type="numbering" w:styleId="user2" w:customStyle="1">
    <w:name w:val="Без списка (user)"/>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0">
    <w:name w:val="Table Grid"/>
    <w:basedOn w:val="a2"/>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631</TotalTime>
  <Application>LibreOffice/25.8.5.2$Windows_X86_64 LibreOffice_project/9c8b85f387cc00a89945a79c9e6239f32e450ac2</Application>
  <AppVersion>15.0000</AppVersion>
  <Pages>4</Pages>
  <Words>6225</Words>
  <Characters>46591</Characters>
  <CharactersWithSpaces>52476</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Павел Гамов</cp:lastModifiedBy>
  <dcterms:modified xsi:type="dcterms:W3CDTF">2026-04-01T18:45:00Z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