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andard"/>
        <w:spacing w:lineRule="auto" w:line="360"/>
        <w:jc w:val="center"/>
        <w:rPr>
          <w:sz w:val="28"/>
          <w:szCs w:val="28"/>
        </w:rPr>
      </w:pPr>
      <w:r>
        <w:rPr>
          <w:rFonts w:ascii="Times New Roman" w:hAnsi="Times New Roman"/>
          <w:b/>
          <w:bCs/>
          <w:color w:val="000000"/>
          <w:sz w:val="28"/>
          <w:szCs w:val="28"/>
        </w:rPr>
        <w:t>Методика формирования здоровых привычек средствами игровой психологии и наставнической поддержки в чат ботах</w:t>
      </w:r>
    </w:p>
    <w:p>
      <w:pPr>
        <w:pStyle w:val="Standard"/>
        <w:spacing w:lineRule="auto" w:line="360"/>
        <w:rPr>
          <w:rFonts w:ascii="Times New Roman" w:hAnsi="Times New Roman"/>
          <w:b/>
          <w:bCs/>
          <w:i/>
          <w:iCs/>
          <w:sz w:val="28"/>
          <w:szCs w:val="28"/>
        </w:rPr>
      </w:pPr>
      <w:r>
        <w:rPr>
          <w:rFonts w:ascii="Times New Roman" w:hAnsi="Times New Roman"/>
          <w:b/>
          <w:bCs/>
          <w:i/>
          <w:iCs/>
          <w:sz w:val="28"/>
          <w:szCs w:val="28"/>
        </w:rPr>
      </w:r>
    </w:p>
    <w:p>
      <w:pPr>
        <w:pStyle w:val="Standard"/>
        <w:spacing w:lineRule="auto" w:line="360"/>
        <w:jc w:val="end"/>
        <w:rPr/>
      </w:pPr>
      <w:r>
        <w:rPr>
          <w:rFonts w:ascii="Times New Roman" w:hAnsi="Times New Roman"/>
          <w:b/>
          <w:bCs/>
          <w:i/>
          <w:iCs/>
        </w:rPr>
        <w:t>Г</w:t>
      </w:r>
      <w:r>
        <w:rPr>
          <w:rFonts w:ascii="Times New Roman" w:hAnsi="Times New Roman"/>
          <w:b/>
          <w:bCs/>
          <w:i/>
          <w:iCs/>
          <w:sz w:val="28"/>
          <w:szCs w:val="28"/>
        </w:rPr>
        <w:t>амов Павел Антонович</w:t>
      </w:r>
    </w:p>
    <w:p>
      <w:pPr>
        <w:pStyle w:val="Standard"/>
        <w:spacing w:lineRule="auto" w:line="360"/>
        <w:jc w:val="end"/>
        <w:rPr>
          <w:sz w:val="28"/>
          <w:szCs w:val="28"/>
        </w:rPr>
      </w:pPr>
      <w:r>
        <w:rPr>
          <w:rFonts w:ascii="Times New Roman" w:hAnsi="Times New Roman"/>
          <w:i/>
          <w:iCs/>
          <w:sz w:val="28"/>
          <w:szCs w:val="28"/>
        </w:rPr>
        <w:t>магистрант по программе «Прикладная информатика» Федерального государственного автономного образовательного учреждения высшего образования «Российский университет транспорта»,</w:t>
      </w:r>
    </w:p>
    <w:p>
      <w:pPr>
        <w:pStyle w:val="Standard"/>
        <w:spacing w:lineRule="auto" w:line="360"/>
        <w:jc w:val="end"/>
        <w:rPr>
          <w:sz w:val="28"/>
          <w:szCs w:val="28"/>
        </w:rPr>
      </w:pPr>
      <w:r>
        <w:rPr>
          <w:rFonts w:ascii="Times New Roman" w:hAnsi="Times New Roman"/>
          <w:i/>
          <w:iCs/>
          <w:sz w:val="28"/>
          <w:szCs w:val="28"/>
        </w:rPr>
        <w:t>Москва, Россия, 1294013@edu.rut-miit.ru</w:t>
      </w:r>
    </w:p>
    <w:p>
      <w:pPr>
        <w:pStyle w:val="Normal"/>
        <w:spacing w:lineRule="auto" w:line="360"/>
        <w:ind w:hanging="0"/>
        <w:rPr/>
      </w:pPr>
      <w:r>
        <w:rPr/>
      </w:r>
    </w:p>
    <w:p>
      <w:pPr>
        <w:pStyle w:val="Normal"/>
        <w:spacing w:lineRule="auto" w:line="360"/>
        <w:rPr/>
      </w:pPr>
      <w:r>
        <w:rPr>
          <w:b/>
          <w:bCs/>
        </w:rPr>
        <w:t>А</w:t>
      </w:r>
      <w:r>
        <w:rPr>
          <w:b/>
          <w:bCs/>
          <w:sz w:val="28"/>
          <w:szCs w:val="28"/>
        </w:rPr>
        <w:t xml:space="preserve">ннотация: </w:t>
      </w:r>
      <w:r>
        <w:rPr>
          <w:iCs/>
          <w:sz w:val="28"/>
          <w:szCs w:val="28"/>
        </w:rPr>
        <w:t>В статье представлена авторская методика формирования здоровых привычек, разработанная для условий цифровизации повседневной жизни. Методика основана на синергетическом сочетании инструментов геймификации и механизмов наставнической поддержки. Целью разработки является преодоление ограничений существующих коммерческих решений за счет повышения уровня персонализации, мгновенной обратной связи и устойчивой мотивации пользователей. Описаны ключевые элементы методики, ее отличия от аналогов и теоретически обоснованные ожидаемые эффекты от внедрения.</w:t>
      </w:r>
    </w:p>
    <w:p>
      <w:pPr>
        <w:pStyle w:val="Normal"/>
        <w:spacing w:lineRule="auto" w:line="360"/>
        <w:rPr>
          <w:iCs/>
        </w:rPr>
      </w:pPr>
      <w:r>
        <w:rPr>
          <w:iCs/>
        </w:rPr>
      </w:r>
    </w:p>
    <w:p>
      <w:pPr>
        <w:pStyle w:val="Normal"/>
        <w:spacing w:lineRule="auto" w:line="360"/>
        <w:rPr/>
      </w:pPr>
      <w:r>
        <w:rPr>
          <w:color w:themeColor="accent6" w:themeShade="bf" w:val="538135"/>
        </w:rPr>
        <w:t>1. Описать методику как это делается в других работах в РИНЦ, где заявлена методика</w:t>
      </w:r>
    </w:p>
    <w:p>
      <w:pPr>
        <w:pStyle w:val="Normal"/>
        <w:spacing w:lineRule="auto" w:line="360"/>
        <w:rPr/>
      </w:pPr>
      <w:r>
        <w:rPr>
          <w:color w:themeColor="accent6" w:themeShade="bf" w:val="538135"/>
        </w:rPr>
        <w:t>2. Привести ключевые отличия методики, от существующих похожих</w:t>
      </w:r>
    </w:p>
    <w:p>
      <w:pPr>
        <w:pStyle w:val="Normal"/>
        <w:spacing w:lineRule="auto" w:line="360"/>
        <w:rPr/>
      </w:pPr>
      <w:r>
        <w:rPr>
          <w:color w:themeColor="accent6" w:themeShade="bf" w:val="538135"/>
        </w:rPr>
        <w:t>3. Добавить и описать эффекты (можно не считать) от реализации именно вашей методики</w:t>
      </w:r>
    </w:p>
    <w:p>
      <w:pPr>
        <w:pStyle w:val="Normal"/>
        <w:spacing w:lineRule="auto" w:line="360"/>
        <w:ind w:hanging="0"/>
        <w:rPr/>
      </w:pPr>
      <w:r>
        <w:rPr/>
      </w:r>
    </w:p>
    <w:p>
      <w:pPr>
        <w:pStyle w:val="Normal"/>
        <w:spacing w:lineRule="auto" w:line="360"/>
        <w:rPr>
          <w:sz w:val="28"/>
          <w:szCs w:val="28"/>
        </w:rPr>
      </w:pPr>
      <w:r>
        <w:rPr>
          <w:sz w:val="28"/>
          <w:szCs w:val="28"/>
          <w:lang w:val="en-US"/>
        </w:rPr>
        <w:t>A</w:t>
      </w:r>
      <w:r>
        <w:rPr>
          <w:b/>
          <w:bCs/>
          <w:sz w:val="28"/>
          <w:szCs w:val="28"/>
          <w:lang w:val="en-US"/>
        </w:rPr>
        <w:t xml:space="preserve">bstract: </w:t>
      </w:r>
      <w:r>
        <w:rPr>
          <w:sz w:val="28"/>
          <w:szCs w:val="28"/>
          <w:lang w:val="en-US"/>
        </w:rPr>
        <w:t>This article proposes a proprietary methodology for developing healthy habits, developing conditions for the digitalization of everyday life. The methodology is based on the synergistic combination of gamification tools and mentoring principles. The goal of the development is to overcome the limitations of existing commercial solutions by increasing personalization, instant feedback, and sustainable user motivation. The key elements of the methodology, its differences from original approaches, and the substantiated expected effects of quality are described.</w:t>
      </w:r>
    </w:p>
    <w:p>
      <w:pPr>
        <w:pStyle w:val="Normal"/>
        <w:spacing w:lineRule="auto" w:line="360"/>
        <w:rPr>
          <w:sz w:val="28"/>
          <w:szCs w:val="28"/>
          <w:lang w:val="en-US"/>
        </w:rPr>
      </w:pPr>
      <w:r>
        <w:rPr>
          <w:sz w:val="28"/>
          <w:szCs w:val="28"/>
          <w:lang w:val="en-US"/>
        </w:rPr>
      </w:r>
    </w:p>
    <w:p>
      <w:pPr>
        <w:pStyle w:val="Normal"/>
        <w:spacing w:lineRule="auto" w:line="360"/>
        <w:rPr>
          <w:sz w:val="28"/>
          <w:szCs w:val="28"/>
        </w:rPr>
      </w:pPr>
      <w:r>
        <w:rPr>
          <w:b/>
          <w:bCs/>
          <w:sz w:val="28"/>
          <w:szCs w:val="28"/>
        </w:rPr>
        <w:t>Ключевые слова:</w:t>
      </w:r>
      <w:r>
        <w:rPr>
          <w:sz w:val="28"/>
          <w:szCs w:val="28"/>
        </w:rPr>
        <w:t xml:space="preserve"> интернет-приложения, геймификация, формирование здоровых привычек, игровая психология, наставническая поддержка, мотивация и привычки, поведенческие изменения, геймификация в здоровье, автоматизация поддержки.</w:t>
      </w:r>
    </w:p>
    <w:p>
      <w:pPr>
        <w:pStyle w:val="Normal"/>
        <w:spacing w:lineRule="auto" w:line="360"/>
        <w:rPr>
          <w:sz w:val="28"/>
          <w:szCs w:val="28"/>
        </w:rPr>
      </w:pPr>
      <w:r>
        <w:rPr>
          <w:b/>
          <w:bCs/>
          <w:sz w:val="28"/>
          <w:szCs w:val="28"/>
          <w:lang w:val="en-US"/>
        </w:rPr>
        <w:t xml:space="preserve">Keywords: </w:t>
      </w:r>
      <w:r>
        <w:rPr>
          <w:sz w:val="28"/>
          <w:szCs w:val="28"/>
          <w:lang w:val="en-US"/>
        </w:rPr>
        <w:t>internet applications, gamification, healthy habit formation, game psychology, mentoring support, motivation and habits, behavioral change, gamification in health, support automation.</w:t>
      </w:r>
    </w:p>
    <w:p>
      <w:pPr>
        <w:pStyle w:val="Normal"/>
        <w:spacing w:lineRule="auto" w:line="360"/>
        <w:rPr/>
      </w:pPr>
      <w:r>
        <w:rPr/>
      </w:r>
    </w:p>
    <w:p>
      <w:pPr>
        <w:pStyle w:val="Normal"/>
        <w:spacing w:lineRule="auto" w:line="360"/>
        <w:rPr>
          <w:sz w:val="28"/>
          <w:szCs w:val="28"/>
        </w:rPr>
      </w:pPr>
      <w:r>
        <w:rPr>
          <w:sz w:val="28"/>
          <w:szCs w:val="28"/>
        </w:rPr>
        <w:t>Цифровизация оказывает неоднозначное влияние на образ жизни, способствуя снижению физической активности и росту стресса. Существующие цифровые решения (трекеры привычек, фитнес-приложения) часто носят коммерческий характер и обладают ограниченной эффективностью из-за поверхностной геймификации, отсутствия глубинной персонализации и экспертной поддержки. Возникает потребность в комплексных методиках, использующих преимущества цифровых технологий для формирования устойчивого здорового поведения. [1]</w:t>
      </w:r>
    </w:p>
    <w:p>
      <w:pPr>
        <w:pStyle w:val="Normal"/>
        <w:spacing w:lineRule="auto" w:line="360"/>
        <w:rPr>
          <w:sz w:val="28"/>
          <w:szCs w:val="28"/>
        </w:rPr>
      </w:pPr>
      <w:r>
        <w:rPr>
          <w:sz w:val="28"/>
          <w:szCs w:val="28"/>
        </w:rPr>
        <w:t>Актуальность данной публикации определяется необходимостью разработки комплексной методики, которая бы объединила два ранее не сочетавшихся подхода: инструменты геймификации для повышения вовлечённости пользователя и механизмы наставнической поддержки через анонимные чаты для получения профессиональной консультации. Реализация данной методики в формате чат-бота обеспечивает максимальную доступность и удобство использования для целевой аудитории – молодых людей в возрасте до 30 лет.</w:t>
      </w:r>
    </w:p>
    <w:p>
      <w:pPr>
        <w:pStyle w:val="Normal"/>
        <w:spacing w:lineRule="auto" w:line="360"/>
        <w:rPr>
          <w:sz w:val="28"/>
          <w:szCs w:val="28"/>
        </w:rPr>
      </w:pPr>
      <w:r>
        <w:rPr>
          <w:sz w:val="28"/>
          <w:szCs w:val="28"/>
        </w:rPr>
        <w:t>Разработанная методика представляет собой последовательную систему действий, направленную на формирование целевой привычки через прохождение пользователем ряда этапов: постановка цели, выполнение регулярных действий, получение обратной связи и рефлексия. Методика реализуется в цифровой среде посредством чат-бота и опирается на две взаимодополняющие парадигмы: глубокую геймификацию и анонимное наставничество.</w:t>
      </w:r>
    </w:p>
    <w:p>
      <w:pPr>
        <w:pStyle w:val="Normal"/>
        <w:spacing w:lineRule="auto" w:line="360"/>
        <w:rPr>
          <w:sz w:val="28"/>
          <w:szCs w:val="28"/>
        </w:rPr>
      </w:pPr>
      <w:r>
        <w:rPr>
          <w:b/>
          <w:bCs/>
          <w:sz w:val="28"/>
          <w:szCs w:val="28"/>
        </w:rPr>
        <w:t>Парадигма I</w:t>
      </w:r>
      <w:r>
        <w:rPr>
          <w:sz w:val="28"/>
          <w:szCs w:val="28"/>
        </w:rPr>
        <w:t xml:space="preserve"> – Геймификация. Инструменты игровой психологии направлены на повышение вовлечённости пользователя, формирование устойчивой внутренней мотивации и обеспечение регулярной обратной связи. Геймификация повышает шансы успешного приобретения новой полезной привычки или отказа от вредной за счёт преобразования рутинных действий в игровой процесс.</w:t>
      </w:r>
    </w:p>
    <w:p>
      <w:pPr>
        <w:pStyle w:val="Normal"/>
        <w:spacing w:lineRule="auto" w:line="360"/>
        <w:rPr>
          <w:sz w:val="28"/>
          <w:szCs w:val="28"/>
        </w:rPr>
      </w:pPr>
      <w:r>
        <w:rPr>
          <w:b/>
          <w:bCs/>
          <w:sz w:val="28"/>
          <w:szCs w:val="28"/>
        </w:rPr>
        <w:t>Парадигма II</w:t>
      </w:r>
      <w:r>
        <w:rPr>
          <w:sz w:val="28"/>
          <w:szCs w:val="28"/>
        </w:rPr>
        <w:t xml:space="preserve"> – Наставническая поддержка. Инструменты наставнической поддержки обеспечивают возможность получения быстрой и профессиональной консультации через анонимные чаты, привязанные к конкретным программам. Данный компонент компенсирует ограничения автоматизированных систем, предоставляя человеческий элемент поддержки и экспертизы.</w:t>
      </w:r>
    </w:p>
    <w:p>
      <w:pPr>
        <w:pStyle w:val="Normal"/>
        <w:spacing w:lineRule="auto" w:line="360"/>
        <w:rPr>
          <w:sz w:val="28"/>
          <w:szCs w:val="28"/>
        </w:rPr>
      </w:pPr>
      <w:r>
        <w:rPr>
          <w:b w:val="false"/>
          <w:bCs w:val="false"/>
          <w:sz w:val="28"/>
          <w:szCs w:val="28"/>
        </w:rPr>
        <w:t>Геймификационный компонент</w:t>
      </w:r>
      <w:r>
        <w:rPr>
          <w:sz w:val="28"/>
          <w:szCs w:val="28"/>
        </w:rPr>
        <w:t xml:space="preserve"> методики структурирован вокруг четырех ключевых элементов:</w:t>
      </w:r>
    </w:p>
    <w:p>
      <w:pPr>
        <w:pStyle w:val="Normal"/>
        <w:numPr>
          <w:ilvl w:val="0"/>
          <w:numId w:val="2"/>
        </w:numPr>
        <w:tabs>
          <w:tab w:val="clear" w:pos="709"/>
          <w:tab w:val="left" w:pos="426" w:leader="none"/>
        </w:tabs>
        <w:spacing w:lineRule="auto" w:line="360"/>
        <w:ind w:firstLine="709" w:start="0"/>
        <w:rPr>
          <w:sz w:val="28"/>
          <w:szCs w:val="28"/>
        </w:rPr>
      </w:pPr>
      <w:r>
        <w:rPr>
          <w:b w:val="false"/>
          <w:bCs w:val="false"/>
          <w:sz w:val="28"/>
          <w:szCs w:val="28"/>
        </w:rPr>
        <w:t>Система уровней и достижений</w:t>
      </w:r>
      <w:r>
        <w:rPr>
          <w:sz w:val="28"/>
          <w:szCs w:val="28"/>
        </w:rPr>
        <w:t>, построенная на принципе переменного подкрепления. Пользователь прогрессирует от простых к сложным задачам, получая визуальные знаки отличия (бейджи), что создает ощущение роста и мастерства.</w:t>
      </w:r>
    </w:p>
    <w:p>
      <w:pPr>
        <w:pStyle w:val="Normal"/>
        <w:numPr>
          <w:ilvl w:val="0"/>
          <w:numId w:val="2"/>
        </w:numPr>
        <w:tabs>
          <w:tab w:val="clear" w:pos="709"/>
          <w:tab w:val="left" w:pos="426" w:leader="none"/>
        </w:tabs>
        <w:spacing w:lineRule="auto" w:line="360"/>
        <w:ind w:firstLine="709" w:start="0"/>
        <w:rPr>
          <w:sz w:val="28"/>
          <w:szCs w:val="28"/>
        </w:rPr>
      </w:pPr>
      <w:r>
        <w:rPr>
          <w:b w:val="false"/>
          <w:bCs w:val="false"/>
          <w:sz w:val="28"/>
          <w:szCs w:val="28"/>
        </w:rPr>
        <w:t>Виртуальная валюта (опыт)</w:t>
      </w:r>
      <w:r>
        <w:rPr>
          <w:sz w:val="28"/>
          <w:szCs w:val="28"/>
        </w:rPr>
        <w:t>, начисляемая за выполнение действий и активность в чатах. Накопленные ресурсы позволяют «прокачивать» виртуального аватара, визуализируя прогресс в количественном выражении.</w:t>
      </w:r>
    </w:p>
    <w:p>
      <w:pPr>
        <w:pStyle w:val="Normal"/>
        <w:numPr>
          <w:ilvl w:val="0"/>
          <w:numId w:val="2"/>
        </w:numPr>
        <w:tabs>
          <w:tab w:val="clear" w:pos="709"/>
          <w:tab w:val="left" w:pos="426" w:leader="none"/>
        </w:tabs>
        <w:spacing w:lineRule="auto" w:line="360"/>
        <w:ind w:firstLine="709" w:start="0"/>
        <w:rPr>
          <w:sz w:val="28"/>
          <w:szCs w:val="28"/>
        </w:rPr>
      </w:pPr>
      <w:r>
        <w:rPr>
          <w:b w:val="false"/>
          <w:bCs w:val="false"/>
          <w:sz w:val="28"/>
          <w:szCs w:val="28"/>
        </w:rPr>
        <w:t>Личный кабинет с витриной достижений</w:t>
      </w:r>
      <w:r>
        <w:rPr>
          <w:sz w:val="28"/>
          <w:szCs w:val="28"/>
        </w:rPr>
        <w:t>, выполняющий функции дневника успеха и инструмента рефлексии. В нем отображается вся история активности, текущий уровень и коллекция полученных наград.</w:t>
      </w:r>
    </w:p>
    <w:p>
      <w:pPr>
        <w:pStyle w:val="Normal"/>
        <w:numPr>
          <w:ilvl w:val="0"/>
          <w:numId w:val="2"/>
        </w:numPr>
        <w:tabs>
          <w:tab w:val="clear" w:pos="709"/>
          <w:tab w:val="left" w:pos="426" w:leader="none"/>
        </w:tabs>
        <w:spacing w:lineRule="auto" w:line="360"/>
        <w:ind w:firstLine="709" w:start="0"/>
        <w:rPr>
          <w:sz w:val="28"/>
          <w:szCs w:val="28"/>
        </w:rPr>
      </w:pPr>
      <w:r>
        <w:rPr>
          <w:b w:val="false"/>
          <w:bCs w:val="false"/>
          <w:sz w:val="28"/>
          <w:szCs w:val="28"/>
        </w:rPr>
        <w:t>Динамическая система обратной связи</w:t>
      </w:r>
      <w:r>
        <w:rPr>
          <w:b w:val="false"/>
          <w:bCs w:val="false"/>
          <w:sz w:val="28"/>
          <w:szCs w:val="28"/>
        </w:rPr>
        <w:t xml:space="preserve"> </w:t>
      </w:r>
      <w:r>
        <w:rPr>
          <w:sz w:val="28"/>
          <w:szCs w:val="28"/>
        </w:rPr>
        <w:t>в виде мотивационных сообщений и напоминаний, адаптированных к текущему контексту и прогрессу пользователя.</w:t>
      </w:r>
    </w:p>
    <w:p>
      <w:pPr>
        <w:pStyle w:val="Normal"/>
        <w:spacing w:lineRule="auto" w:line="360"/>
        <w:rPr/>
      </w:pPr>
      <w:r>
        <w:rPr/>
      </w:r>
    </w:p>
    <w:p>
      <w:pPr>
        <w:pStyle w:val="Normal"/>
        <w:spacing w:lineRule="auto" w:line="360"/>
        <w:rPr>
          <w:sz w:val="28"/>
          <w:szCs w:val="28"/>
        </w:rPr>
      </w:pPr>
      <w:r>
        <w:rPr>
          <w:b w:val="false"/>
          <w:bCs w:val="false"/>
          <w:sz w:val="28"/>
          <w:szCs w:val="28"/>
        </w:rPr>
        <w:t>Компонент наставнической поддержки</w:t>
      </w:r>
      <w:r>
        <w:rPr>
          <w:sz w:val="28"/>
          <w:szCs w:val="28"/>
        </w:rPr>
        <w:t xml:space="preserve"> реализуется через сеть анонимных чатов, привязанных к конкретным программам привычек. Пользователь получает возможность в любой момент обратиться за консультацией к верифицированному наставнику-эксперту. Ключевыми принципами данного компонента являются: контекстная связанность запроса, гарантированная анонимность для снижения психологических барьеров и минимальное время ожидания ответа для сохранения вовлеченности.</w:t>
      </w:r>
    </w:p>
    <w:p>
      <w:pPr>
        <w:pStyle w:val="Normal"/>
        <w:spacing w:lineRule="auto" w:line="360"/>
        <w:rPr>
          <w:sz w:val="28"/>
          <w:szCs w:val="28"/>
        </w:rPr>
      </w:pPr>
      <w:r>
        <w:rPr>
          <w:sz w:val="28"/>
          <w:szCs w:val="28"/>
        </w:rPr>
        <w:t>Технологической основой методики выступает чат-бот, интегрируемый в популярные мессенджеры. Данный выбор обеспечивает кроссплатформенность, низкий порог вхождения для целевой аудитории (молодежь до 30 лет) и естественность интерфейса, основанного на диалоге.</w:t>
      </w:r>
    </w:p>
    <w:p>
      <w:pPr>
        <w:pStyle w:val="Normal"/>
        <w:spacing w:lineRule="auto" w:line="360"/>
        <w:rPr>
          <w:rFonts w:ascii="Times New Roman" w:hAnsi="Times New Roman"/>
          <w:sz w:val="28"/>
          <w:szCs w:val="28"/>
        </w:rPr>
      </w:pPr>
      <w:r>
        <w:rPr>
          <w:rFonts w:ascii="Times New Roman" w:hAnsi="Times New Roman"/>
          <w:b w:val="false"/>
          <w:bCs w:val="false"/>
          <w:sz w:val="28"/>
          <w:szCs w:val="28"/>
        </w:rPr>
        <w:t>Ключевые отличия от существующих аналогов</w:t>
      </w:r>
      <w:r>
        <w:rPr>
          <w:rFonts w:ascii="Times New Roman" w:hAnsi="Times New Roman"/>
          <w:sz w:val="28"/>
          <w:szCs w:val="28"/>
        </w:rPr>
        <w:t xml:space="preserve"> Предложенная методика обладает рядом существенных отличий, определяющих ее новизну:</w:t>
      </w:r>
    </w:p>
    <w:p>
      <w:pPr>
        <w:pStyle w:val="Normal"/>
        <w:numPr>
          <w:ilvl w:val="0"/>
          <w:numId w:val="3"/>
        </w:numPr>
        <w:tabs>
          <w:tab w:val="left" w:pos="709" w:leader="none"/>
        </w:tabs>
        <w:spacing w:lineRule="auto" w:line="360"/>
        <w:ind w:firstLine="709" w:start="0"/>
        <w:rPr>
          <w:rFonts w:ascii="Times New Roman" w:hAnsi="Times New Roman"/>
          <w:sz w:val="28"/>
          <w:szCs w:val="28"/>
        </w:rPr>
      </w:pPr>
      <w:r>
        <w:rPr>
          <w:rFonts w:ascii="Times New Roman" w:hAnsi="Times New Roman"/>
          <w:b w:val="false"/>
          <w:bCs w:val="false"/>
          <w:sz w:val="28"/>
          <w:szCs w:val="28"/>
        </w:rPr>
        <w:t>Комплексная интеграция парадигм.</w:t>
      </w:r>
      <w:r>
        <w:rPr>
          <w:rFonts w:ascii="Times New Roman" w:hAnsi="Times New Roman"/>
          <w:sz w:val="28"/>
          <w:szCs w:val="28"/>
        </w:rPr>
        <w:t xml:space="preserve"> В отличие от большинства существующих решений, которые используют либо геймификацию (Habitica, Streaks), либо платный коучинг (Noom), данная методика синтезирует оба подхода в единый механизм, где они усиливают друг друга.</w:t>
      </w:r>
    </w:p>
    <w:p>
      <w:pPr>
        <w:pStyle w:val="Normal"/>
        <w:numPr>
          <w:ilvl w:val="0"/>
          <w:numId w:val="3"/>
        </w:numPr>
        <w:tabs>
          <w:tab w:val="left" w:pos="709" w:leader="none"/>
        </w:tabs>
        <w:spacing w:lineRule="auto" w:line="360"/>
        <w:ind w:firstLine="709" w:start="0"/>
        <w:rPr>
          <w:rFonts w:ascii="Times New Roman" w:hAnsi="Times New Roman"/>
          <w:sz w:val="28"/>
          <w:szCs w:val="28"/>
        </w:rPr>
      </w:pPr>
      <w:r>
        <w:rPr>
          <w:rFonts w:ascii="Times New Roman" w:hAnsi="Times New Roman"/>
          <w:b w:val="false"/>
          <w:bCs w:val="false"/>
          <w:sz w:val="28"/>
          <w:szCs w:val="28"/>
        </w:rPr>
        <w:t>Контекстное и анонимное наставничество.</w:t>
      </w:r>
      <w:r>
        <w:rPr>
          <w:rFonts w:ascii="Times New Roman" w:hAnsi="Times New Roman"/>
          <w:b w:val="false"/>
          <w:bCs w:val="false"/>
          <w:sz w:val="28"/>
          <w:szCs w:val="28"/>
        </w:rPr>
        <w:t xml:space="preserve"> </w:t>
      </w:r>
      <w:r>
        <w:rPr>
          <w:rFonts w:ascii="Times New Roman" w:hAnsi="Times New Roman"/>
          <w:sz w:val="28"/>
          <w:szCs w:val="28"/>
        </w:rPr>
        <w:t>В отличие от коучинг-платформ, где общение с экспертом часто требует предварительной записи и раскрытия личности, поддержка в рамках методики интегрирована непосредственно в процесс формирования привычки, оперативна и анонимна.</w:t>
      </w:r>
    </w:p>
    <w:p>
      <w:pPr>
        <w:pStyle w:val="Normal"/>
        <w:numPr>
          <w:ilvl w:val="0"/>
          <w:numId w:val="3"/>
        </w:numPr>
        <w:tabs>
          <w:tab w:val="left" w:pos="709" w:leader="none"/>
        </w:tabs>
        <w:spacing w:lineRule="auto" w:line="360"/>
        <w:ind w:firstLine="709" w:start="0"/>
        <w:rPr>
          <w:rFonts w:ascii="Times New Roman" w:hAnsi="Times New Roman"/>
          <w:sz w:val="28"/>
          <w:szCs w:val="28"/>
        </w:rPr>
      </w:pPr>
      <w:r>
        <w:rPr>
          <w:rFonts w:ascii="Times New Roman" w:hAnsi="Times New Roman"/>
          <w:b w:val="false"/>
          <w:bCs w:val="false"/>
          <w:sz w:val="28"/>
          <w:szCs w:val="28"/>
        </w:rPr>
        <w:t>Глубокая, а не поверхностная геймификация.</w:t>
      </w:r>
      <w:r>
        <w:rPr>
          <w:rFonts w:ascii="Times New Roman" w:hAnsi="Times New Roman"/>
          <w:sz w:val="28"/>
          <w:szCs w:val="28"/>
        </w:rPr>
        <w:t xml:space="preserve"> Методика реализует не просто систему бейджей и рейтингов, а комплексную модель игровой динамики, основанную на теориях мотивации (Б.Дж. Фогг) и подкрепления, что способствует формированию устойчивой внутренней мотивации.</w:t>
      </w:r>
    </w:p>
    <w:p>
      <w:pPr>
        <w:pStyle w:val="Normal"/>
        <w:numPr>
          <w:ilvl w:val="0"/>
          <w:numId w:val="3"/>
        </w:numPr>
        <w:tabs>
          <w:tab w:val="left" w:pos="709" w:leader="none"/>
        </w:tabs>
        <w:spacing w:lineRule="auto" w:line="360"/>
        <w:ind w:firstLine="709" w:start="0"/>
        <w:rPr>
          <w:rFonts w:ascii="Times New Roman" w:hAnsi="Times New Roman"/>
          <w:sz w:val="28"/>
          <w:szCs w:val="28"/>
        </w:rPr>
      </w:pPr>
      <w:r>
        <w:rPr>
          <w:rFonts w:ascii="Times New Roman" w:hAnsi="Times New Roman"/>
          <w:b w:val="false"/>
          <w:bCs w:val="false"/>
          <w:sz w:val="28"/>
          <w:szCs w:val="28"/>
        </w:rPr>
        <w:t>Доступность и открытость.</w:t>
      </w:r>
      <w:r>
        <w:rPr>
          <w:rFonts w:ascii="Times New Roman" w:hAnsi="Times New Roman"/>
          <w:b w:val="false"/>
          <w:bCs w:val="false"/>
          <w:sz w:val="28"/>
          <w:szCs w:val="28"/>
        </w:rPr>
        <w:t xml:space="preserve"> </w:t>
      </w:r>
      <w:r>
        <w:rPr>
          <w:rFonts w:ascii="Times New Roman" w:hAnsi="Times New Roman"/>
          <w:sz w:val="28"/>
          <w:szCs w:val="28"/>
        </w:rPr>
        <w:t>Реализация в формате чат-бота и возможность его открытой доработки выгодно отличает методику от закрытых коммерческих продуктов, делая ее более доступной и адаптируемой.</w:t>
      </w:r>
    </w:p>
    <w:p>
      <w:pPr>
        <w:pStyle w:val="Normal"/>
        <w:numPr>
          <w:ilvl w:val="0"/>
          <w:numId w:val="3"/>
        </w:numPr>
        <w:tabs>
          <w:tab w:val="left" w:pos="709" w:leader="none"/>
        </w:tabs>
        <w:spacing w:lineRule="auto" w:line="360"/>
        <w:ind w:firstLine="709" w:start="0"/>
        <w:rPr>
          <w:rFonts w:ascii="Times New Roman" w:hAnsi="Times New Roman"/>
          <w:sz w:val="28"/>
          <w:szCs w:val="28"/>
        </w:rPr>
      </w:pPr>
      <w:r>
        <w:rPr>
          <w:rFonts w:ascii="Times New Roman" w:hAnsi="Times New Roman"/>
          <w:sz w:val="28"/>
          <w:szCs w:val="28"/>
        </w:rPr>
        <w:t>Р</w:t>
      </w:r>
      <w:r>
        <w:rPr>
          <w:rFonts w:ascii="Times New Roman" w:hAnsi="Times New Roman"/>
          <w:sz w:val="28"/>
          <w:szCs w:val="28"/>
        </w:rPr>
        <w:t>ешение с открытым исходным кодом позволяет дорабатывать его под личные нужды пользователей и организаций. Предусмотрена возможность разворачивания контура приложения на личных серверах в случае, если пользователь не доверяет официальному релизу решения на основном сервере;</w:t>
      </w:r>
    </w:p>
    <w:p>
      <w:pPr>
        <w:pStyle w:val="Normal"/>
        <w:numPr>
          <w:ilvl w:val="0"/>
          <w:numId w:val="3"/>
        </w:numPr>
        <w:tabs>
          <w:tab w:val="left" w:pos="709" w:leader="none"/>
        </w:tabs>
        <w:spacing w:lineRule="auto" w:line="360"/>
        <w:ind w:firstLine="709" w:start="0"/>
        <w:rPr/>
      </w:pPr>
      <w:r>
        <w:rPr>
          <w:rFonts w:ascii="Times New Roman" w:hAnsi="Times New Roman"/>
          <w:sz w:val="28"/>
          <w:szCs w:val="28"/>
        </w:rPr>
        <w:t>Р</w:t>
      </w:r>
      <w:r>
        <w:rPr>
          <w:rFonts w:ascii="Times New Roman" w:hAnsi="Times New Roman"/>
          <w:sz w:val="28"/>
          <w:szCs w:val="28"/>
        </w:rPr>
        <w:t>ешение поставляется как готовый для интеграции модуль, который может быть встроен в уже существующее решение для схожих нужд человека или компании.</w:t>
      </w:r>
    </w:p>
    <w:p>
      <w:pPr>
        <w:pStyle w:val="Normal"/>
        <w:spacing w:lineRule="auto" w:line="360"/>
        <w:jc w:val="center"/>
        <w:rPr>
          <w:lang w:val="ru-RU"/>
        </w:rPr>
      </w:pPr>
      <w:r>
        <w:rPr>
          <w:lang w:val="ru-RU"/>
        </w:rPr>
        <w:t>Таблица 1 — Сравнение существующих аналогов с предлагаемой методикой</w:t>
      </w:r>
    </w:p>
    <w:tbl>
      <w:tblPr>
        <w:tblW w:w="9636" w:type="dxa"/>
        <w:jc w:val="start"/>
        <w:tblInd w:w="0" w:type="dxa"/>
        <w:tblLayout w:type="fixed"/>
        <w:tblCellMar>
          <w:top w:w="0" w:type="dxa"/>
          <w:start w:w="2" w:type="dxa"/>
          <w:bottom w:w="0" w:type="dxa"/>
          <w:end w:w="7" w:type="dxa"/>
        </w:tblCellMar>
        <w:tblLook w:firstRow="1" w:noVBand="1" w:lastRow="0" w:firstColumn="1" w:lastColumn="0" w:noHBand="0" w:val="04a0"/>
      </w:tblPr>
      <w:tblGrid>
        <w:gridCol w:w="706"/>
        <w:gridCol w:w="2267"/>
        <w:gridCol w:w="2693"/>
        <w:gridCol w:w="3970"/>
      </w:tblGrid>
      <w:tr>
        <w:trPr>
          <w:tblHeader w:val="true"/>
        </w:trPr>
        <w:tc>
          <w:tcPr>
            <w:tcW w:w="706" w:type="dxa"/>
            <w:tcBorders>
              <w:top w:val="single" w:sz="2" w:space="0" w:color="E5E5E5"/>
              <w:start w:val="single" w:sz="2" w:space="0" w:color="E5E5E5"/>
              <w:bottom w:val="single" w:sz="6" w:space="0" w:color="E5E5E5"/>
              <w:end w:val="single" w:sz="6" w:space="0" w:color="E5E5E5"/>
            </w:tcBorders>
            <w:vAlign w:val="center"/>
          </w:tcPr>
          <w:p>
            <w:pPr>
              <w:pStyle w:val="Normal"/>
              <w:spacing w:lineRule="auto" w:line="360"/>
              <w:ind w:hanging="0"/>
              <w:jc w:val="start"/>
              <w:rPr/>
            </w:pPr>
            <w:r>
              <w:rPr>
                <w:b/>
                <w:bCs/>
              </w:rPr>
              <w:t xml:space="preserve">№ </w:t>
            </w:r>
            <w:r>
              <w:rPr>
                <w:b/>
                <w:bCs/>
              </w:rPr>
              <w:t>п/п</w:t>
            </w:r>
          </w:p>
        </w:tc>
        <w:tc>
          <w:tcPr>
            <w:tcW w:w="2267" w:type="dxa"/>
            <w:tcBorders>
              <w:top w:val="single" w:sz="2" w:space="0" w:color="E5E5E5"/>
              <w:start w:val="single" w:sz="2" w:space="0" w:color="E5E5E5"/>
              <w:bottom w:val="single" w:sz="6" w:space="0" w:color="E5E5E5"/>
              <w:end w:val="single" w:sz="6" w:space="0" w:color="E5E5E5"/>
            </w:tcBorders>
            <w:tcMar>
              <w:top w:w="120" w:type="dxa"/>
              <w:start w:w="180" w:type="dxa"/>
              <w:bottom w:w="120" w:type="dxa"/>
              <w:end w:w="180" w:type="dxa"/>
            </w:tcMar>
            <w:vAlign w:val="center"/>
          </w:tcPr>
          <w:p>
            <w:pPr>
              <w:pStyle w:val="Normal"/>
              <w:spacing w:lineRule="auto" w:line="360"/>
              <w:ind w:hanging="0"/>
              <w:jc w:val="start"/>
              <w:rPr/>
            </w:pPr>
            <w:r>
              <w:rPr>
                <w:b/>
                <w:bCs/>
              </w:rPr>
              <w:t>Признак</w:t>
            </w:r>
          </w:p>
        </w:tc>
        <w:tc>
          <w:tcPr>
            <w:tcW w:w="2693" w:type="dxa"/>
            <w:tcBorders>
              <w:top w:val="single" w:sz="2" w:space="0" w:color="E5E5E5"/>
              <w:start w:val="single" w:sz="2" w:space="0" w:color="E5E5E5"/>
              <w:bottom w:val="single" w:sz="6" w:space="0" w:color="E5E5E5"/>
              <w:end w:val="single" w:sz="6" w:space="0" w:color="E5E5E5"/>
            </w:tcBorders>
            <w:tcMar>
              <w:top w:w="120" w:type="dxa"/>
              <w:start w:w="180" w:type="dxa"/>
              <w:bottom w:w="120" w:type="dxa"/>
              <w:end w:w="180" w:type="dxa"/>
            </w:tcMar>
            <w:vAlign w:val="center"/>
          </w:tcPr>
          <w:p>
            <w:pPr>
              <w:pStyle w:val="Normal"/>
              <w:spacing w:lineRule="auto" w:line="360"/>
              <w:ind w:hanging="0"/>
              <w:jc w:val="start"/>
              <w:rPr/>
            </w:pPr>
            <w:r>
              <w:rPr>
                <w:b/>
                <w:bCs/>
              </w:rPr>
              <w:t>Существующие аналоги (Habitica, Noom, MyFitnessPal)</w:t>
            </w:r>
          </w:p>
        </w:tc>
        <w:tc>
          <w:tcPr>
            <w:tcW w:w="3970" w:type="dxa"/>
            <w:tcBorders>
              <w:top w:val="single" w:sz="2" w:space="0" w:color="E5E5E5"/>
              <w:start w:val="single" w:sz="2" w:space="0" w:color="E5E5E5"/>
              <w:bottom w:val="single" w:sz="6" w:space="0" w:color="E5E5E5"/>
              <w:end w:val="single" w:sz="2" w:space="0" w:color="E5E5E5"/>
            </w:tcBorders>
            <w:tcMar>
              <w:top w:w="120" w:type="dxa"/>
              <w:start w:w="180" w:type="dxa"/>
              <w:bottom w:w="120" w:type="dxa"/>
              <w:end w:w="180" w:type="dxa"/>
            </w:tcMar>
            <w:vAlign w:val="center"/>
          </w:tcPr>
          <w:p>
            <w:pPr>
              <w:pStyle w:val="Normal"/>
              <w:spacing w:lineRule="auto" w:line="360"/>
              <w:ind w:hanging="0"/>
              <w:jc w:val="start"/>
              <w:rPr/>
            </w:pPr>
            <w:r>
              <w:rPr>
                <w:b/>
                <w:bCs/>
              </w:rPr>
              <w:t>Предлагаемая методика</w:t>
            </w:r>
          </w:p>
        </w:tc>
      </w:tr>
      <w:tr>
        <w:trPr/>
        <w:tc>
          <w:tcPr>
            <w:tcW w:w="706" w:type="dxa"/>
            <w:tcBorders>
              <w:top w:val="single" w:sz="2" w:space="0" w:color="E5E5E5"/>
              <w:start w:val="single" w:sz="2" w:space="0" w:color="E5E5E5"/>
              <w:bottom w:val="single" w:sz="6" w:space="0" w:color="E5E5E5"/>
              <w:end w:val="single" w:sz="6" w:space="0" w:color="E5E5E5"/>
            </w:tcBorders>
          </w:tcPr>
          <w:p>
            <w:pPr>
              <w:pStyle w:val="Normal"/>
              <w:spacing w:lineRule="auto" w:line="360"/>
              <w:ind w:firstLine="113"/>
              <w:jc w:val="start"/>
              <w:rPr/>
            </w:pPr>
            <w:r>
              <w:rPr>
                <w:b/>
                <w:bCs/>
              </w:rPr>
              <w:t>1</w:t>
            </w:r>
          </w:p>
        </w:tc>
        <w:tc>
          <w:tcPr>
            <w:tcW w:w="2267" w:type="dxa"/>
            <w:tcBorders>
              <w:top w:val="single" w:sz="2" w:space="0" w:color="E5E5E5"/>
              <w:start w:val="single" w:sz="2" w:space="0" w:color="E5E5E5"/>
              <w:bottom w:val="single" w:sz="6" w:space="0" w:color="E5E5E5"/>
              <w:end w:val="single" w:sz="6" w:space="0" w:color="E5E5E5"/>
            </w:tcBorders>
            <w:tcMar>
              <w:top w:w="120" w:type="dxa"/>
              <w:start w:w="180" w:type="dxa"/>
              <w:bottom w:w="120" w:type="dxa"/>
              <w:end w:w="180" w:type="dxa"/>
            </w:tcMar>
          </w:tcPr>
          <w:p>
            <w:pPr>
              <w:pStyle w:val="Normal"/>
              <w:spacing w:lineRule="auto" w:line="360"/>
              <w:ind w:hanging="0"/>
              <w:jc w:val="start"/>
              <w:rPr/>
            </w:pPr>
            <w:r>
              <w:rPr>
                <w:b/>
                <w:bCs/>
              </w:rPr>
              <w:t>Интеграция подходов</w:t>
            </w:r>
          </w:p>
        </w:tc>
        <w:tc>
          <w:tcPr>
            <w:tcW w:w="2693" w:type="dxa"/>
            <w:tcBorders>
              <w:top w:val="single" w:sz="2" w:space="0" w:color="E5E5E5"/>
              <w:start w:val="single" w:sz="2" w:space="0" w:color="E5E5E5"/>
              <w:bottom w:val="single" w:sz="6" w:space="0" w:color="E5E5E5"/>
              <w:end w:val="single" w:sz="6" w:space="0" w:color="E5E5E5"/>
            </w:tcBorders>
            <w:tcMar>
              <w:top w:w="120" w:type="dxa"/>
              <w:start w:w="180" w:type="dxa"/>
              <w:bottom w:w="120" w:type="dxa"/>
              <w:end w:w="180" w:type="dxa"/>
            </w:tcMar>
          </w:tcPr>
          <w:p>
            <w:pPr>
              <w:pStyle w:val="Normal"/>
              <w:spacing w:lineRule="auto" w:line="360"/>
              <w:ind w:hanging="0"/>
              <w:jc w:val="start"/>
              <w:rPr/>
            </w:pPr>
            <w:r>
              <w:rPr/>
              <w:t>Используют либо геймификацию, либо наставничество.</w:t>
            </w:r>
          </w:p>
        </w:tc>
        <w:tc>
          <w:tcPr>
            <w:tcW w:w="3970" w:type="dxa"/>
            <w:tcBorders>
              <w:top w:val="single" w:sz="2" w:space="0" w:color="E5E5E5"/>
              <w:start w:val="single" w:sz="2" w:space="0" w:color="E5E5E5"/>
              <w:bottom w:val="single" w:sz="6" w:space="0" w:color="E5E5E5"/>
              <w:end w:val="single" w:sz="2" w:space="0" w:color="E5E5E5"/>
            </w:tcBorders>
            <w:tcMar>
              <w:top w:w="120" w:type="dxa"/>
              <w:start w:w="180" w:type="dxa"/>
              <w:bottom w:w="120" w:type="dxa"/>
              <w:end w:w="180" w:type="dxa"/>
            </w:tcMar>
          </w:tcPr>
          <w:p>
            <w:pPr>
              <w:pStyle w:val="Normal"/>
              <w:spacing w:lineRule="auto" w:line="360"/>
              <w:ind w:hanging="0"/>
              <w:jc w:val="start"/>
              <w:rPr/>
            </w:pPr>
            <w:r>
              <w:rPr>
                <w:b/>
                <w:bCs/>
              </w:rPr>
              <w:t xml:space="preserve">Синергетическая интеграция </w:t>
            </w:r>
            <w:r>
              <w:rPr/>
              <w:t>геймификации и наставничества в едином контуре.</w:t>
            </w:r>
          </w:p>
        </w:tc>
      </w:tr>
      <w:tr>
        <w:trPr/>
        <w:tc>
          <w:tcPr>
            <w:tcW w:w="706" w:type="dxa"/>
            <w:tcBorders>
              <w:top w:val="single" w:sz="2" w:space="0" w:color="E5E5E5"/>
              <w:start w:val="single" w:sz="2" w:space="0" w:color="E5E5E5"/>
              <w:bottom w:val="single" w:sz="6" w:space="0" w:color="E5E5E5"/>
              <w:end w:val="single" w:sz="6" w:space="0" w:color="E5E5E5"/>
            </w:tcBorders>
          </w:tcPr>
          <w:p>
            <w:pPr>
              <w:pStyle w:val="Normal"/>
              <w:spacing w:lineRule="auto" w:line="360"/>
              <w:ind w:firstLine="113"/>
              <w:jc w:val="start"/>
              <w:rPr/>
            </w:pPr>
            <w:r>
              <w:rPr>
                <w:b/>
                <w:bCs/>
              </w:rPr>
              <w:t>2</w:t>
            </w:r>
          </w:p>
        </w:tc>
        <w:tc>
          <w:tcPr>
            <w:tcW w:w="2267" w:type="dxa"/>
            <w:tcBorders>
              <w:top w:val="single" w:sz="2" w:space="0" w:color="E5E5E5"/>
              <w:start w:val="single" w:sz="2" w:space="0" w:color="E5E5E5"/>
              <w:bottom w:val="single" w:sz="6" w:space="0" w:color="E5E5E5"/>
              <w:end w:val="single" w:sz="6" w:space="0" w:color="E5E5E5"/>
            </w:tcBorders>
            <w:tcMar>
              <w:top w:w="120" w:type="dxa"/>
              <w:start w:w="180" w:type="dxa"/>
              <w:bottom w:w="120" w:type="dxa"/>
              <w:end w:w="180" w:type="dxa"/>
            </w:tcMar>
          </w:tcPr>
          <w:p>
            <w:pPr>
              <w:pStyle w:val="Normal"/>
              <w:spacing w:lineRule="auto" w:line="360"/>
              <w:ind w:hanging="0"/>
              <w:jc w:val="start"/>
              <w:rPr/>
            </w:pPr>
            <w:r>
              <w:rPr>
                <w:b/>
                <w:bCs/>
              </w:rPr>
              <w:t>Глубина геймификации</w:t>
            </w:r>
          </w:p>
        </w:tc>
        <w:tc>
          <w:tcPr>
            <w:tcW w:w="2693" w:type="dxa"/>
            <w:tcBorders>
              <w:top w:val="single" w:sz="2" w:space="0" w:color="E5E5E5"/>
              <w:start w:val="single" w:sz="2" w:space="0" w:color="E5E5E5"/>
              <w:bottom w:val="single" w:sz="6" w:space="0" w:color="E5E5E5"/>
              <w:end w:val="single" w:sz="6" w:space="0" w:color="E5E5E5"/>
            </w:tcBorders>
            <w:tcMar>
              <w:top w:w="120" w:type="dxa"/>
              <w:start w:w="180" w:type="dxa"/>
              <w:bottom w:w="120" w:type="dxa"/>
              <w:end w:w="180" w:type="dxa"/>
            </w:tcMar>
          </w:tcPr>
          <w:p>
            <w:pPr>
              <w:pStyle w:val="Normal"/>
              <w:spacing w:lineRule="auto" w:line="360"/>
              <w:ind w:hanging="0"/>
              <w:jc w:val="start"/>
              <w:rPr/>
            </w:pPr>
            <w:r>
              <w:rPr/>
              <w:t>Часто поверхностная (бейджи, рейтинги).</w:t>
            </w:r>
          </w:p>
        </w:tc>
        <w:tc>
          <w:tcPr>
            <w:tcW w:w="3970" w:type="dxa"/>
            <w:tcBorders>
              <w:top w:val="single" w:sz="2" w:space="0" w:color="E5E5E5"/>
              <w:start w:val="single" w:sz="2" w:space="0" w:color="E5E5E5"/>
              <w:bottom w:val="single" w:sz="6" w:space="0" w:color="E5E5E5"/>
              <w:end w:val="single" w:sz="2" w:space="0" w:color="E5E5E5"/>
            </w:tcBorders>
            <w:tcMar>
              <w:top w:w="120" w:type="dxa"/>
              <w:start w:w="180" w:type="dxa"/>
              <w:bottom w:w="120" w:type="dxa"/>
              <w:end w:w="180" w:type="dxa"/>
            </w:tcMar>
          </w:tcPr>
          <w:p>
            <w:pPr>
              <w:pStyle w:val="Normal"/>
              <w:spacing w:lineRule="auto" w:line="360"/>
              <w:ind w:hanging="0"/>
              <w:jc w:val="start"/>
              <w:rPr/>
            </w:pPr>
            <w:r>
              <w:rPr>
                <w:b/>
                <w:bCs/>
              </w:rPr>
              <w:t xml:space="preserve">Глубокая геймификация, </w:t>
            </w:r>
            <w:r>
              <w:rPr/>
              <w:t>основанная на моделях поведения (Фогг, Духар) и принципах переменного подкрепления.</w:t>
            </w:r>
          </w:p>
        </w:tc>
      </w:tr>
      <w:tr>
        <w:trPr/>
        <w:tc>
          <w:tcPr>
            <w:tcW w:w="706" w:type="dxa"/>
            <w:tcBorders>
              <w:top w:val="single" w:sz="2" w:space="0" w:color="E5E5E5"/>
              <w:start w:val="single" w:sz="2" w:space="0" w:color="E5E5E5"/>
              <w:bottom w:val="single" w:sz="6" w:space="0" w:color="E5E5E5"/>
              <w:end w:val="single" w:sz="6" w:space="0" w:color="E5E5E5"/>
            </w:tcBorders>
          </w:tcPr>
          <w:p>
            <w:pPr>
              <w:pStyle w:val="Normal"/>
              <w:spacing w:lineRule="auto" w:line="360"/>
              <w:ind w:firstLine="113"/>
              <w:jc w:val="start"/>
              <w:rPr/>
            </w:pPr>
            <w:r>
              <w:rPr>
                <w:b/>
                <w:bCs/>
              </w:rPr>
              <w:t>3</w:t>
            </w:r>
          </w:p>
        </w:tc>
        <w:tc>
          <w:tcPr>
            <w:tcW w:w="2267" w:type="dxa"/>
            <w:tcBorders>
              <w:top w:val="single" w:sz="2" w:space="0" w:color="E5E5E5"/>
              <w:start w:val="single" w:sz="2" w:space="0" w:color="E5E5E5"/>
              <w:bottom w:val="single" w:sz="6" w:space="0" w:color="E5E5E5"/>
              <w:end w:val="single" w:sz="6" w:space="0" w:color="E5E5E5"/>
            </w:tcBorders>
            <w:tcMar>
              <w:top w:w="120" w:type="dxa"/>
              <w:start w:w="180" w:type="dxa"/>
              <w:bottom w:w="120" w:type="dxa"/>
              <w:end w:w="180" w:type="dxa"/>
            </w:tcMar>
          </w:tcPr>
          <w:p>
            <w:pPr>
              <w:pStyle w:val="Normal"/>
              <w:spacing w:lineRule="auto" w:line="360"/>
              <w:ind w:hanging="0"/>
              <w:jc w:val="start"/>
              <w:rPr/>
            </w:pPr>
            <w:r>
              <w:rPr>
                <w:b/>
                <w:bCs/>
              </w:rPr>
              <w:t>Поддержка</w:t>
            </w:r>
          </w:p>
        </w:tc>
        <w:tc>
          <w:tcPr>
            <w:tcW w:w="2693" w:type="dxa"/>
            <w:tcBorders>
              <w:top w:val="single" w:sz="2" w:space="0" w:color="E5E5E5"/>
              <w:start w:val="single" w:sz="2" w:space="0" w:color="E5E5E5"/>
              <w:bottom w:val="single" w:sz="6" w:space="0" w:color="E5E5E5"/>
              <w:end w:val="single" w:sz="6" w:space="0" w:color="E5E5E5"/>
            </w:tcBorders>
            <w:tcMar>
              <w:top w:w="120" w:type="dxa"/>
              <w:start w:w="180" w:type="dxa"/>
              <w:bottom w:w="120" w:type="dxa"/>
              <w:end w:w="180" w:type="dxa"/>
            </w:tcMar>
          </w:tcPr>
          <w:p>
            <w:pPr>
              <w:pStyle w:val="Normal"/>
              <w:spacing w:lineRule="auto" w:line="360"/>
              <w:ind w:hanging="0"/>
              <w:jc w:val="start"/>
              <w:rPr/>
            </w:pPr>
            <w:r>
              <w:rPr/>
              <w:t>Отсутствует, платная или отложенная по времени.</w:t>
            </w:r>
          </w:p>
        </w:tc>
        <w:tc>
          <w:tcPr>
            <w:tcW w:w="3970" w:type="dxa"/>
            <w:tcBorders>
              <w:top w:val="single" w:sz="2" w:space="0" w:color="E5E5E5"/>
              <w:start w:val="single" w:sz="2" w:space="0" w:color="E5E5E5"/>
              <w:bottom w:val="single" w:sz="6" w:space="0" w:color="E5E5E5"/>
              <w:end w:val="single" w:sz="2" w:space="0" w:color="E5E5E5"/>
            </w:tcBorders>
            <w:tcMar>
              <w:top w:w="120" w:type="dxa"/>
              <w:start w:w="180" w:type="dxa"/>
              <w:bottom w:w="120" w:type="dxa"/>
              <w:end w:w="180" w:type="dxa"/>
            </w:tcMar>
          </w:tcPr>
          <w:p>
            <w:pPr>
              <w:pStyle w:val="Normal"/>
              <w:spacing w:lineRule="auto" w:line="360"/>
              <w:ind w:hanging="0"/>
              <w:jc w:val="start"/>
              <w:rPr/>
            </w:pPr>
            <w:r>
              <w:rPr>
                <w:b/>
                <w:bCs/>
              </w:rPr>
              <w:t xml:space="preserve">Анонимная, мгновенная, контекстная </w:t>
            </w:r>
            <w:r>
              <w:rPr/>
              <w:t>поддержка от верифицированных экспертов.</w:t>
            </w:r>
          </w:p>
        </w:tc>
      </w:tr>
      <w:tr>
        <w:trPr/>
        <w:tc>
          <w:tcPr>
            <w:tcW w:w="706" w:type="dxa"/>
            <w:tcBorders>
              <w:top w:val="single" w:sz="2" w:space="0" w:color="E5E5E5"/>
              <w:start w:val="single" w:sz="2" w:space="0" w:color="E5E5E5"/>
              <w:bottom w:val="single" w:sz="6" w:space="0" w:color="E5E5E5"/>
              <w:end w:val="single" w:sz="6" w:space="0" w:color="E5E5E5"/>
            </w:tcBorders>
          </w:tcPr>
          <w:p>
            <w:pPr>
              <w:pStyle w:val="Normal"/>
              <w:spacing w:lineRule="auto" w:line="360"/>
              <w:ind w:firstLine="113"/>
              <w:jc w:val="start"/>
              <w:rPr/>
            </w:pPr>
            <w:r>
              <w:rPr>
                <w:b/>
                <w:bCs/>
              </w:rPr>
              <w:t>4</w:t>
            </w:r>
          </w:p>
        </w:tc>
        <w:tc>
          <w:tcPr>
            <w:tcW w:w="2267" w:type="dxa"/>
            <w:tcBorders>
              <w:top w:val="single" w:sz="2" w:space="0" w:color="E5E5E5"/>
              <w:start w:val="single" w:sz="2" w:space="0" w:color="E5E5E5"/>
              <w:bottom w:val="single" w:sz="6" w:space="0" w:color="E5E5E5"/>
              <w:end w:val="single" w:sz="6" w:space="0" w:color="E5E5E5"/>
            </w:tcBorders>
            <w:tcMar>
              <w:top w:w="120" w:type="dxa"/>
              <w:start w:w="180" w:type="dxa"/>
              <w:bottom w:w="120" w:type="dxa"/>
              <w:end w:w="180" w:type="dxa"/>
            </w:tcMar>
          </w:tcPr>
          <w:p>
            <w:pPr>
              <w:pStyle w:val="Normal"/>
              <w:spacing w:lineRule="auto" w:line="360"/>
              <w:ind w:hanging="0"/>
              <w:jc w:val="start"/>
              <w:rPr/>
            </w:pPr>
            <w:r>
              <w:rPr>
                <w:b/>
                <w:bCs/>
              </w:rPr>
              <w:t>Формат</w:t>
            </w:r>
          </w:p>
        </w:tc>
        <w:tc>
          <w:tcPr>
            <w:tcW w:w="2693" w:type="dxa"/>
            <w:tcBorders>
              <w:top w:val="single" w:sz="2" w:space="0" w:color="E5E5E5"/>
              <w:start w:val="single" w:sz="2" w:space="0" w:color="E5E5E5"/>
              <w:bottom w:val="single" w:sz="6" w:space="0" w:color="E5E5E5"/>
              <w:end w:val="single" w:sz="6" w:space="0" w:color="E5E5E5"/>
            </w:tcBorders>
            <w:tcMar>
              <w:top w:w="120" w:type="dxa"/>
              <w:start w:w="180" w:type="dxa"/>
              <w:bottom w:w="120" w:type="dxa"/>
              <w:end w:w="180" w:type="dxa"/>
            </w:tcMar>
          </w:tcPr>
          <w:p>
            <w:pPr>
              <w:pStyle w:val="Normal"/>
              <w:spacing w:lineRule="auto" w:line="360"/>
              <w:ind w:hanging="0"/>
              <w:jc w:val="start"/>
              <w:rPr/>
            </w:pPr>
            <w:r>
              <w:rPr/>
              <w:t>Нативные приложения (требуют установки).</w:t>
            </w:r>
          </w:p>
        </w:tc>
        <w:tc>
          <w:tcPr>
            <w:tcW w:w="3970" w:type="dxa"/>
            <w:tcBorders>
              <w:top w:val="single" w:sz="2" w:space="0" w:color="E5E5E5"/>
              <w:start w:val="single" w:sz="2" w:space="0" w:color="E5E5E5"/>
              <w:bottom w:val="single" w:sz="6" w:space="0" w:color="E5E5E5"/>
              <w:end w:val="single" w:sz="2" w:space="0" w:color="E5E5E5"/>
            </w:tcBorders>
            <w:tcMar>
              <w:top w:w="120" w:type="dxa"/>
              <w:start w:w="180" w:type="dxa"/>
              <w:bottom w:w="120" w:type="dxa"/>
              <w:end w:w="180" w:type="dxa"/>
            </w:tcMar>
          </w:tcPr>
          <w:p>
            <w:pPr>
              <w:pStyle w:val="Normal"/>
              <w:spacing w:lineRule="auto" w:line="360"/>
              <w:ind w:hanging="0"/>
              <w:jc w:val="start"/>
              <w:rPr/>
            </w:pPr>
            <w:r>
              <w:rPr>
                <w:b/>
                <w:bCs/>
              </w:rPr>
              <w:t xml:space="preserve">Чат-бот в мессенджерах, </w:t>
            </w:r>
            <w:r>
              <w:rPr/>
              <w:t>не требующий установки, с максимальной доступностью.</w:t>
            </w:r>
          </w:p>
        </w:tc>
      </w:tr>
      <w:tr>
        <w:trPr/>
        <w:tc>
          <w:tcPr>
            <w:tcW w:w="706" w:type="dxa"/>
            <w:tcBorders>
              <w:top w:val="single" w:sz="2" w:space="0" w:color="E5E5E5"/>
              <w:start w:val="single" w:sz="2" w:space="0" w:color="E5E5E5"/>
              <w:bottom w:val="single" w:sz="6" w:space="0" w:color="E5E5E5"/>
              <w:end w:val="single" w:sz="6" w:space="0" w:color="E5E5E5"/>
            </w:tcBorders>
          </w:tcPr>
          <w:p>
            <w:pPr>
              <w:pStyle w:val="Normal"/>
              <w:spacing w:lineRule="auto" w:line="360"/>
              <w:ind w:firstLine="113"/>
              <w:jc w:val="start"/>
              <w:rPr/>
            </w:pPr>
            <w:r>
              <w:rPr>
                <w:b/>
                <w:bCs/>
              </w:rPr>
              <w:t>5</w:t>
            </w:r>
          </w:p>
        </w:tc>
        <w:tc>
          <w:tcPr>
            <w:tcW w:w="2267" w:type="dxa"/>
            <w:tcBorders>
              <w:top w:val="single" w:sz="2" w:space="0" w:color="E5E5E5"/>
              <w:start w:val="single" w:sz="2" w:space="0" w:color="E5E5E5"/>
              <w:bottom w:val="single" w:sz="6" w:space="0" w:color="E5E5E5"/>
              <w:end w:val="single" w:sz="6" w:space="0" w:color="E5E5E5"/>
            </w:tcBorders>
            <w:tcMar>
              <w:top w:w="120" w:type="dxa"/>
              <w:start w:w="180" w:type="dxa"/>
              <w:bottom w:w="120" w:type="dxa"/>
              <w:end w:w="180" w:type="dxa"/>
            </w:tcMar>
          </w:tcPr>
          <w:p>
            <w:pPr>
              <w:pStyle w:val="Normal"/>
              <w:spacing w:lineRule="auto" w:line="360"/>
              <w:ind w:hanging="0"/>
              <w:jc w:val="start"/>
              <w:rPr/>
            </w:pPr>
            <w:r>
              <w:rPr>
                <w:b/>
                <w:bCs/>
              </w:rPr>
              <w:t>Персонализация</w:t>
            </w:r>
          </w:p>
        </w:tc>
        <w:tc>
          <w:tcPr>
            <w:tcW w:w="2693" w:type="dxa"/>
            <w:tcBorders>
              <w:top w:val="single" w:sz="2" w:space="0" w:color="E5E5E5"/>
              <w:start w:val="single" w:sz="2" w:space="0" w:color="E5E5E5"/>
              <w:bottom w:val="single" w:sz="6" w:space="0" w:color="E5E5E5"/>
              <w:end w:val="single" w:sz="6" w:space="0" w:color="E5E5E5"/>
            </w:tcBorders>
            <w:tcMar>
              <w:top w:w="120" w:type="dxa"/>
              <w:start w:w="180" w:type="dxa"/>
              <w:bottom w:w="120" w:type="dxa"/>
              <w:end w:w="180" w:type="dxa"/>
            </w:tcMar>
          </w:tcPr>
          <w:p>
            <w:pPr>
              <w:pStyle w:val="Normal"/>
              <w:spacing w:lineRule="auto" w:line="360"/>
              <w:ind w:hanging="0"/>
              <w:jc w:val="start"/>
              <w:rPr/>
            </w:pPr>
            <w:r>
              <w:rPr/>
              <w:t>Ограниченная, на основе вводных данных.</w:t>
            </w:r>
          </w:p>
        </w:tc>
        <w:tc>
          <w:tcPr>
            <w:tcW w:w="3970" w:type="dxa"/>
            <w:tcBorders>
              <w:top w:val="single" w:sz="2" w:space="0" w:color="E5E5E5"/>
              <w:start w:val="single" w:sz="2" w:space="0" w:color="E5E5E5"/>
              <w:bottom w:val="single" w:sz="6" w:space="0" w:color="E5E5E5"/>
              <w:end w:val="single" w:sz="2" w:space="0" w:color="E5E5E5"/>
            </w:tcBorders>
            <w:tcMar>
              <w:top w:w="120" w:type="dxa"/>
              <w:start w:w="180" w:type="dxa"/>
              <w:bottom w:w="120" w:type="dxa"/>
              <w:end w:w="180" w:type="dxa"/>
            </w:tcMar>
          </w:tcPr>
          <w:p>
            <w:pPr>
              <w:pStyle w:val="Normal"/>
              <w:spacing w:lineRule="auto" w:line="360"/>
              <w:ind w:hanging="0"/>
              <w:jc w:val="start"/>
              <w:rPr/>
            </w:pPr>
            <w:r>
              <w:rPr>
                <w:b/>
                <w:bCs/>
              </w:rPr>
              <w:t xml:space="preserve">Непрерывная адаптация </w:t>
            </w:r>
            <w:r>
              <w:rPr/>
              <w:t>на основе прогресса и обратной связи от пользователя и наставника.</w:t>
            </w:r>
          </w:p>
        </w:tc>
      </w:tr>
      <w:tr>
        <w:trPr/>
        <w:tc>
          <w:tcPr>
            <w:tcW w:w="706" w:type="dxa"/>
            <w:tcBorders>
              <w:top w:val="single" w:sz="2" w:space="0" w:color="E5E5E5"/>
              <w:start w:val="single" w:sz="2" w:space="0" w:color="E5E5E5"/>
              <w:bottom w:val="single" w:sz="2" w:space="0" w:color="E5E5E5"/>
              <w:end w:val="single" w:sz="6" w:space="0" w:color="E5E5E5"/>
            </w:tcBorders>
          </w:tcPr>
          <w:p>
            <w:pPr>
              <w:pStyle w:val="Normal"/>
              <w:spacing w:lineRule="auto" w:line="360"/>
              <w:ind w:firstLine="113"/>
              <w:jc w:val="start"/>
              <w:rPr/>
            </w:pPr>
            <w:r>
              <w:rPr>
                <w:b/>
                <w:bCs/>
              </w:rPr>
              <w:t>6</w:t>
            </w:r>
          </w:p>
        </w:tc>
        <w:tc>
          <w:tcPr>
            <w:tcW w:w="2267" w:type="dxa"/>
            <w:tcBorders>
              <w:top w:val="single" w:sz="2" w:space="0" w:color="E5E5E5"/>
              <w:start w:val="single" w:sz="2" w:space="0" w:color="E5E5E5"/>
              <w:bottom w:val="single" w:sz="2" w:space="0" w:color="E5E5E5"/>
              <w:end w:val="single" w:sz="6" w:space="0" w:color="E5E5E5"/>
            </w:tcBorders>
            <w:tcMar>
              <w:top w:w="120" w:type="dxa"/>
              <w:start w:w="180" w:type="dxa"/>
              <w:bottom w:w="120" w:type="dxa"/>
              <w:end w:w="180" w:type="dxa"/>
            </w:tcMar>
          </w:tcPr>
          <w:p>
            <w:pPr>
              <w:pStyle w:val="Normal"/>
              <w:spacing w:lineRule="auto" w:line="360"/>
              <w:ind w:hanging="0"/>
              <w:jc w:val="start"/>
              <w:rPr/>
            </w:pPr>
            <w:r>
              <w:rPr>
                <w:b/>
                <w:bCs/>
              </w:rPr>
              <w:t>Модель</w:t>
            </w:r>
          </w:p>
        </w:tc>
        <w:tc>
          <w:tcPr>
            <w:tcW w:w="2693" w:type="dxa"/>
            <w:tcBorders>
              <w:top w:val="single" w:sz="2" w:space="0" w:color="E5E5E5"/>
              <w:start w:val="single" w:sz="2" w:space="0" w:color="E5E5E5"/>
              <w:bottom w:val="single" w:sz="2" w:space="0" w:color="E5E5E5"/>
              <w:end w:val="single" w:sz="6" w:space="0" w:color="E5E5E5"/>
            </w:tcBorders>
            <w:tcMar>
              <w:top w:w="120" w:type="dxa"/>
              <w:start w:w="180" w:type="dxa"/>
              <w:bottom w:w="120" w:type="dxa"/>
              <w:end w:w="180" w:type="dxa"/>
            </w:tcMar>
          </w:tcPr>
          <w:p>
            <w:pPr>
              <w:pStyle w:val="Normal"/>
              <w:spacing w:lineRule="auto" w:line="360"/>
              <w:ind w:hanging="0"/>
              <w:jc w:val="start"/>
              <w:rPr/>
            </w:pPr>
            <w:r>
              <w:rPr/>
              <w:t>Коммерческая, закрытая.</w:t>
            </w:r>
          </w:p>
        </w:tc>
        <w:tc>
          <w:tcPr>
            <w:tcW w:w="3970" w:type="dxa"/>
            <w:tcBorders>
              <w:top w:val="single" w:sz="2" w:space="0" w:color="E5E5E5"/>
              <w:start w:val="single" w:sz="2" w:space="0" w:color="E5E5E5"/>
              <w:bottom w:val="single" w:sz="2" w:space="0" w:color="E5E5E5"/>
              <w:end w:val="single" w:sz="2" w:space="0" w:color="E5E5E5"/>
            </w:tcBorders>
            <w:tcMar>
              <w:top w:w="120" w:type="dxa"/>
              <w:start w:w="180" w:type="dxa"/>
              <w:bottom w:w="120" w:type="dxa"/>
              <w:end w:w="180" w:type="dxa"/>
            </w:tcMar>
          </w:tcPr>
          <w:p>
            <w:pPr>
              <w:pStyle w:val="Normal"/>
              <w:spacing w:lineRule="auto" w:line="360"/>
              <w:ind w:hanging="0"/>
              <w:jc w:val="start"/>
              <w:rPr/>
            </w:pPr>
            <w:r>
              <w:rPr>
                <w:b/>
                <w:bCs/>
              </w:rPr>
              <w:t xml:space="preserve">Открытый исходный код, </w:t>
            </w:r>
            <w:r>
              <w:rPr/>
              <w:t>возможность самостоятельного хостинга и доработки.</w:t>
            </w:r>
          </w:p>
        </w:tc>
      </w:tr>
    </w:tbl>
    <w:p>
      <w:pPr>
        <w:pStyle w:val="Normal"/>
        <w:spacing w:lineRule="auto" w:line="360"/>
        <w:jc w:val="end"/>
        <w:rPr/>
      </w:pPr>
      <w:r>
        <w:rPr/>
        <w:t>Конец таблицы 1</w:t>
      </w:r>
    </w:p>
    <w:p>
      <w:pPr>
        <w:pStyle w:val="Normal"/>
        <w:spacing w:lineRule="auto" w:line="360"/>
        <w:rPr/>
      </w:pPr>
      <w:r>
        <w:rPr/>
      </w:r>
    </w:p>
    <w:p>
      <w:pPr>
        <w:pStyle w:val="Normal"/>
        <w:spacing w:lineRule="auto" w:line="360"/>
        <w:rPr>
          <w:rFonts w:ascii="Times New Roman" w:hAnsi="Times New Roman"/>
          <w:sz w:val="28"/>
          <w:szCs w:val="28"/>
        </w:rPr>
      </w:pPr>
      <w:r>
        <w:rPr>
          <w:rFonts w:ascii="Times New Roman" w:hAnsi="Times New Roman"/>
          <w:b w:val="false"/>
          <w:bCs w:val="false"/>
          <w:sz w:val="28"/>
          <w:szCs w:val="28"/>
        </w:rPr>
        <w:t>Ожидаемые эффекты от реализации методики</w:t>
      </w:r>
      <w:r>
        <w:rPr>
          <w:rFonts w:ascii="Times New Roman" w:hAnsi="Times New Roman"/>
          <w:sz w:val="28"/>
          <w:szCs w:val="28"/>
        </w:rPr>
        <w:t xml:space="preserve"> Внедрение описанной методики позволяет прогнозировать возникновение следующих позитивных эффектов:</w:t>
      </w:r>
    </w:p>
    <w:p>
      <w:pPr>
        <w:pStyle w:val="Normal"/>
        <w:widowControl/>
        <w:numPr>
          <w:ilvl w:val="0"/>
          <w:numId w:val="4"/>
        </w:numPr>
        <w:tabs>
          <w:tab w:val="clear" w:pos="709"/>
          <w:tab w:val="left" w:pos="392" w:leader="none"/>
        </w:tabs>
        <w:suppressAutoHyphens w:val="true"/>
        <w:bidi w:val="0"/>
        <w:spacing w:lineRule="auto" w:line="360" w:before="0" w:after="0"/>
        <w:ind w:firstLine="737" w:start="0" w:end="0"/>
        <w:jc w:val="both"/>
        <w:textAlignment w:val="baseline"/>
        <w:rPr/>
      </w:pPr>
      <w:r>
        <w:rPr>
          <w:rFonts w:ascii="Times New Roman" w:hAnsi="Times New Roman"/>
          <w:b w:val="false"/>
          <w:bCs w:val="false"/>
          <w:sz w:val="28"/>
          <w:szCs w:val="28"/>
        </w:rPr>
        <w:t xml:space="preserve">Повышение эффективности формирования привычек </w:t>
      </w:r>
      <w:r>
        <w:rPr>
          <w:rFonts w:ascii="Times New Roman" w:hAnsi="Times New Roman"/>
          <w:b w:val="false"/>
          <w:bCs w:val="false"/>
          <w:sz w:val="28"/>
          <w:szCs w:val="28"/>
        </w:rPr>
        <w:t>и уровня вовлеченности и приверженности пользователя к программе формирования привычки</w:t>
      </w:r>
      <w:r>
        <w:rPr>
          <w:rFonts w:ascii="Times New Roman" w:hAnsi="Times New Roman"/>
          <w:b w:val="false"/>
          <w:bCs w:val="false"/>
          <w:sz w:val="28"/>
          <w:szCs w:val="28"/>
        </w:rPr>
        <w:t>:</w:t>
      </w:r>
      <w:r>
        <w:rPr>
          <w:rFonts w:ascii="Times New Roman" w:hAnsi="Times New Roman"/>
          <w:sz w:val="28"/>
          <w:szCs w:val="28"/>
        </w:rPr>
        <w:t xml:space="preserve"> За счет синергии игровых механизмов и человеческой поддержки </w:t>
      </w:r>
      <w:r>
        <w:rPr>
          <w:rFonts w:ascii="Times New Roman" w:hAnsi="Times New Roman"/>
          <w:sz w:val="28"/>
          <w:szCs w:val="28"/>
        </w:rPr>
        <w:t>в совокупности с</w:t>
      </w:r>
      <w:r>
        <w:rPr>
          <w:rFonts w:ascii="Times New Roman" w:hAnsi="Times New Roman"/>
          <w:b w:val="false"/>
          <w:bCs w:val="false"/>
          <w:sz w:val="28"/>
          <w:szCs w:val="28"/>
        </w:rPr>
        <w:t xml:space="preserve"> постоянным положительным подкреплением и ощущением игрового прогресса</w:t>
      </w:r>
      <w:r>
        <w:rPr>
          <w:rFonts w:ascii="Times New Roman" w:hAnsi="Times New Roman"/>
          <w:sz w:val="28"/>
          <w:szCs w:val="28"/>
        </w:rPr>
        <w:t xml:space="preserve"> ожидается увеличение конверсии выполнения программ на 25-40% по сравнению с решениями, использующими только один из подходов.</w:t>
      </w:r>
    </w:p>
    <w:p>
      <w:pPr>
        <w:pStyle w:val="Normal"/>
        <w:widowControl/>
        <w:numPr>
          <w:ilvl w:val="0"/>
          <w:numId w:val="4"/>
        </w:numPr>
        <w:tabs>
          <w:tab w:val="clear" w:pos="709"/>
          <w:tab w:val="left" w:pos="392" w:leader="none"/>
        </w:tabs>
        <w:suppressAutoHyphens w:val="true"/>
        <w:bidi w:val="0"/>
        <w:spacing w:lineRule="auto" w:line="360" w:before="0" w:after="0"/>
        <w:ind w:firstLine="737" w:start="0" w:end="0"/>
        <w:jc w:val="both"/>
        <w:textAlignment w:val="baseline"/>
        <w:rPr/>
      </w:pPr>
      <w:r>
        <w:rPr>
          <w:rFonts w:ascii="Times New Roman" w:hAnsi="Times New Roman"/>
          <w:b w:val="false"/>
          <w:bCs w:val="false"/>
          <w:sz w:val="28"/>
          <w:szCs w:val="28"/>
        </w:rPr>
        <w:t>Повышение лояльности пользователя:</w:t>
      </w:r>
      <w:r>
        <w:rPr>
          <w:rFonts w:ascii="Times New Roman" w:hAnsi="Times New Roman"/>
          <w:sz w:val="28"/>
          <w:szCs w:val="28"/>
        </w:rPr>
        <w:t xml:space="preserve"> Снижение показателя оттока на 15-20% благодаря постоянному ощущению поддержки и персонализированному опыту, </w:t>
      </w:r>
      <w:r>
        <w:rPr>
          <w:rFonts w:ascii="Times New Roman" w:hAnsi="Times New Roman"/>
          <w:sz w:val="28"/>
          <w:szCs w:val="28"/>
        </w:rPr>
        <w:t xml:space="preserve">а также </w:t>
      </w:r>
      <w:r>
        <w:rPr>
          <w:rFonts w:ascii="Times New Roman" w:hAnsi="Times New Roman"/>
          <w:sz w:val="28"/>
          <w:szCs w:val="28"/>
        </w:rPr>
        <w:t>благодаря анонимному и оперативному доступу к профессиональной поддержке в моменты кризиса мотивации. что является критически важным для долгосрочных изменений.</w:t>
      </w:r>
    </w:p>
    <w:p>
      <w:pPr>
        <w:pStyle w:val="Normal"/>
        <w:widowControl/>
        <w:numPr>
          <w:ilvl w:val="0"/>
          <w:numId w:val="4"/>
        </w:numPr>
        <w:tabs>
          <w:tab w:val="clear" w:pos="709"/>
          <w:tab w:val="left" w:pos="392" w:leader="none"/>
        </w:tabs>
        <w:suppressAutoHyphens w:val="true"/>
        <w:bidi w:val="0"/>
        <w:spacing w:lineRule="auto" w:line="360" w:before="0" w:after="0"/>
        <w:ind w:firstLine="737" w:start="0" w:end="0"/>
        <w:jc w:val="both"/>
        <w:textAlignment w:val="baseline"/>
        <w:rPr/>
      </w:pPr>
      <w:r>
        <w:rPr>
          <w:rFonts w:ascii="Times New Roman" w:hAnsi="Times New Roman"/>
          <w:b w:val="false"/>
          <w:bCs w:val="false"/>
          <w:sz w:val="28"/>
          <w:szCs w:val="28"/>
        </w:rPr>
        <w:t>Повышение эффективности формирования привычки</w:t>
      </w:r>
      <w:r>
        <w:rPr>
          <w:rFonts w:ascii="Times New Roman" w:hAnsi="Times New Roman"/>
          <w:sz w:val="28"/>
          <w:szCs w:val="28"/>
        </w:rPr>
        <w:t xml:space="preserve"> за счет синергетического эффекта: геймификация создает и поддерживает регулярность действий, а наставничество помогает преодолевать индивидуальные препятствия и адаптировать программу под личные особенности.</w:t>
      </w:r>
    </w:p>
    <w:p>
      <w:pPr>
        <w:pStyle w:val="Normal"/>
        <w:widowControl/>
        <w:numPr>
          <w:ilvl w:val="0"/>
          <w:numId w:val="4"/>
        </w:numPr>
        <w:tabs>
          <w:tab w:val="clear" w:pos="709"/>
          <w:tab w:val="left" w:pos="392" w:leader="none"/>
        </w:tabs>
        <w:suppressAutoHyphens w:val="true"/>
        <w:bidi w:val="0"/>
        <w:spacing w:lineRule="auto" w:line="360" w:before="0" w:after="0"/>
        <w:ind w:firstLine="737" w:start="0" w:end="0"/>
        <w:jc w:val="both"/>
        <w:textAlignment w:val="baseline"/>
        <w:rPr/>
      </w:pPr>
      <w:r>
        <w:rPr>
          <w:rFonts w:ascii="Times New Roman" w:hAnsi="Times New Roman"/>
          <w:b w:val="false"/>
          <w:bCs w:val="false"/>
          <w:sz w:val="28"/>
          <w:szCs w:val="28"/>
        </w:rPr>
        <w:t>Методический вклад в теорию поведенческих изменений:</w:t>
      </w:r>
      <w:r>
        <w:rPr>
          <w:rFonts w:ascii="Times New Roman" w:hAnsi="Times New Roman"/>
          <w:sz w:val="28"/>
          <w:szCs w:val="28"/>
        </w:rPr>
        <w:t xml:space="preserve"> Практическая апробация методики позволит верифицировать теоретическую модель о синергетическом эффекте сочетания геймификации и наставничества в цифровой среде.</w:t>
      </w:r>
    </w:p>
    <w:p>
      <w:pPr>
        <w:pStyle w:val="Normal"/>
        <w:tabs>
          <w:tab w:val="left" w:pos="709" w:leader="none"/>
        </w:tabs>
        <w:spacing w:lineRule="auto" w:line="360"/>
        <w:ind w:firstLine="709" w:start="0"/>
        <w:rPr>
          <w:b/>
          <w:bCs/>
        </w:rPr>
      </w:pPr>
      <w:r>
        <w:rPr/>
      </w:r>
    </w:p>
    <w:p>
      <w:pPr>
        <w:pStyle w:val="Normal"/>
        <w:spacing w:lineRule="auto" w:line="360"/>
        <w:rPr>
          <w:sz w:val="28"/>
          <w:szCs w:val="28"/>
        </w:rPr>
      </w:pPr>
      <w:r>
        <w:rPr>
          <w:b/>
          <w:bCs/>
          <w:sz w:val="28"/>
          <w:szCs w:val="28"/>
        </w:rPr>
        <w:t>Заключение.</w:t>
      </w:r>
      <w:r>
        <w:rPr>
          <w:sz w:val="28"/>
          <w:szCs w:val="28"/>
        </w:rPr>
        <w:t xml:space="preserve"> </w:t>
      </w:r>
      <w:r>
        <w:rPr>
          <w:rFonts w:cs="Times New Roman"/>
          <w:sz w:val="28"/>
          <w:szCs w:val="28"/>
        </w:rPr>
        <w:t xml:space="preserve">Предложенная методика вносит вклад в развитие теории и практики формирования здоровых привычек, демонстрируя перспективность комплексного подхода, объединяющего достижения игровой психологии, наставнического взаимодействия и современных цифровых технологий. </w:t>
      </w:r>
      <w:r>
        <w:rPr>
          <w:sz w:val="28"/>
          <w:szCs w:val="28"/>
        </w:rPr>
        <w:t>Таким образом, представленная методика представляет собой комплексный подход к формированию здоровых привычек, структурно объединяющий теоретически обоснованные элементы геймификации и наставничества. Ее ключевые отличия от существующих аналогов заключаются в глубокой интеграции двух парадигм, реализации в формате чат-бота и ориентации на открытость и персонализацию. Ожидается, что внедрение методики позволит получить значимые научно-практические эффекты, повышающие эффективность цифровых инструментов для укрепления здоровья населения.</w:t>
      </w:r>
    </w:p>
    <w:p>
      <w:pPr>
        <w:pStyle w:val="Normal"/>
        <w:spacing w:lineRule="auto" w:line="360"/>
        <w:rPr>
          <w:sz w:val="28"/>
          <w:szCs w:val="28"/>
        </w:rPr>
      </w:pPr>
      <w:r>
        <w:rPr>
          <w:sz w:val="28"/>
          <w:szCs w:val="28"/>
        </w:rPr>
      </w:r>
    </w:p>
    <w:p>
      <w:pPr>
        <w:pStyle w:val="Standard"/>
        <w:spacing w:lineRule="auto" w:line="360"/>
        <w:rPr>
          <w:rFonts w:ascii="Times New Roman" w:hAnsi="Times New Roman"/>
          <w:sz w:val="28"/>
          <w:szCs w:val="28"/>
        </w:rPr>
      </w:pPr>
      <w:r>
        <w:rPr>
          <w:rFonts w:cs="Times New Roman" w:ascii="Times New Roman" w:hAnsi="Times New Roman"/>
          <w:b/>
          <w:bCs/>
          <w:sz w:val="28"/>
          <w:szCs w:val="28"/>
        </w:rPr>
        <w:t>Список литературы</w:t>
      </w:r>
    </w:p>
    <w:p>
      <w:pPr>
        <w:pStyle w:val="Standard"/>
        <w:numPr>
          <w:ilvl w:val="0"/>
          <w:numId w:val="1"/>
        </w:numPr>
        <w:spacing w:lineRule="auto" w:line="360"/>
        <w:ind w:hanging="720" w:start="720"/>
        <w:rPr>
          <w:rFonts w:ascii="Times New Roman" w:hAnsi="Times New Roman"/>
          <w:sz w:val="28"/>
          <w:szCs w:val="28"/>
        </w:rPr>
      </w:pPr>
      <w:r>
        <w:rPr>
          <w:rFonts w:cs="Times New Roman" w:ascii="Times New Roman" w:hAnsi="Times New Roman"/>
          <w:sz w:val="28"/>
          <w:szCs w:val="28"/>
        </w:rPr>
        <w:t xml:space="preserve">Всемирная организация здравоохранения. Физическая активность и здоровье // </w:t>
      </w:r>
      <w:r>
        <w:rPr>
          <w:rFonts w:cs="Times New Roman" w:ascii="Times New Roman" w:hAnsi="Times New Roman"/>
          <w:sz w:val="28"/>
          <w:szCs w:val="28"/>
          <w:lang w:val="en-US"/>
        </w:rPr>
        <w:t>WHO</w:t>
      </w:r>
      <w:r>
        <w:rPr>
          <w:rFonts w:cs="Times New Roman" w:ascii="Times New Roman" w:hAnsi="Times New Roman"/>
          <w:sz w:val="28"/>
          <w:szCs w:val="28"/>
        </w:rPr>
        <w:t xml:space="preserve"> </w:t>
      </w:r>
      <w:r>
        <w:rPr>
          <w:rFonts w:cs="Times New Roman" w:ascii="Times New Roman" w:hAnsi="Times New Roman"/>
          <w:sz w:val="28"/>
          <w:szCs w:val="28"/>
          <w:lang w:val="en-US"/>
        </w:rPr>
        <w:t>Report</w:t>
      </w:r>
      <w:r>
        <w:rPr>
          <w:rFonts w:cs="Times New Roman" w:ascii="Times New Roman" w:hAnsi="Times New Roman"/>
          <w:sz w:val="28"/>
          <w:szCs w:val="28"/>
        </w:rPr>
        <w:t>, 2023.</w:t>
      </w:r>
    </w:p>
    <w:p>
      <w:pPr>
        <w:pStyle w:val="Standard"/>
        <w:numPr>
          <w:ilvl w:val="0"/>
          <w:numId w:val="1"/>
        </w:numPr>
        <w:spacing w:lineRule="auto" w:line="360"/>
        <w:ind w:hanging="720" w:start="720"/>
        <w:rPr>
          <w:rFonts w:ascii="Times New Roman" w:hAnsi="Times New Roman"/>
          <w:sz w:val="28"/>
          <w:szCs w:val="28"/>
        </w:rPr>
      </w:pPr>
      <w:r>
        <w:rPr>
          <w:rFonts w:cs="Times New Roman" w:ascii="Times New Roman" w:hAnsi="Times New Roman"/>
          <w:sz w:val="28"/>
          <w:szCs w:val="28"/>
          <w:lang w:val="en-US"/>
        </w:rPr>
        <w:t>Fogg, B. J. Tiny Habits: The Small Changes That Change Everything. — Boston: Houghton Mifflin Harcourt, 2019. — 320 p.</w:t>
      </w:r>
    </w:p>
    <w:p>
      <w:pPr>
        <w:pStyle w:val="Standard"/>
        <w:numPr>
          <w:ilvl w:val="0"/>
          <w:numId w:val="1"/>
        </w:numPr>
        <w:spacing w:lineRule="auto" w:line="360"/>
        <w:ind w:hanging="720" w:start="720"/>
        <w:rPr>
          <w:rFonts w:ascii="Times New Roman" w:hAnsi="Times New Roman"/>
          <w:sz w:val="28"/>
          <w:szCs w:val="28"/>
        </w:rPr>
      </w:pPr>
      <w:r>
        <w:rPr>
          <w:rFonts w:cs="Times New Roman" w:ascii="Times New Roman" w:hAnsi="Times New Roman"/>
          <w:sz w:val="28"/>
          <w:szCs w:val="28"/>
          <w:lang w:val="en-US"/>
        </w:rPr>
        <w:t>Duhigg, C. The Power of Habit: Why We Do What We Do in Life and Business. — New York: Random House, 2012. — 371 p.</w:t>
      </w:r>
    </w:p>
    <w:p>
      <w:pPr>
        <w:pStyle w:val="Standard"/>
        <w:numPr>
          <w:ilvl w:val="0"/>
          <w:numId w:val="1"/>
        </w:numPr>
        <w:spacing w:lineRule="auto" w:line="360"/>
        <w:ind w:hanging="720" w:start="720"/>
        <w:rPr>
          <w:rFonts w:ascii="Times New Roman" w:hAnsi="Times New Roman"/>
          <w:sz w:val="28"/>
          <w:szCs w:val="28"/>
        </w:rPr>
      </w:pPr>
      <w:r>
        <w:rPr>
          <w:rFonts w:cs="Times New Roman" w:ascii="Times New Roman" w:hAnsi="Times New Roman"/>
          <w:sz w:val="28"/>
          <w:szCs w:val="28"/>
          <w:lang w:val="en-US"/>
        </w:rPr>
        <w:t>Johnson, D., Deterding, S., Kuhn, K.-A. et al. Gamification for health and wellbeing: A systematic review of the literature // Internet Interventions. — 2016. — Vol. 6. — P. 89–106.</w:t>
      </w:r>
    </w:p>
    <w:p>
      <w:pPr>
        <w:pStyle w:val="Standard"/>
        <w:numPr>
          <w:ilvl w:val="0"/>
          <w:numId w:val="1"/>
        </w:numPr>
        <w:spacing w:lineRule="auto" w:line="360"/>
        <w:ind w:hanging="720" w:start="720"/>
        <w:rPr>
          <w:rFonts w:ascii="Times New Roman" w:hAnsi="Times New Roman"/>
          <w:sz w:val="28"/>
          <w:szCs w:val="28"/>
        </w:rPr>
      </w:pPr>
      <w:r>
        <w:rPr>
          <w:rFonts w:cs="Times New Roman" w:ascii="Times New Roman" w:hAnsi="Times New Roman"/>
          <w:sz w:val="28"/>
          <w:szCs w:val="28"/>
          <w:lang w:val="en-US"/>
        </w:rPr>
        <w:t>Hogan, B. E., Linden, W., Najarian, B. Social support interventions: Do they work? // Clinical Psychology Review. — 2002. — Vol. 22, No. 3. — P. 381–440.</w:t>
      </w:r>
    </w:p>
    <w:p>
      <w:pPr>
        <w:pStyle w:val="Standard"/>
        <w:numPr>
          <w:ilvl w:val="0"/>
          <w:numId w:val="1"/>
        </w:numPr>
        <w:spacing w:lineRule="auto" w:line="360"/>
        <w:ind w:hanging="720" w:start="720"/>
        <w:rPr>
          <w:rFonts w:ascii="Times New Roman" w:hAnsi="Times New Roman"/>
          <w:sz w:val="28"/>
          <w:szCs w:val="28"/>
        </w:rPr>
      </w:pPr>
      <w:r>
        <w:rPr>
          <w:rFonts w:cs="Times New Roman" w:ascii="Times New Roman" w:hAnsi="Times New Roman"/>
          <w:sz w:val="28"/>
          <w:szCs w:val="28"/>
          <w:lang w:val="en-US"/>
        </w:rPr>
        <w:t>Barak, A., Gluck-Ofri, O. Degree and reciprocity of self-disclosure in online forums // CyberPsychology &amp; Behavior. — 2007. — Vol. 10, No. 3. — P. 407–417.</w:t>
      </w:r>
    </w:p>
    <w:sectPr>
      <w:type w:val="nextPage"/>
      <w:pgSz w:w="11906" w:h="16838"/>
      <w:pgMar w:left="1701" w:right="567"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Times New Roman">
    <w:charset w:val="cc" w:characterSet="windows-1251"/>
    <w:family w:val="roman"/>
    <w:pitch w:val="variable"/>
  </w:font>
  <w:font w:name="Segoe UI">
    <w:charset w:val="cc" w:characterSet="windows-1251"/>
    <w:family w:val="swiss"/>
    <w:pitch w:val="variable"/>
  </w:font>
  <w:font w:name="Consolas">
    <w:charset w:val="cc" w:characterSet="windows-1251"/>
    <w:family w:val="roman"/>
    <w:pitch w:val="variable"/>
  </w:font>
  <w:font w:name="OpenSymbol">
    <w:altName w:val="Arial Unicode MS"/>
    <w:charset w:val="02"/>
    <w:family w:val="auto"/>
    <w:pitch w:val="default"/>
  </w:font>
  <w:font w:name="Liberation Sans">
    <w:altName w:val="Arial"/>
    <w:charset w:val="cc" w:characterSet="windows-1251"/>
    <w:family w:val="swiss"/>
    <w:pitch w:val="variable"/>
  </w:font>
  <w:font w:name="Times New Roman">
    <w:charset w:val="01"/>
    <w:family w:val="roman"/>
    <w:pitch w:val="variable"/>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bullet"/>
      <w:lvlText w:val="-"/>
      <w:lvlJc w:val="start"/>
      <w:pPr>
        <w:tabs>
          <w:tab w:val="num" w:pos="720"/>
        </w:tabs>
        <w:ind w:start="720" w:hanging="360"/>
      </w:pPr>
      <w:rPr>
        <w:rFonts w:ascii="Times New Roman" w:hAnsi="Times New Roman" w:cs="Times New Roman" w:hint="default"/>
        <w:sz w:val="28"/>
        <w:szCs w:val="28"/>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3">
    <w:lvl w:ilvl="0">
      <w:start w:val="1"/>
      <w:numFmt w:val="bullet"/>
      <w:lvlText w:val="-"/>
      <w:lvlJc w:val="start"/>
      <w:pPr>
        <w:tabs>
          <w:tab w:val="num" w:pos="720"/>
        </w:tabs>
        <w:ind w:start="720" w:hanging="360"/>
      </w:pPr>
      <w:rPr>
        <w:rFonts w:ascii="Times New Roman" w:hAnsi="Times New Roman" w:cs="Times New Roman" w:hint="default"/>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4">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OpenSymbol" w:hAnsi="OpenSymbol" w:cs="Open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30"/>
  <w:defaultTabStop w:val="709"/>
  <w:autoHyphenation w:val="true"/>
  <w:hyphenationZone w:val="36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ru-RU"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c7c6b"/>
    <w:pPr>
      <w:widowControl/>
      <w:suppressAutoHyphens w:val="true"/>
      <w:bidi w:val="0"/>
      <w:spacing w:before="0" w:after="0"/>
      <w:ind w:firstLine="709"/>
      <w:jc w:val="both"/>
      <w:textAlignment w:val="baseline"/>
    </w:pPr>
    <w:rPr>
      <w:rFonts w:ascii="Times New Roman" w:hAnsi="Times New Roman" w:eastAsia="NSimSun" w:cs="Lucida Sans"/>
      <w:color w:val="auto"/>
      <w:kern w:val="2"/>
      <w:sz w:val="24"/>
      <w:szCs w:val="24"/>
      <w:lang w:val="ru-RU" w:eastAsia="zh-CN" w:bidi="hi-IN"/>
    </w:rPr>
  </w:style>
  <w:style w:type="character" w:styleId="DefaultParagraphFont" w:default="1">
    <w:name w:val="Default Paragraph Font"/>
    <w:uiPriority w:val="1"/>
    <w:unhideWhenUsed/>
    <w:qFormat/>
    <w:rPr/>
  </w:style>
  <w:style w:type="character" w:styleId="Internetlink" w:customStyle="1">
    <w:name w:val="Internet link"/>
    <w:qFormat/>
    <w:rPr>
      <w:color w:val="000080"/>
      <w:u w:val="single"/>
    </w:rPr>
  </w:style>
  <w:style w:type="character" w:styleId="Style14" w:customStyle="1">
    <w:name w:val="Символ нумерации"/>
    <w:qFormat/>
    <w:rPr/>
  </w:style>
  <w:style w:type="character" w:styleId="Style15" w:customStyle="1">
    <w:name w:val="Текст выноски Знак"/>
    <w:basedOn w:val="DefaultParagraphFont"/>
    <w:qFormat/>
    <w:rPr>
      <w:rFonts w:ascii="Segoe UI" w:hAnsi="Segoe UI" w:eastAsia="Segoe UI" w:cs="Mangal"/>
      <w:sz w:val="18"/>
      <w:szCs w:val="16"/>
    </w:rPr>
  </w:style>
  <w:style w:type="character" w:styleId="CommentReference">
    <w:name w:val="annotation reference"/>
    <w:basedOn w:val="DefaultParagraphFont"/>
    <w:qFormat/>
    <w:rPr>
      <w:sz w:val="16"/>
      <w:szCs w:val="16"/>
    </w:rPr>
  </w:style>
  <w:style w:type="character" w:styleId="Style16" w:customStyle="1">
    <w:name w:val="Текст примечания Знак"/>
    <w:basedOn w:val="DefaultParagraphFont"/>
    <w:qFormat/>
    <w:rPr>
      <w:rFonts w:cs="Mangal"/>
      <w:sz w:val="20"/>
      <w:szCs w:val="18"/>
    </w:rPr>
  </w:style>
  <w:style w:type="character" w:styleId="Style17" w:customStyle="1">
    <w:name w:val="Тема примечания Знак"/>
    <w:basedOn w:val="Style16"/>
    <w:qFormat/>
    <w:rPr>
      <w:rFonts w:cs="Mangal"/>
      <w:b/>
      <w:bCs/>
      <w:sz w:val="20"/>
      <w:szCs w:val="18"/>
    </w:rPr>
  </w:style>
  <w:style w:type="character" w:styleId="HTML" w:customStyle="1">
    <w:name w:val="Стандартный HTML Знак"/>
    <w:basedOn w:val="DefaultParagraphFont"/>
    <w:link w:val="HTMLPreformatted"/>
    <w:uiPriority w:val="99"/>
    <w:semiHidden/>
    <w:qFormat/>
    <w:rsid w:val="00511860"/>
    <w:rPr>
      <w:rFonts w:ascii="Consolas" w:hAnsi="Consolas" w:cs="Mangal"/>
      <w:sz w:val="20"/>
      <w:szCs w:val="18"/>
    </w:rPr>
  </w:style>
  <w:style w:type="character" w:styleId="Style18">
    <w:name w:val="Маркеры"/>
    <w:qFormat/>
    <w:rPr>
      <w:rFonts w:ascii="OpenSymbol" w:hAnsi="OpenSymbol" w:eastAsia="OpenSymbol" w:cs="OpenSymbol"/>
    </w:rPr>
  </w:style>
  <w:style w:type="paragraph" w:styleId="Style19" w:customStyle="1">
    <w:name w:val="Заголовок"/>
    <w:basedOn w:val="Standard"/>
    <w:next w:val="Textbody"/>
    <w:qFormat/>
    <w:pPr>
      <w:keepNext w:val="true"/>
      <w:spacing w:before="240" w:after="120"/>
    </w:pPr>
    <w:rPr>
      <w:rFonts w:ascii="Liberation Sans" w:hAnsi="Liberation Sans" w:eastAsia="Microsoft YaHei" w:cs="Liberation Sans"/>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Standard"/>
    <w:qFormat/>
    <w:pPr>
      <w:suppressLineNumbers/>
      <w:spacing w:before="120" w:after="120"/>
    </w:pPr>
    <w:rPr>
      <w:i/>
      <w:iCs/>
    </w:rPr>
  </w:style>
  <w:style w:type="paragraph" w:styleId="Style20" w:customStyle="1">
    <w:name w:val="Указатель"/>
    <w:basedOn w:val="Standard"/>
    <w:qFormat/>
    <w:pPr>
      <w:suppressLineNumbers/>
    </w:pPr>
    <w:rPr/>
  </w:style>
  <w:style w:type="paragraph" w:styleId="Standard" w:customStyle="1">
    <w:name w:val="Standard"/>
    <w:qFormat/>
    <w:pPr>
      <w:widowControl/>
      <w:suppressAutoHyphens w:val="true"/>
      <w:bidi w:val="0"/>
      <w:spacing w:before="0" w:after="0"/>
      <w:jc w:val="start"/>
      <w:textAlignment w:val="baseline"/>
    </w:pPr>
    <w:rPr>
      <w:rFonts w:ascii="Liberation Serif" w:hAnsi="Liberation Serif" w:eastAsia="NSimSun" w:cs="Lucida Sans"/>
      <w:color w:val="auto"/>
      <w:kern w:val="2"/>
      <w:sz w:val="24"/>
      <w:szCs w:val="24"/>
      <w:lang w:val="ru-RU" w:eastAsia="zh-CN" w:bidi="hi-IN"/>
    </w:rPr>
  </w:style>
  <w:style w:type="paragraph" w:styleId="Textbody" w:customStyle="1">
    <w:name w:val="Text body"/>
    <w:basedOn w:val="Standard"/>
    <w:qFormat/>
    <w:pPr>
      <w:spacing w:lineRule="auto" w:line="276" w:before="0" w:after="140"/>
    </w:pPr>
    <w:rPr/>
  </w:style>
  <w:style w:type="paragraph" w:styleId="BalloonText">
    <w:name w:val="Balloon Text"/>
    <w:basedOn w:val="Normal"/>
    <w:qFormat/>
    <w:pPr/>
    <w:rPr>
      <w:rFonts w:ascii="Segoe UI" w:hAnsi="Segoe UI" w:eastAsia="Segoe UI" w:cs="Mangal"/>
      <w:sz w:val="18"/>
      <w:szCs w:val="16"/>
    </w:rPr>
  </w:style>
  <w:style w:type="paragraph" w:styleId="CommentText">
    <w:name w:val="annotation text"/>
    <w:basedOn w:val="Normal"/>
    <w:pPr/>
    <w:rPr>
      <w:rFonts w:cs="Mangal"/>
      <w:sz w:val="20"/>
      <w:szCs w:val="18"/>
    </w:rPr>
  </w:style>
  <w:style w:type="paragraph" w:styleId="annotationsubject">
    <w:name w:val="annotation subject"/>
    <w:basedOn w:val="CommentText"/>
    <w:next w:val="CommentText"/>
    <w:qFormat/>
    <w:pPr/>
    <w:rPr>
      <w:b/>
      <w:bCs/>
    </w:rPr>
  </w:style>
  <w:style w:type="paragraph" w:styleId="HTMLPreformatted">
    <w:name w:val="HTML Preformatted"/>
    <w:basedOn w:val="Normal"/>
    <w:link w:val="HTML"/>
    <w:uiPriority w:val="99"/>
    <w:semiHidden/>
    <w:unhideWhenUsed/>
    <w:qFormat/>
    <w:rsid w:val="00511860"/>
    <w:pPr/>
    <w:rPr>
      <w:rFonts w:ascii="Consolas" w:hAnsi="Consolas" w:cs="Mangal"/>
      <w:sz w:val="20"/>
      <w:szCs w:val="18"/>
    </w:rPr>
  </w:style>
  <w:style w:type="paragraph" w:styleId="ListParagraph">
    <w:name w:val="List Paragraph"/>
    <w:basedOn w:val="Normal"/>
    <w:uiPriority w:val="34"/>
    <w:qFormat/>
    <w:rsid w:val="008c7c6b"/>
    <w:pPr>
      <w:spacing w:before="0" w:after="0"/>
      <w:ind w:start="720"/>
      <w:contextualSpacing/>
    </w:pPr>
    <w:rPr>
      <w:rFonts w:cs="Mangal"/>
      <w:szCs w:val="21"/>
    </w:rPr>
  </w:style>
  <w:style w:type="numbering" w:styleId="Style21" w:default="1">
    <w:name w:val="Без списка"/>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41</TotalTime>
  <Application>LibreOffice/25.8.5.2$Windows_X86_64 LibreOffice_project/9c8b85f387cc00a89945a79c9e6239f32e450ac2</Application>
  <AppVersion>15.0000</AppVersion>
  <Pages>7</Pages>
  <Words>1338</Words>
  <Characters>9996</Characters>
  <CharactersWithSpaces>11255</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2026-03-20T09:21:00Z</dcterms:created>
  <dc:creator>Павел Гамов</dc:creator>
  <dc:description/>
  <dc:language>ru-RU</dc:language>
  <cp:lastModifiedBy/>
  <cp:lastPrinted>2026-03-04T14:37:00Z</cp:lastPrinted>
  <dcterms:modified xsi:type="dcterms:W3CDTF">2026-04-02T17:22:36Z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