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Структура исследования Павел Гамов ЭМС-271</w:t>
      </w:r>
    </w:p>
    <w:tbl>
      <w:tblPr>
        <w:tblStyle w:val="ab"/>
        <w:tblpPr w:vertAnchor="margin" w:horzAnchor="margin" w:leftFromText="180" w:rightFromText="180" w:tblpX="0" w:tblpY="660"/>
        <w:tblW w:w="1062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667"/>
        <w:gridCol w:w="2751"/>
        <w:gridCol w:w="7209"/>
      </w:tblGrid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7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Наименование этапа исследования</w:t>
            </w:r>
          </w:p>
        </w:tc>
        <w:tc>
          <w:tcPr>
            <w:tcW w:w="7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Описание этапа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27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Постановка / описание проблемы</w:t>
            </w:r>
          </w:p>
        </w:tc>
        <w:tc>
          <w:tcPr>
            <w:tcW w:w="7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Современные технологии оказывают большое влияние на здоровье и образ жизни населения. Недостаточное внимание уделяется эффективным инструментам цифровой поддержки формирования полезных привычек, несмотря на распространённость мобильных устройств и популярность мессенджеров. </w:t>
            </w:r>
            <w:r>
              <w:rPr>
                <w:rFonts w:eastAsia="Calibri" w:cs="Times New Roman" w:ascii="Times New Roman" w:hAnsi="Times New Roman"/>
                <w:i/>
                <w:kern w:val="0"/>
                <w:sz w:val="24"/>
                <w:szCs w:val="24"/>
                <w:lang w:val="ru-RU" w:eastAsia="en-US" w:bidi="ar-SA"/>
              </w:rPr>
              <w:t>Отсутствие универсальных и гибких цифровых платформ для долгосрочного укрепления здоровья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требует создания эффективных методик и сервисов, интегрирующих игровые техники и психологическую поддержку.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---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FF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Так ли нужны универсальные и гибкие цифровые платформы для укрепления здоровья?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Да, универсальные и гибкие цифровые платформы для укрепления здоровья крайне необходимы в современном обществе. Они интегрируют геймификацию и наставничество в повседневные мессенджеры вроде Telegram, повышая вовлеченность на 20–50% и снижая отток пользователей. Без них цифровизация усугубляет сидячий образ жизни, а такие платформы превращают привычки в устойчивые практики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 xml:space="preserve">Уточните при постановке проблемы, что цифровые технологии укрепления здоровья будут актуальны у людей только определенных поколений: </w:t>
            </w: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en-US" w:eastAsia="en-US" w:bidi="ar-SA"/>
              </w:rPr>
              <w:t>Y</w:t>
            </w: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en-US" w:eastAsia="en-US" w:bidi="ar-SA"/>
              </w:rPr>
              <w:t>Z</w:t>
            </w: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, альфа.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Поколению Х они не нужны.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000000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ru-RU" w:eastAsia="en-US" w:bidi="ar-SA"/>
              </w:rPr>
              <w:t>---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00A933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color w:val="00A933"/>
                <w:kern w:val="0"/>
                <w:sz w:val="24"/>
                <w:szCs w:val="24"/>
                <w:lang w:val="ru-RU" w:eastAsia="en-US" w:bidi="ar-SA"/>
              </w:rPr>
              <w:t>Современные технологии оказывают значительное влияние на здоровье и образ жизни населения. Однако недостаточно внимания уделяется разработке эффективных цифровых инструментов, способствующих формированию полезных привычек. Несмотря на широкое распространение мобильных устройств и популярность мессенджеров, отсутствуют универсальные и гибкие цифровые платформы, ориентированные на долгосрочное укрепление здоровья. Особенно остро эта потребность ощущается среди представителей молодых поколений — Y, Z и альфа, которые активно используют цифровые сервисы в повседневной жизни. В то же время, поколение X демонстрирует меньшую заинтересованность в подобных решениях, предпочитая традиционные способы саморазвития и заботы о здоровье.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00A933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color w:val="00A933"/>
                <w:kern w:val="0"/>
                <w:sz w:val="24"/>
                <w:szCs w:val="24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00A933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color w:val="00A933"/>
                <w:kern w:val="0"/>
                <w:sz w:val="24"/>
                <w:szCs w:val="24"/>
                <w:lang w:val="ru-RU" w:eastAsia="en-US" w:bidi="ar-SA"/>
              </w:rPr>
              <w:t>Поэтому создание цифровых платформ с элементами геймификации и психологической поддержки, интегрированных, например, в привычные мессенджеры, становится важным шагом в развитии персонализированных решений для здоровья нового поколения. Без таких инструментов цифровизация может лишь усилить негативные тенденции, такие как сидячий образ жизни и снижение мотивации к здоровым привычкам.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</w:t>
            </w:r>
          </w:p>
        </w:tc>
        <w:tc>
          <w:tcPr>
            <w:tcW w:w="27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Актуальность (почему проблема из п.1 остра и насущна на сегодня)</w:t>
            </w:r>
          </w:p>
        </w:tc>
        <w:tc>
          <w:tcPr>
            <w:tcW w:w="7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24"/>
                <w:szCs w:val="24"/>
                <w:lang w:val="ru-RU" w:eastAsia="en-US" w:bidi="ar-SA"/>
              </w:rPr>
              <w:t>Повышенная нагрузка на психику современного человека, рост числа заболеваний, вызванных нездоровыми привычками, делают актуальным разработку инновационных способов профилактики и коррекции поведения. Быстро развивающиеся цифровые технологии предоставляют уникальные возможности для популяризации и внедрения игровых техник и социальных взаимодействий в целях формирования и сохранения здоровых привычек.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</w:t>
            </w:r>
          </w:p>
        </w:tc>
        <w:tc>
          <w:tcPr>
            <w:tcW w:w="27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Формирование темы исследования</w:t>
            </w:r>
          </w:p>
        </w:tc>
        <w:tc>
          <w:tcPr>
            <w:tcW w:w="7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24"/>
                <w:szCs w:val="24"/>
                <w:lang w:val="ru-RU" w:eastAsia="en-US" w:bidi="ar-SA"/>
              </w:rPr>
              <w:t>Реализация методики формирования здоровых привычек средствами игровой психологии и наставнической поддержки в Телеграм боте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</w:t>
            </w:r>
          </w:p>
        </w:tc>
        <w:tc>
          <w:tcPr>
            <w:tcW w:w="27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Постановка/выдвижение рабочей гипотезы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Гипотеза — научное предположение о чем-либо,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требующее подтверждения, доказательства,</w:t>
            </w:r>
          </w:p>
        </w:tc>
        <w:tc>
          <w:tcPr>
            <w:tcW w:w="7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Игровая психология и наставническая поддержка в цифровом пространстве Telegram-бота способны повысить эффективность (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ru-RU" w:eastAsia="en-US" w:bidi="ar-SA"/>
              </w:rPr>
              <w:t>уточни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ru-RU" w:eastAsia="en-US" w:bidi="ar-SA"/>
              </w:rPr>
              <w:t xml:space="preserve">л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ru-RU" w:eastAsia="en-US" w:bidi="ar-SA"/>
              </w:rPr>
              <w:t>на сколько %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ru-RU" w:eastAsia="en-US" w:bidi="ar-SA"/>
              </w:rPr>
              <w:t xml:space="preserve"> ниже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ru-RU" w:eastAsia="en-US" w:bidi="ar-SA"/>
              </w:rPr>
              <w:t xml:space="preserve">)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формирования и удержания здоровых привычек у пользователей.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---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Внедрение такой методики объединяющей геймификацию и наставническую поддержку позволит: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Повысить приверженность выполнения поставленных задач на 30%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Увеличить объем упражнений и/или заданий на 50%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Снизить отток новых пользователей за счет низкого порога входа на 15%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В процессе исследования вы подтверждаете или опровергаете гипотезу на основе экспериментов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5.1</w:t>
            </w:r>
          </w:p>
        </w:tc>
        <w:tc>
          <w:tcPr>
            <w:tcW w:w="27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Постановка цели исследования</w:t>
            </w:r>
          </w:p>
        </w:tc>
        <w:tc>
          <w:tcPr>
            <w:tcW w:w="7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Разработать и апробировать эффективную методику формирования здоровых привычек с использованием Telegram-бота, основанную на принципах игровой психологии и наставнической поддержки.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5.2</w:t>
            </w:r>
          </w:p>
        </w:tc>
        <w:tc>
          <w:tcPr>
            <w:tcW w:w="27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Постановка задач исследования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(не более 5)</w:t>
            </w:r>
          </w:p>
        </w:tc>
        <w:tc>
          <w:tcPr>
            <w:tcW w:w="7209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Анализ существующих подходов и технологий формирования здоровых привычек.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Разработка модели взаимодействия Telegram-бота с пользователями.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Интеграция принципов игровой психологии и наставнической поддержки в алгоритм функционирования Telegram-бота.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Тестирование и оценка эффективности предлагаемой методики.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Подготовка рекомендаций по внедрению методики в массовое применение.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</w:t>
            </w:r>
          </w:p>
        </w:tc>
        <w:tc>
          <w:tcPr>
            <w:tcW w:w="27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Определение объекта и предмета исследования</w:t>
            </w:r>
          </w:p>
        </w:tc>
        <w:tc>
          <w:tcPr>
            <w:tcW w:w="7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Объект: Процесс формирования здоровых привычек у населения.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Предмет: Методика формирования здоровых привычек средствами игровой психологии и наставнической поддержки в Telegram-боте.</w:t>
            </w:r>
          </w:p>
        </w:tc>
      </w:tr>
      <w:tr>
        <w:trPr>
          <w:trHeight w:val="695" w:hRule="atLeast"/>
        </w:trPr>
        <w:tc>
          <w:tcPr>
            <w:tcW w:w="6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FF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7.1</w:t>
            </w:r>
          </w:p>
        </w:tc>
        <w:tc>
          <w:tcPr>
            <w:tcW w:w="27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color w:val="FF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Научная проблема</w:t>
            </w:r>
          </w:p>
        </w:tc>
        <w:tc>
          <w:tcPr>
            <w:tcW w:w="720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227" w:right="0"/>
              <w:jc w:val="left"/>
              <w:rPr>
                <w:rFonts w:ascii="Times New Roman" w:hAnsi="Times New Roman" w:eastAsia="Calibri" w:cs="Times New Roman"/>
                <w:color w:val="00A933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color w:val="00A933"/>
                <w:kern w:val="0"/>
                <w:sz w:val="24"/>
                <w:szCs w:val="24"/>
                <w:lang w:val="ru-RU" w:eastAsia="en-US" w:bidi="ar-SA"/>
              </w:rPr>
              <w:t>Недостаточная эффективность существующих цифровых решений для формирования здоровых привычек у молодежи вследствие игнорирования индивидуальных психологических особенностей, отсутствия персонализированной поддержки и недостаточной вовлеченности пользователей в долгосрочной перспективе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7.2</w:t>
            </w:r>
          </w:p>
        </w:tc>
        <w:tc>
          <w:tcPr>
            <w:tcW w:w="27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left="0"/>
              <w:jc w:val="left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Научная новизна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исследования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GoBack"/>
            <w:bookmarkEnd w:id="0"/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(</w:t>
            </w: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Это, то что решает научную проблему</w:t>
            </w: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)</w:t>
            </w:r>
          </w:p>
        </w:tc>
        <w:tc>
          <w:tcPr>
            <w:tcW w:w="7209" w:type="dxa"/>
            <w:tcBorders/>
          </w:tcPr>
          <w:p>
            <w:pPr>
              <w:pStyle w:val="Normal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Разработка комплексной методики для Telegram-ботов, сочетающей игровую психологию с наставничеством для формирования привычек.</w:t>
            </w:r>
          </w:p>
          <w:p>
            <w:pPr>
              <w:pStyle w:val="Normal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color w:val="00A933"/>
                <w:kern w:val="0"/>
                <w:sz w:val="24"/>
                <w:szCs w:val="24"/>
                <w:lang w:val="ru-RU" w:eastAsia="en-US" w:bidi="ar-SA"/>
              </w:rPr>
              <w:t>П</w:t>
            </w:r>
            <w:r>
              <w:rPr>
                <w:rFonts w:eastAsia="Calibri" w:cs="Times New Roman" w:ascii="Times New Roman" w:hAnsi="Times New Roman"/>
                <w:color w:val="00A933"/>
                <w:kern w:val="0"/>
                <w:sz w:val="24"/>
                <w:szCs w:val="24"/>
                <w:lang w:val="ru-RU" w:eastAsia="en-US" w:bidi="ar-SA"/>
              </w:rPr>
              <w:t>редложена структурированная классификация геймификационных элементов применительно к задачам формирования привычек, подкрепленная эмпирическими данными.</w:t>
            </w:r>
          </w:p>
        </w:tc>
      </w:tr>
      <w:tr>
        <w:trPr/>
        <w:tc>
          <w:tcPr>
            <w:tcW w:w="66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7.3</w:t>
            </w:r>
          </w:p>
        </w:tc>
        <w:tc>
          <w:tcPr>
            <w:tcW w:w="27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FF0000"/>
                <w:kern w:val="0"/>
                <w:sz w:val="24"/>
                <w:szCs w:val="24"/>
                <w:lang w:val="ru-RU" w:eastAsia="en-US" w:bidi="ar-SA"/>
              </w:rPr>
              <w:t>Практическая значимость</w:t>
            </w:r>
          </w:p>
        </w:tc>
        <w:tc>
          <w:tcPr>
            <w:tcW w:w="7209" w:type="dxa"/>
            <w:tcBorders>
              <w:top w:val="nil"/>
            </w:tcBorders>
          </w:tcPr>
          <w:p>
            <w:pPr>
              <w:pStyle w:val="Normal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Интеграция коучинга в мессенджер для персонализированной поддержки, учитывающая психологические барьеры и нормализующая неудачи, с фокусом на современное поколение.</w:t>
            </w:r>
          </w:p>
          <w:p>
            <w:pPr>
              <w:pStyle w:val="Normal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Этическая модель обработки данных здоровья с открытым поиском менторов, снижающая барьеры и повышающая шанс отказа от приложения на 15–25%.</w:t>
            </w:r>
          </w:p>
          <w:p>
            <w:pPr>
              <w:pStyle w:val="Normal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Систематизация 4 категорий геймификации (коммуникация, соревнование, цели, бонусы) в чат-ботах с эмпирическими тестами эффективности.</w:t>
            </w:r>
          </w:p>
          <w:p>
            <w:pPr>
              <w:pStyle w:val="Normal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Масштабируемая архитектура бота с замкнутым циклом данных для итеративного улучшения, ориентированная на профилактику здоровья.</w:t>
            </w:r>
          </w:p>
        </w:tc>
      </w:tr>
      <w:tr>
        <w:trPr/>
        <w:tc>
          <w:tcPr>
            <w:tcW w:w="6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8</w:t>
            </w:r>
          </w:p>
        </w:tc>
        <w:tc>
          <w:tcPr>
            <w:tcW w:w="27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Эффекты от разработки методики работы с пользователями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(количественно измеримые)</w:t>
            </w:r>
          </w:p>
        </w:tc>
        <w:tc>
          <w:tcPr>
            <w:tcW w:w="7209" w:type="dxa"/>
            <w:tcBorders/>
          </w:tcPr>
          <w:tbl>
            <w:tblPr>
              <w:tblStyle w:val="ab"/>
              <w:tblW w:w="6977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firstRow="1" w:noVBand="1" w:lastRow="0" w:firstColumn="1" w:lastColumn="0" w:noHBand="0" w:val="04a0"/>
            </w:tblPr>
            <w:tblGrid>
              <w:gridCol w:w="2325"/>
              <w:gridCol w:w="2326"/>
              <w:gridCol w:w="2326"/>
            </w:tblGrid>
            <w:tr>
              <w:trPr/>
              <w:tc>
                <w:tcPr>
                  <w:tcW w:w="2325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Рост регулярных тренировок</w:t>
                  </w:r>
                </w:p>
              </w:tc>
              <w:tc>
                <w:tcPr>
                  <w:tcW w:w="2326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У пользователей фитнес-приложений с геймификацией</w:t>
                  </w:r>
                </w:p>
              </w:tc>
              <w:tc>
                <w:tcPr>
                  <w:tcW w:w="2326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+30% чаще придерживаются графика</w:t>
                  </w:r>
                </w:p>
              </w:tc>
            </w:tr>
            <w:tr>
              <w:trPr/>
              <w:tc>
                <w:tcPr>
                  <w:tcW w:w="2325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Увеличение объема упражнений</w:t>
                  </w:r>
                </w:p>
              </w:tc>
              <w:tc>
                <w:tcPr>
                  <w:tcW w:w="2326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По сравнению с неигровыми методами</w:t>
                  </w:r>
                </w:p>
              </w:tc>
              <w:tc>
                <w:tcPr>
                  <w:tcW w:w="2326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+50% активности</w:t>
                  </w:r>
                </w:p>
              </w:tc>
            </w:tr>
            <w:tr>
              <w:trPr/>
              <w:tc>
                <w:tcPr>
                  <w:tcW w:w="2325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Увеличение показателя вовлеченности</w:t>
                  </w:r>
                </w:p>
              </w:tc>
              <w:tc>
                <w:tcPr>
                  <w:tcW w:w="2326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В геймифицированных ботах</w:t>
                  </w:r>
                </w:p>
              </w:tc>
              <w:tc>
                <w:tcPr>
                  <w:tcW w:w="2326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+20–30% ежедневных пользователей</w:t>
                  </w:r>
                </w:p>
              </w:tc>
            </w:tr>
            <w:tr>
              <w:trPr/>
              <w:tc>
                <w:tcPr>
                  <w:tcW w:w="2325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Снижение оттока пользователей на старте</w:t>
                  </w:r>
                </w:p>
              </w:tc>
              <w:tc>
                <w:tcPr>
                  <w:tcW w:w="2326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Благодаря низкому порогу входа и нормализации неудач</w:t>
                  </w:r>
                </w:p>
              </w:tc>
              <w:tc>
                <w:tcPr>
                  <w:tcW w:w="2326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-15% бросивших пользователей</w:t>
                  </w:r>
                </w:p>
              </w:tc>
            </w:tr>
            <w:tr>
              <w:trPr/>
              <w:tc>
                <w:tcPr>
                  <w:tcW w:w="2325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Приверженность терапии</w:t>
                  </w:r>
                </w:p>
              </w:tc>
              <w:tc>
                <w:tcPr>
                  <w:tcW w:w="2326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У пациентов с хроническими заболеваниями</w:t>
                  </w:r>
                </w:p>
              </w:tc>
              <w:tc>
                <w:tcPr>
                  <w:tcW w:w="2326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22"/>
                      <w:szCs w:val="22"/>
                      <w:lang w:val="ru-RU" w:eastAsia="en-US" w:bidi="ar-SA"/>
                    </w:rPr>
                    <w:t>+20% активности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iCs/>
                <w:sz w:val="24"/>
                <w:szCs w:val="24"/>
              </w:rPr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442a4d"/>
    <w:pPr>
      <w:spacing w:before="0" w:after="160"/>
      <w:ind w:left="720"/>
      <w:contextualSpacing/>
    </w:pPr>
    <w:rPr/>
  </w:style>
  <w:style w:type="paragraph" w:styleId="user" w:customStyle="1">
    <w:name w:val="Содержимое врезки (user)"/>
    <w:basedOn w:val="Normal"/>
    <w:qFormat/>
    <w:pPr/>
    <w:rPr/>
  </w:style>
  <w:style w:type="paragraph" w:styleId="Style17">
    <w:name w:val="Содержимое врезки"/>
    <w:basedOn w:val="Normal"/>
    <w:qFormat/>
    <w:pPr/>
    <w:rPr/>
  </w:style>
  <w:style w:type="numbering" w:styleId="Style18" w:default="1">
    <w:name w:val="Без списка"/>
    <w:uiPriority w:val="99"/>
    <w:semiHidden/>
    <w:unhideWhenUsed/>
    <w:qFormat/>
  </w:style>
  <w:style w:type="numbering" w:styleId="user1" w:customStyle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1"/>
    <w:uiPriority w:val="39"/>
    <w:rsid w:val="00bf295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Application>LibreOffice/25.2.7.2$Windows_X86_64 LibreOffice_project/5cbfd1ab6520636bb5f7b99185aa69bd7456825d</Application>
  <AppVersion>15.0000</AppVersion>
  <Pages>3</Pages>
  <Words>747</Words>
  <Characters>5667</Characters>
  <CharactersWithSpaces>6319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2025-12-14T13:56:00Z</dcterms:created>
  <dc:creator>Демидов Андрей Викторович</dc:creator>
  <dc:description/>
  <dc:language>ru-RU</dc:language>
  <cp:lastModifiedBy/>
  <dcterms:modified xsi:type="dcterms:W3CDTF">2026-03-12T17:26:59Z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