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ind w:start="142" w:end="41"/>
        <w:jc w:val="center"/>
        <w:rPr>
          <w:sz w:val="28"/>
          <w:szCs w:val="28"/>
        </w:rPr>
      </w:pPr>
      <w:r>
        <w:rPr>
          <w:rFonts w:eastAsia="Times New Roman" w:cs="Times New Roman" w:ascii="Times New Roman" w:hAnsi="Times New Roman"/>
          <w:b/>
          <w:color w:val="000000"/>
          <w:sz w:val="28"/>
          <w:szCs w:val="28"/>
          <w:lang w:eastAsia="ru-RU"/>
        </w:rPr>
        <w:t>МИНИСТЕРСТВО ТРАНСПОРТА РОССИЙСКОЙ ФЕДЕРАЦИИ</w:t>
      </w:r>
    </w:p>
    <w:p>
      <w:pPr>
        <w:pStyle w:val="Normal"/>
        <w:spacing w:lineRule="auto" w:line="240" w:before="120" w:after="120"/>
        <w:ind w:start="142" w:end="41"/>
        <w:jc w:val="center"/>
        <w:rPr>
          <w:sz w:val="28"/>
          <w:szCs w:val="28"/>
        </w:rPr>
      </w:pPr>
      <w:r>
        <w:rPr>
          <w:rFonts w:eastAsia="Calibri" w:cs="Times New Roman" w:ascii="Times New Roman" w:hAnsi="Times New Roman"/>
          <w:b/>
          <w:sz w:val="28"/>
          <w:szCs w:val="28"/>
        </w:rPr>
        <w:t xml:space="preserve">ФЕДЕРАЛЬНОЕ ГОСУДАРСТВЕННОЕ АВТОНОМНОЕ </w:t>
      </w:r>
    </w:p>
    <w:p>
      <w:pPr>
        <w:pStyle w:val="Normal"/>
        <w:spacing w:lineRule="auto" w:line="240" w:before="120" w:after="120"/>
        <w:ind w:start="142" w:end="41"/>
        <w:jc w:val="center"/>
        <w:rPr>
          <w:sz w:val="28"/>
          <w:szCs w:val="28"/>
        </w:rPr>
      </w:pPr>
      <w:r>
        <w:rPr>
          <w:rFonts w:eastAsia="Calibri" w:cs="Times New Roman" w:ascii="Times New Roman" w:hAnsi="Times New Roman"/>
          <w:b/>
          <w:sz w:val="28"/>
          <w:szCs w:val="28"/>
        </w:rPr>
        <w:t>ОБРАЗОВАТЕЛЬНОЕ УЧРЕЖДЕНИЕ ВЫСШЕГО ОБРАЗОВАНИЯ</w:t>
      </w:r>
    </w:p>
    <w:p>
      <w:pPr>
        <w:pStyle w:val="Normal"/>
        <w:spacing w:lineRule="auto" w:line="240" w:before="120" w:after="120"/>
        <w:ind w:start="142" w:end="41"/>
        <w:jc w:val="center"/>
        <w:rPr>
          <w:sz w:val="28"/>
          <w:szCs w:val="28"/>
        </w:rPr>
      </w:pPr>
      <w:r>
        <w:rPr>
          <w:rFonts w:eastAsia="Calibri" w:cs="Times New Roman" w:ascii="Times New Roman" w:hAnsi="Times New Roman"/>
          <w:b/>
          <w:sz w:val="28"/>
          <w:szCs w:val="28"/>
        </w:rPr>
        <w:t xml:space="preserve"> </w:t>
      </w:r>
      <w:r>
        <w:rPr>
          <w:rFonts w:eastAsia="Calibri" w:cs="Times New Roman" w:ascii="Times New Roman" w:hAnsi="Times New Roman"/>
          <w:b/>
          <w:sz w:val="28"/>
          <w:szCs w:val="28"/>
        </w:rPr>
        <w:t xml:space="preserve">«РОССИЙСКИЙ УНИВЕРСИТЕТ ТРАНСПОРТА» </w:t>
      </w:r>
    </w:p>
    <w:p>
      <w:pPr>
        <w:pStyle w:val="Normal"/>
        <w:spacing w:lineRule="auto" w:line="240" w:before="120" w:after="120"/>
        <w:ind w:start="142" w:end="41"/>
        <w:jc w:val="center"/>
        <w:rPr>
          <w:sz w:val="28"/>
          <w:szCs w:val="28"/>
        </w:rPr>
      </w:pPr>
      <w:r>
        <w:rPr>
          <w:rFonts w:eastAsia="Calibri" w:cs="Times New Roman" w:ascii="Times New Roman" w:hAnsi="Times New Roman"/>
          <w:b/>
          <w:sz w:val="28"/>
          <w:szCs w:val="28"/>
        </w:rPr>
        <w:t>РУТ (МИИТ)</w:t>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t>Кафедра «</w:t>
      </w:r>
      <w:r>
        <w:rPr>
          <w:rFonts w:eastAsia="Calibri" w:cs="Times New Roman" w:ascii="Times New Roman" w:hAnsi="Times New Roman"/>
          <w:sz w:val="28"/>
          <w:szCs w:val="28"/>
          <w:u w:val="single"/>
        </w:rPr>
        <w:t>Информационные системы цифровой экономики</w:t>
      </w:r>
      <w:r>
        <w:rPr>
          <w:rFonts w:eastAsia="Calibri" w:cs="Times New Roman" w:ascii="Times New Roman" w:hAnsi="Times New Roman"/>
          <w:sz w:val="28"/>
          <w:szCs w:val="28"/>
        </w:rPr>
        <w:t>»</w:t>
      </w:r>
    </w:p>
    <w:p>
      <w:pPr>
        <w:pStyle w:val="Normal"/>
        <w:spacing w:lineRule="auto" w:line="240" w:before="120" w:after="120"/>
        <w:jc w:val="center"/>
        <w:rPr>
          <w:rFonts w:ascii="Times New Roman" w:hAnsi="Times New Roman" w:eastAsia="Calibri" w:cs="Times New Roman"/>
          <w:b/>
          <w:sz w:val="40"/>
          <w:szCs w:val="40"/>
        </w:rPr>
      </w:pPr>
      <w:r>
        <w:rPr>
          <w:rFonts w:eastAsia="Calibri" w:cs="Times New Roman" w:ascii="Times New Roman" w:hAnsi="Times New Roman"/>
          <w:b/>
          <w:sz w:val="40"/>
          <w:szCs w:val="40"/>
        </w:rPr>
      </w:r>
    </w:p>
    <w:p>
      <w:pPr>
        <w:pStyle w:val="Normal"/>
        <w:spacing w:lineRule="auto" w:line="240" w:before="120" w:after="120"/>
        <w:jc w:val="center"/>
        <w:rPr>
          <w:rFonts w:ascii="Times New Roman" w:hAnsi="Times New Roman" w:eastAsia="Calibri" w:cs="Times New Roman"/>
          <w:b/>
          <w:sz w:val="40"/>
          <w:szCs w:val="40"/>
        </w:rPr>
      </w:pPr>
      <w:r>
        <w:rPr>
          <w:rFonts w:eastAsia="Calibri" w:cs="Times New Roman" w:ascii="Times New Roman" w:hAnsi="Times New Roman"/>
          <w:b/>
          <w:sz w:val="40"/>
          <w:szCs w:val="40"/>
        </w:rPr>
      </w:r>
    </w:p>
    <w:p>
      <w:pPr>
        <w:pStyle w:val="Normal"/>
        <w:spacing w:lineRule="auto" w:line="240" w:before="120" w:after="120"/>
        <w:jc w:val="center"/>
        <w:rPr>
          <w:rFonts w:ascii="Times New Roman" w:hAnsi="Times New Roman" w:eastAsia="Calibri" w:cs="Times New Roman"/>
          <w:b/>
          <w:sz w:val="40"/>
          <w:szCs w:val="40"/>
        </w:rPr>
      </w:pPr>
      <w:r>
        <w:rPr>
          <w:rFonts w:eastAsia="Calibri" w:cs="Times New Roman" w:ascii="Times New Roman" w:hAnsi="Times New Roman"/>
          <w:b/>
          <w:sz w:val="40"/>
          <w:szCs w:val="40"/>
        </w:rPr>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t>Отчет по производственной практике</w:t>
      </w:r>
    </w:p>
    <w:p>
      <w:pPr>
        <w:pStyle w:val="Normal"/>
        <w:spacing w:lineRule="auto" w:line="240" w:before="120" w:after="120"/>
        <w:jc w:val="center"/>
        <w:rPr>
          <w:rFonts w:ascii="Times New Roman" w:hAnsi="Times New Roman" w:eastAsia="Calibri" w:cs="Times New Roman"/>
          <w:color w:val="000000"/>
          <w:sz w:val="28"/>
          <w:szCs w:val="28"/>
        </w:rPr>
      </w:pPr>
      <w:r>
        <w:rPr>
          <w:rFonts w:eastAsia="Calibri" w:cs="Times New Roman" w:ascii="Times New Roman" w:hAnsi="Times New Roman"/>
          <w:b/>
          <w:color w:val="000000"/>
          <w:sz w:val="28"/>
          <w:szCs w:val="28"/>
        </w:rPr>
        <w:t>(Технологическая практика</w:t>
      </w:r>
      <w:r>
        <w:rPr>
          <w:rFonts w:eastAsia="Calibri" w:cs="Times New Roman" w:ascii="Times New Roman" w:hAnsi="Times New Roman"/>
          <w:color w:val="000000"/>
          <w:sz w:val="28"/>
          <w:szCs w:val="28"/>
        </w:rPr>
        <w:t>)</w:t>
      </w:r>
    </w:p>
    <w:p>
      <w:pPr>
        <w:pStyle w:val="Normal"/>
        <w:spacing w:lineRule="auto" w:line="240" w:before="12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r>
    </w:p>
    <w:p>
      <w:pPr>
        <w:pStyle w:val="Normal"/>
        <w:spacing w:lineRule="auto" w:line="240" w:before="0" w:after="0"/>
        <w:jc w:val="center"/>
        <w:rPr>
          <w:rFonts w:ascii="Times New Roman" w:hAnsi="Times New Roman" w:eastAsia="Calibri" w:cs="Times New Roman"/>
          <w:sz w:val="28"/>
          <w:szCs w:val="28"/>
          <w:u w:val="single"/>
        </w:rPr>
      </w:pPr>
      <w:r>
        <w:rPr>
          <w:rFonts w:eastAsia="Calibri" w:cs="Times New Roman" w:ascii="Times New Roman" w:hAnsi="Times New Roman"/>
          <w:sz w:val="28"/>
          <w:szCs w:val="28"/>
        </w:rPr>
        <w:t>Направление (специальность) «</w:t>
      </w:r>
      <w:r>
        <w:rPr>
          <w:rFonts w:eastAsia="Calibri" w:cs="Times New Roman" w:ascii="Times New Roman" w:hAnsi="Times New Roman"/>
          <w:sz w:val="28"/>
          <w:szCs w:val="28"/>
          <w:u w:val="single"/>
        </w:rPr>
        <w:t>Прикладная информатика</w:t>
      </w:r>
      <w:r>
        <w:rPr>
          <w:rFonts w:eastAsia="Calibri" w:cs="Times New Roman" w:ascii="Times New Roman" w:hAnsi="Times New Roman"/>
          <w:sz w:val="28"/>
          <w:szCs w:val="28"/>
        </w:rPr>
        <w:t>»</w:t>
      </w:r>
    </w:p>
    <w:p>
      <w:pPr>
        <w:pStyle w:val="Normal"/>
        <w:spacing w:lineRule="auto" w:line="24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Профиль (направление/направленность) «</w:t>
      </w:r>
      <w:r>
        <w:rPr>
          <w:rFonts w:eastAsia="Calibri" w:cs="Times New Roman" w:ascii="Times New Roman" w:hAnsi="Times New Roman"/>
          <w:sz w:val="28"/>
          <w:szCs w:val="28"/>
          <w:u w:val="single"/>
        </w:rPr>
        <w:t>Информационные технологии управления социально-экономическими системами</w:t>
      </w:r>
      <w:r>
        <w:rPr>
          <w:rFonts w:eastAsia="Calibri" w:cs="Times New Roman" w:ascii="Times New Roman" w:hAnsi="Times New Roman"/>
          <w:sz w:val="28"/>
          <w:szCs w:val="28"/>
        </w:rPr>
        <w:t>»</w:t>
      </w:r>
    </w:p>
    <w:p>
      <w:pPr>
        <w:pStyle w:val="Normal"/>
        <w:spacing w:lineRule="auto" w:line="240" w:before="120" w:after="120"/>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240" w:before="120" w:after="120"/>
        <w:jc w:val="center"/>
        <w:rPr>
          <w:rFonts w:ascii="Times New Roman" w:hAnsi="Times New Roman" w:eastAsia="Calibri" w:cs="Times New Roman"/>
          <w:sz w:val="24"/>
          <w:szCs w:val="24"/>
        </w:rPr>
      </w:pPr>
      <w:r>
        <w:rPr/>
        <w:drawing>
          <wp:inline distT="0" distB="0" distL="0" distR="0">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10795" cy="10795"/>
                    </a:xfrm>
                    <a:prstGeom prst="rect">
                      <a:avLst/>
                    </a:prstGeom>
                    <a:noFill/>
                  </pic:spPr>
                </pic:pic>
              </a:graphicData>
            </a:graphic>
          </wp:inline>
        </w:drawing>
      </w:r>
    </w:p>
    <w:p>
      <w:pPr>
        <w:pStyle w:val="Normal"/>
        <w:spacing w:lineRule="auto" w:line="240" w:before="120" w:after="120"/>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240" w:before="120" w:after="120"/>
        <w:jc w:val="center"/>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bl>
      <w:tblPr>
        <w:tblStyle w:val="2"/>
        <w:tblW w:w="935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969"/>
        <w:gridCol w:w="5386"/>
      </w:tblGrid>
      <w:tr>
        <w:trPr/>
        <w:tc>
          <w:tcPr>
            <w:tcW w:w="3969" w:type="dxa"/>
            <w:tcBorders>
              <w:top w:val="nil"/>
              <w:start w:val="nil"/>
              <w:bottom w:val="nil"/>
              <w:end w:val="nil"/>
            </w:tcBorders>
          </w:tcPr>
          <w:p>
            <w:pPr>
              <w:pStyle w:val="Normal"/>
              <w:widowControl/>
              <w:suppressAutoHyphens w:val="true"/>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kern w:val="0"/>
                <w:sz w:val="28"/>
                <w:szCs w:val="28"/>
                <w:lang w:val="ru-RU" w:eastAsia="en-US" w:bidi="ar-SA"/>
              </w:rPr>
            </w:r>
          </w:p>
        </w:tc>
        <w:tc>
          <w:tcPr>
            <w:tcW w:w="5386" w:type="dxa"/>
            <w:tcBorders>
              <w:top w:val="nil"/>
              <w:start w:val="nil"/>
              <w:bottom w:val="nil"/>
              <w:end w:val="nil"/>
            </w:tcBorders>
          </w:tcPr>
          <w:p>
            <w:pPr>
              <w:pStyle w:val="Normal"/>
              <w:widowControl/>
              <w:suppressAutoHyphens w:val="true"/>
              <w:spacing w:lineRule="auto" w:line="240" w:before="0" w:after="0"/>
              <w:jc w:val="end"/>
              <w:rPr>
                <w:rFonts w:ascii="Calibri" w:hAnsi="Calibri" w:eastAsia="Calibri"/>
              </w:rPr>
            </w:pPr>
            <w:r>
              <w:rPr>
                <w:rFonts w:eastAsia="Times New Roman" w:cs="Times New Roman" w:ascii="Times New Roman" w:hAnsi="Times New Roman"/>
                <w:iCs/>
                <w:kern w:val="0"/>
                <w:sz w:val="28"/>
                <w:szCs w:val="28"/>
                <w:lang w:val="ru-RU" w:eastAsia="en-US" w:bidi="ar-SA"/>
              </w:rPr>
              <w:t>Выполнил студент группы ЭМС-271</w:t>
            </w:r>
          </w:p>
          <w:p>
            <w:pPr>
              <w:pStyle w:val="Normal"/>
              <w:widowControl/>
              <w:suppressAutoHyphens w:val="true"/>
              <w:spacing w:lineRule="auto" w:line="240" w:before="0" w:after="0"/>
              <w:jc w:val="end"/>
              <w:rPr>
                <w:rFonts w:ascii="Times New Roman" w:hAnsi="Times New Roman" w:eastAsia="Times New Roman" w:cs="Times New Roman"/>
                <w:iCs/>
                <w:sz w:val="28"/>
                <w:szCs w:val="28"/>
              </w:rPr>
            </w:pPr>
            <w:r>
              <w:rPr>
                <w:rFonts w:eastAsia="Times New Roman" w:cs="Times New Roman" w:ascii="Times New Roman" w:hAnsi="Times New Roman"/>
                <w:iCs/>
                <w:kern w:val="0"/>
                <w:sz w:val="28"/>
                <w:szCs w:val="28"/>
                <w:lang w:val="ru-RU" w:eastAsia="en-US" w:bidi="ar-SA"/>
              </w:rPr>
              <w:t>П.А. Гамов</w:t>
            </w:r>
          </w:p>
          <w:p>
            <w:pPr>
              <w:pStyle w:val="Normal"/>
              <w:widowControl/>
              <w:suppressAutoHyphens w:val="true"/>
              <w:spacing w:lineRule="auto" w:line="240" w:before="0" w:after="0"/>
              <w:jc w:val="end"/>
              <w:rPr>
                <w:rFonts w:ascii="Times New Roman" w:hAnsi="Times New Roman" w:eastAsia="Times New Roman" w:cs="Times New Roman"/>
                <w:iCs/>
                <w:sz w:val="28"/>
                <w:szCs w:val="28"/>
              </w:rPr>
            </w:pPr>
            <w:r>
              <w:rPr>
                <w:rFonts w:eastAsia="Times New Roman" w:cs="Times New Roman" w:ascii="Times New Roman" w:hAnsi="Times New Roman"/>
                <w:iCs/>
                <w:kern w:val="0"/>
                <w:sz w:val="28"/>
                <w:szCs w:val="28"/>
                <w:lang w:val="ru-RU" w:eastAsia="en-US" w:bidi="ar-SA"/>
              </w:rPr>
            </w:r>
          </w:p>
        </w:tc>
      </w:tr>
      <w:tr>
        <w:trPr/>
        <w:tc>
          <w:tcPr>
            <w:tcW w:w="3969" w:type="dxa"/>
            <w:tcBorders>
              <w:top w:val="nil"/>
              <w:start w:val="nil"/>
              <w:bottom w:val="nil"/>
              <w:end w:val="nil"/>
            </w:tcBorders>
          </w:tcPr>
          <w:p>
            <w:pPr>
              <w:pStyle w:val="Normal"/>
              <w:widowControl/>
              <w:suppressAutoHyphens w:val="true"/>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kern w:val="0"/>
                <w:sz w:val="28"/>
                <w:szCs w:val="28"/>
                <w:lang w:val="ru-RU" w:eastAsia="en-US" w:bidi="ar-SA"/>
              </w:rPr>
            </w:r>
          </w:p>
        </w:tc>
        <w:tc>
          <w:tcPr>
            <w:tcW w:w="5386" w:type="dxa"/>
            <w:tcBorders>
              <w:top w:val="nil"/>
              <w:start w:val="nil"/>
              <w:bottom w:val="nil"/>
              <w:end w:val="nil"/>
            </w:tcBorders>
          </w:tcPr>
          <w:p>
            <w:pPr>
              <w:pStyle w:val="Normal"/>
              <w:widowControl/>
              <w:suppressAutoHyphens w:val="true"/>
              <w:spacing w:lineRule="auto" w:line="240" w:before="0" w:after="0"/>
              <w:jc w:val="end"/>
              <w:rPr>
                <w:rFonts w:ascii="Calibri" w:hAnsi="Calibri" w:eastAsia="Calibri"/>
              </w:rPr>
            </w:pPr>
            <w:r>
              <w:rPr>
                <w:rFonts w:eastAsia="Times New Roman" w:cs="Times New Roman" w:ascii="Times New Roman" w:hAnsi="Times New Roman"/>
                <w:iCs/>
                <w:kern w:val="0"/>
                <w:sz w:val="28"/>
                <w:szCs w:val="28"/>
                <w:lang w:val="ru-RU" w:eastAsia="en-US" w:bidi="ar-SA"/>
              </w:rPr>
              <w:t xml:space="preserve">Руководитель: доцент С.Л. Лебедева </w:t>
            </w:r>
          </w:p>
          <w:p>
            <w:pPr>
              <w:pStyle w:val="Normal"/>
              <w:widowControl/>
              <w:suppressAutoHyphens w:val="true"/>
              <w:spacing w:lineRule="auto" w:line="240" w:before="0" w:after="0"/>
              <w:jc w:val="end"/>
              <w:rPr>
                <w:rFonts w:ascii="Times New Roman" w:hAnsi="Times New Roman" w:eastAsia="Times New Roman" w:cs="Times New Roman"/>
                <w:iCs/>
                <w:sz w:val="28"/>
                <w:szCs w:val="28"/>
              </w:rPr>
            </w:pPr>
            <w:r>
              <w:rPr>
                <w:rFonts w:eastAsia="Times New Roman" w:cs="Times New Roman" w:ascii="Times New Roman" w:hAnsi="Times New Roman"/>
                <w:iCs/>
                <w:kern w:val="0"/>
                <w:sz w:val="28"/>
                <w:szCs w:val="28"/>
                <w:lang w:val="ru-RU" w:eastAsia="en-US" w:bidi="ar-SA"/>
              </w:rPr>
            </w:r>
          </w:p>
        </w:tc>
      </w:tr>
    </w:tbl>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lang w:val="en-US"/>
        </w:rPr>
      </w:pPr>
      <w:r>
        <w:rPr>
          <w:rFonts w:eastAsia="Calibri" w:cs="Times New Roman" w:ascii="Times New Roman" w:hAnsi="Times New Roman"/>
          <w:sz w:val="28"/>
          <w:szCs w:val="28"/>
        </w:rPr>
        <w:t xml:space="preserve">Москва  </w:t>
      </w:r>
      <w:r>
        <w:rPr>
          <w:rFonts w:eastAsia="Calibri" w:cs="Calibri" w:ascii="Calibri" w:hAnsi="Calibri"/>
          <w:sz w:val="28"/>
          <w:szCs w:val="28"/>
        </w:rPr>
        <w:t xml:space="preserve">̶  </w:t>
      </w:r>
      <w:r>
        <w:rPr>
          <w:rFonts w:eastAsia="Calibri" w:cs="Times New Roman" w:ascii="Times New Roman" w:hAnsi="Times New Roman"/>
          <w:sz w:val="28"/>
          <w:szCs w:val="28"/>
        </w:rPr>
        <w:t>202</w:t>
      </w:r>
      <w:r>
        <w:rPr>
          <w:rFonts w:eastAsia="Calibri" w:cs="Times New Roman" w:ascii="Times New Roman" w:hAnsi="Times New Roman"/>
          <w:sz w:val="28"/>
          <w:szCs w:val="28"/>
          <w:lang w:val="en-US"/>
        </w:rPr>
        <w:t>6</w:t>
      </w:r>
    </w:p>
    <w:sdt>
      <w:sdtPr>
        <w:docPartObj>
          <w:docPartGallery w:val="Table of Contents"/>
          <w:docPartUnique w:val="true"/>
        </w:docPartObj>
      </w:sdtPr>
      <w:sdtContent>
        <w:p>
          <w:pPr>
            <w:pStyle w:val="TOCHeading"/>
            <w:jc w:val="center"/>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СОДЕРЖАНИЕ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r>
            <w:fldChar w:fldCharType="begin"/>
          </w:r>
          <w:r>
            <w:rPr>
              <w:rStyle w:val="Style15"/>
              <w:rFonts w:cs="Times New Roman" w:ascii="Times New Roman" w:hAnsi="Times New Roman"/>
              <w:webHidden/>
              <w:sz w:val="28"/>
              <w:szCs w:val="28"/>
            </w:rPr>
            <w:instrText xml:space="preserve"> TOC \z \o "1-3" \u \h</w:instrText>
          </w:r>
          <w:r>
            <w:rPr>
              <w:rStyle w:val="Style15"/>
              <w:rFonts w:cs="Times New Roman" w:ascii="Times New Roman" w:hAnsi="Times New Roman"/>
              <w:webHidden/>
              <w:sz w:val="28"/>
              <w:szCs w:val="28"/>
            </w:rPr>
            <w:fldChar w:fldCharType="separate"/>
          </w:r>
          <w:hyperlink w:anchor="_Toc225453952">
            <w:r>
              <w:rPr>
                <w:rStyle w:val="Style15"/>
                <w:rFonts w:cs="Times New Roman" w:ascii="Times New Roman" w:hAnsi="Times New Roman"/>
                <w:webHidden/>
                <w:sz w:val="28"/>
                <w:szCs w:val="28"/>
              </w:rPr>
              <w:t>ВВЕДЕНИЕ</w:t>
            </w:r>
            <w:r>
              <w:rPr>
                <w:webHidden/>
              </w:rPr>
              <w:fldChar w:fldCharType="begin"/>
            </w:r>
            <w:r>
              <w:rPr>
                <w:webHidden/>
              </w:rPr>
              <w:instrText xml:space="preserve">PAGEREF _Toc225453952 \h</w:instrText>
            </w:r>
            <w:r>
              <w:rPr>
                <w:webHidden/>
              </w:rPr>
              <w:fldChar w:fldCharType="separate"/>
            </w:r>
            <w:r>
              <w:rPr>
                <w:rStyle w:val="Style15"/>
                <w:rFonts w:cs="Times New Roman" w:ascii="Times New Roman" w:hAnsi="Times New Roman"/>
                <w:vanish w:val="false"/>
                <w:sz w:val="28"/>
                <w:szCs w:val="28"/>
              </w:rPr>
              <w:tab/>
              <w:t>3</w:t>
            </w:r>
            <w:r>
              <w:rPr>
                <w:webHidden/>
              </w:rPr>
              <w:fldChar w:fldCharType="end"/>
            </w:r>
          </w:hyperlink>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hyperlink w:anchor="_Toc225453953">
            <w:r>
              <w:rPr>
                <w:rStyle w:val="Style15"/>
                <w:rFonts w:cs="Times New Roman" w:ascii="Times New Roman" w:hAnsi="Times New Roman"/>
                <w:webHidden/>
                <w:sz w:val="28"/>
                <w:szCs w:val="28"/>
              </w:rPr>
              <w:t>1. Организационно - экономическая характеристика предприятия ФГУП «Морсвязьспутник»</w:t>
            </w:r>
            <w:r>
              <w:rPr>
                <w:webHidden/>
              </w:rPr>
              <w:fldChar w:fldCharType="begin"/>
            </w:r>
            <w:r>
              <w:rPr>
                <w:webHidden/>
              </w:rPr>
              <w:instrText xml:space="preserve">PAGEREF _Toc225453953 \h</w:instrText>
            </w:r>
            <w:r>
              <w:rPr>
                <w:webHidden/>
              </w:rPr>
              <w:fldChar w:fldCharType="separate"/>
            </w:r>
            <w:r>
              <w:rPr>
                <w:rStyle w:val="Style15"/>
                <w:rFonts w:cs="Times New Roman" w:ascii="Times New Roman" w:hAnsi="Times New Roman"/>
                <w:vanish w:val="false"/>
                <w:sz w:val="28"/>
                <w:szCs w:val="28"/>
              </w:rPr>
              <w:tab/>
              <w:t>5</w:t>
            </w:r>
            <w:r>
              <w:rPr>
                <w:webHidden/>
              </w:rPr>
              <w:fldChar w:fldCharType="end"/>
            </w:r>
          </w:hyperlink>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hyperlink w:anchor="_Toc225453954">
            <w:r>
              <w:rPr>
                <w:rStyle w:val="Style15"/>
                <w:rFonts w:eastAsia="Times New Roman" w:cs="Times New Roman" w:ascii="Times New Roman" w:hAnsi="Times New Roman"/>
                <w:webHidden/>
                <w:sz w:val="28"/>
                <w:szCs w:val="28"/>
              </w:rPr>
              <w:t>2. Анализ существующих решений и использование чат-ботов на предприятии</w:t>
            </w:r>
            <w:r>
              <w:rPr>
                <w:webHidden/>
              </w:rPr>
              <w:fldChar w:fldCharType="begin"/>
            </w:r>
            <w:r>
              <w:rPr>
                <w:webHidden/>
              </w:rPr>
              <w:instrText xml:space="preserve">PAGEREF _Toc225453954 \h</w:instrText>
            </w:r>
            <w:r>
              <w:rPr>
                <w:webHidden/>
              </w:rPr>
              <w:fldChar w:fldCharType="separate"/>
            </w:r>
            <w:r>
              <w:rPr>
                <w:rStyle w:val="Style15"/>
                <w:rFonts w:cs="Times New Roman" w:ascii="Times New Roman" w:hAnsi="Times New Roman"/>
                <w:vanish w:val="false"/>
                <w:sz w:val="28"/>
                <w:szCs w:val="28"/>
              </w:rPr>
              <w:tab/>
              <w:t>9</w:t>
            </w:r>
            <w:r>
              <w:rPr>
                <w:webHidden/>
              </w:rPr>
              <w:fldChar w:fldCharType="end"/>
            </w:r>
          </w:hyperlink>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hyperlink w:anchor="_Toc225453955">
            <w:r>
              <w:rPr>
                <w:rStyle w:val="Style15"/>
                <w:rFonts w:cs="Times New Roman" w:ascii="Times New Roman" w:hAnsi="Times New Roman"/>
                <w:webHidden/>
                <w:sz w:val="28"/>
                <w:szCs w:val="28"/>
              </w:rPr>
              <w:t>3. Разработка методики и предложения по внедрению</w:t>
            </w:r>
            <w:r>
              <w:rPr>
                <w:webHidden/>
              </w:rPr>
              <w:fldChar w:fldCharType="begin"/>
            </w:r>
            <w:r>
              <w:rPr>
                <w:webHidden/>
              </w:rPr>
              <w:instrText xml:space="preserve">PAGEREF _Toc225453955 \h</w:instrText>
            </w:r>
            <w:r>
              <w:rPr>
                <w:webHidden/>
              </w:rPr>
              <w:fldChar w:fldCharType="separate"/>
            </w:r>
            <w:r>
              <w:rPr>
                <w:rStyle w:val="Style15"/>
                <w:rFonts w:cs="Times New Roman" w:ascii="Times New Roman" w:hAnsi="Times New Roman"/>
                <w:vanish w:val="false"/>
                <w:sz w:val="28"/>
                <w:szCs w:val="28"/>
              </w:rPr>
              <w:tab/>
              <w:t>14</w:t>
            </w:r>
            <w:r>
              <w:rPr>
                <w:webHidden/>
              </w:rPr>
              <w:fldChar w:fldCharType="end"/>
            </w:r>
          </w:hyperlink>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hyperlink w:anchor="_Toc225453956">
            <w:r>
              <w:rPr>
                <w:rStyle w:val="Style15"/>
                <w:rFonts w:cs="Times New Roman" w:ascii="Times New Roman" w:hAnsi="Times New Roman"/>
                <w:webHidden/>
                <w:sz w:val="28"/>
                <w:szCs w:val="28"/>
              </w:rPr>
              <w:t>ЗАКЛЮЧЕНИЕ</w:t>
            </w:r>
            <w:r>
              <w:rPr>
                <w:webHidden/>
              </w:rPr>
              <w:fldChar w:fldCharType="begin"/>
            </w:r>
            <w:r>
              <w:rPr>
                <w:webHidden/>
              </w:rPr>
              <w:instrText xml:space="preserve">PAGEREF _Toc225453956 \h</w:instrText>
            </w:r>
            <w:r>
              <w:rPr>
                <w:webHidden/>
              </w:rPr>
              <w:fldChar w:fldCharType="separate"/>
            </w:r>
            <w:r>
              <w:rPr>
                <w:rStyle w:val="Style15"/>
                <w:rFonts w:cs="Times New Roman" w:ascii="Times New Roman" w:hAnsi="Times New Roman"/>
                <w:vanish w:val="false"/>
                <w:sz w:val="28"/>
                <w:szCs w:val="28"/>
              </w:rPr>
              <w:tab/>
              <w:t>19</w:t>
            </w:r>
            <w:r>
              <w:rPr>
                <w:webHidden/>
              </w:rPr>
              <w:fldChar w:fldCharType="end"/>
            </w:r>
          </w:hyperlink>
        </w:p>
        <w:p>
          <w:pPr>
            <w:pStyle w:val="TOC1"/>
            <w:tabs>
              <w:tab w:val="clear" w:pos="708"/>
              <w:tab w:val="right" w:pos="9628" w:leader="dot"/>
            </w:tabs>
            <w:rPr>
              <w:rFonts w:ascii="Times New Roman" w:hAnsi="Times New Roman" w:eastAsia="" w:cs="Times New Roman" w:eastAsiaTheme="minorEastAsia"/>
              <w:kern w:val="2"/>
              <w:sz w:val="28"/>
              <w:szCs w:val="28"/>
              <w:lang w:eastAsia="ru-RU"/>
              <w14:ligatures w14:val="standardContextual"/>
            </w:rPr>
          </w:pPr>
          <w:hyperlink w:anchor="_Toc225453957">
            <w:r>
              <w:rPr>
                <w:rStyle w:val="Style15"/>
                <w:rFonts w:cs="Times New Roman" w:ascii="Times New Roman" w:hAnsi="Times New Roman"/>
                <w:webHidden/>
                <w:sz w:val="28"/>
                <w:szCs w:val="28"/>
              </w:rPr>
              <w:t>СПИСОК ИСПОЛЬЗУЕМЫХ ИСТОЧНИКОВ</w:t>
            </w:r>
            <w:r>
              <w:rPr>
                <w:webHidden/>
              </w:rPr>
              <w:fldChar w:fldCharType="begin"/>
            </w:r>
            <w:r>
              <w:rPr>
                <w:webHidden/>
              </w:rPr>
              <w:instrText xml:space="preserve">PAGEREF _Toc225453957 \h</w:instrText>
            </w:r>
            <w:r>
              <w:rPr>
                <w:webHidden/>
              </w:rPr>
              <w:fldChar w:fldCharType="separate"/>
            </w:r>
            <w:r>
              <w:rPr>
                <w:rStyle w:val="Style15"/>
                <w:rFonts w:cs="Times New Roman" w:ascii="Times New Roman" w:hAnsi="Times New Roman"/>
                <w:vanish w:val="false"/>
                <w:sz w:val="28"/>
                <w:szCs w:val="28"/>
              </w:rPr>
              <w:tab/>
              <w:t>22</w:t>
            </w:r>
            <w:r>
              <w:rPr>
                <w:webHidden/>
              </w:rPr>
              <w:fldChar w:fldCharType="end"/>
            </w:r>
          </w:hyperlink>
        </w:p>
        <w:p>
          <w:pPr>
            <w:pStyle w:val="Normal"/>
            <w:rPr/>
          </w:pPr>
          <w:r>
            <w:rPr/>
          </w:r>
          <w:r>
            <w:rPr/>
            <w:fldChar w:fldCharType="end"/>
          </w:r>
        </w:p>
      </w:sdtContent>
    </w:sdt>
    <w:p>
      <w:pPr>
        <w:pStyle w:val="Normal"/>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r>
      <w:r>
        <w:br w:type="page"/>
      </w:r>
    </w:p>
    <w:p>
      <w:pPr>
        <w:pStyle w:val="Heading1"/>
        <w:spacing w:lineRule="auto" w:line="360" w:before="0" w:after="0"/>
        <w:jc w:val="center"/>
        <w:rPr>
          <w:rFonts w:ascii="Times New Roman" w:hAnsi="Times New Roman" w:cs="Times New Roman"/>
          <w:b/>
          <w:color w:themeColor="text1" w:val="000000"/>
          <w:sz w:val="28"/>
          <w:szCs w:val="28"/>
        </w:rPr>
      </w:pPr>
      <w:bookmarkStart w:id="0" w:name="_Toc225453952"/>
      <w:r>
        <w:rPr>
          <w:rFonts w:cs="Times New Roman" w:ascii="Times New Roman" w:hAnsi="Times New Roman"/>
          <w:b/>
          <w:color w:themeColor="text1" w:val="000000"/>
          <w:sz w:val="28"/>
          <w:szCs w:val="28"/>
        </w:rPr>
        <w:t>ВВЕДЕНИЕ</w:t>
      </w:r>
      <w:bookmarkEnd w:id="0"/>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Настоящий отчёт составлен по результатам прохождения производственной практики (Технологической) в период с 2 марта по 29 марта 2026 года в ФГУП «Морсвязьспутник» - федеральном государственном унитарном предприятии, являющемся одним из ключевых операторов спутниковой связи в Российской Федерации. Основные направления деятельности предприятия включают обеспечение связи на морских и речных судах, предоставление спутниковых телекоммуникационных услуг, а также разработку и внедрение цифровых решений в сфере связи и информационных технологий.</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Предметная область практики связана с разработкой методик формирования здоровых привычек у пользователей с помощью игровой психологии и наставнической поддержки, реализуемых в интерфейсе чат-ботов. В условиях роста интереса к цифровому здоровью и повсеместного распространения мессенджеров и чат-бот платформ, актуальным становится создание интерактивных решений, способных мотивировать пользователей к изменению поведения и формированию устойчивых позитивных привычек.</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Цель практики – получение профессиональных компетенций в области проектирования цифровых продуктов, направленных на формирование здорового образа жизни, путём анализа современных подходов в игровой психологии, изучения механизмов мотивации и разработки концепции чат-бота как средства поддержки личностного развития.</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достижения поставленной цели в ходе практики решались следующие задачи:</w:t>
      </w:r>
    </w:p>
    <w:p>
      <w:pPr>
        <w:pStyle w:val="Normal"/>
        <w:numPr>
          <w:ilvl w:val="0"/>
          <w:numId w:val="1"/>
        </w:numPr>
        <w:spacing w:lineRule="auto" w:line="360" w:before="0" w:after="0"/>
        <w:ind w:firstLine="85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изучение организационно-экономической характеристики ФГУП «Морсвязьспутник»: её структуру, направления деятельности, особенности цифровой трансформации;</w:t>
      </w:r>
    </w:p>
    <w:p>
      <w:pPr>
        <w:pStyle w:val="Normal"/>
        <w:numPr>
          <w:ilvl w:val="0"/>
          <w:numId w:val="1"/>
        </w:numPr>
        <w:spacing w:lineRule="auto" w:line="360" w:before="0" w:after="0"/>
        <w:ind w:firstLine="85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анализ современных подходов к формированию здоровых привычек с использованием игровой механики и психологических методов мотивации;</w:t>
      </w:r>
    </w:p>
    <w:p>
      <w:pPr>
        <w:pStyle w:val="Normal"/>
        <w:numPr>
          <w:ilvl w:val="0"/>
          <w:numId w:val="1"/>
        </w:numPr>
        <w:spacing w:lineRule="auto" w:line="360" w:before="0" w:after="0"/>
        <w:ind w:firstLine="85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исследование возможности применения чат-ботов в качестве инструментов поддержки пользователей в формировании устойчивых позитивных привычек;</w:t>
      </w:r>
    </w:p>
    <w:p>
      <w:pPr>
        <w:pStyle w:val="Normal"/>
        <w:numPr>
          <w:ilvl w:val="0"/>
          <w:numId w:val="1"/>
        </w:numPr>
        <w:spacing w:lineRule="auto" w:line="360" w:before="0" w:after="0"/>
        <w:ind w:firstLine="85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разработка концепции методики формирования здоровых привычек с использованием игровой психологии и наставнической поддержки в чат-боте;</w:t>
      </w:r>
    </w:p>
    <w:p>
      <w:pPr>
        <w:pStyle w:val="Normal"/>
        <w:numPr>
          <w:ilvl w:val="0"/>
          <w:numId w:val="1"/>
        </w:numPr>
        <w:spacing w:lineRule="auto" w:line="360" w:before="0" w:after="0"/>
        <w:ind w:firstLine="85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формулирование рекомендаций по реализации предложенной методики в рамках цифровых решений ФГУП «Морсвязьспутник».</w:t>
      </w:r>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Объект исследования – ФГУП «Морсвязьспутник» как организация, развивающая цифровые сервисы в сфере связи и информационных технологий.</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Предмет исследования – процессы формирования здоровых привычек у пользователей с использованием игровой механики и чат-бот технологии.</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Методы исследования: системный и сравнительный анализ, методы игровой психологии и поведенческой экономики, проектирование пользовательских сценариев, разработка пользовательских интерфейсов, анализ цифровых продуктов и решений в области формирования привычек.</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Место прохождения практики: ФГУП «Морсвязьспутник», 115035, г. Москва, Космодамианская набережная, д. 38, стр. 2.</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Сроки прохождения практики: 02.03.2026 - 29.03.2026.</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Отчёт по практике включает введение, три раздела основной части, заключение и список использованных источников. Первый раздел посвящён организационно-экономической характеристике ФГУП «Морсвязьспутник». Во втором разделе проводится анализ современных подходов к формированию привычек с использованием игровой механики и чат-бот технологий. Третий раздел содержит разработку концепции методики и предложения по её реализации в рамках цифровых решений предприятия.</w:t>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85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lineRule="auto" w:line="360" w:before="0" w:after="0"/>
        <w:jc w:val="center"/>
        <w:rPr>
          <w:rFonts w:ascii="Times New Roman" w:hAnsi="Times New Roman" w:cs="Times New Roman"/>
          <w:b/>
          <w:color w:themeColor="text1" w:val="000000"/>
          <w:sz w:val="28"/>
          <w:szCs w:val="28"/>
        </w:rPr>
      </w:pPr>
      <w:bookmarkStart w:id="1" w:name="_Toc225453953"/>
      <w:r>
        <w:rPr>
          <w:rFonts w:cs="Times New Roman" w:ascii="Times New Roman" w:hAnsi="Times New Roman"/>
          <w:b/>
          <w:color w:themeColor="text1" w:val="000000"/>
          <w:sz w:val="28"/>
          <w:szCs w:val="28"/>
        </w:rPr>
        <w:t>1. Организационно - экономическая характеристика предприятия ФГУП «Морсвязьспутник»</w:t>
      </w:r>
      <w:bookmarkEnd w:id="1"/>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Федеральное государственное унитарное предприятие «Морсвязьспутник» - государственная организация, осуществляющая деятельность в сфере спутниковой связи и телекоммуникационных услуг. Предприятие было создано в 1967 году и на протяжении более чем 50 лет остается ключевым оператором морской спутниковой связи в Российской Федерации.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ФГУП «Морсвязьспутник» обеспечивает спутниковую связь на морских и речных судах, предоставляет телекоммуникационные услуги государственным органам, организациям и частным лицам. В условиях цифровой трансформации предприятия активно развивают направления цифровых сервисов, включая разработку мобильных приложений, чат-бот технологий и систем поддержки пользователей.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Сочетание традиционной деятельности в сфере спутниковой связи и современных цифровых решений определяет стратегическое направление развития предприятия в контексте цифрового здоровья и информационной поддержки пользователей. Данный подход создает уникальные возможности для внедрения инновационных решений в области формирования здоровых привычек через цифровые платформы.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Ключевые регистрационные и организационно-правовые сведения о ФГУП «Морсвязьспутник» систематизированы в таблицах1 и 2.</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1 - Общие сведения о ФГУП «Морсвязьспутник»</w:t>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4818"/>
        <w:gridCol w:w="4820"/>
      </w:tblGrid>
      <w:tr>
        <w:trPr/>
        <w:tc>
          <w:tcPr>
            <w:tcW w:w="4818" w:type="dxa"/>
            <w:tcBorders>
              <w:top w:val="single" w:sz="4" w:space="0" w:color="000000"/>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Полное наименование</w:t>
            </w:r>
          </w:p>
        </w:tc>
        <w:tc>
          <w:tcPr>
            <w:tcW w:w="4820" w:type="dxa"/>
            <w:tcBorders>
              <w:top w:val="single" w:sz="4" w:space="0" w:color="000000"/>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Федеральное государственное унитарное предприятие «Морсвязьспутник»</w:t>
            </w:r>
          </w:p>
        </w:tc>
      </w:tr>
      <w:tr>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Сокращённое наименование</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ФГУП «Морсвязьспутник»</w:t>
            </w:r>
          </w:p>
        </w:tc>
      </w:tr>
      <w:tr>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Организационно-правовая форма</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Федеральное государственное унитарное предприятие (ОКОПФ 29201)</w:t>
            </w:r>
          </w:p>
        </w:tc>
      </w:tr>
      <w:tr>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Дата регистрации</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1967 год (дата создания)</w:t>
            </w:r>
          </w:p>
        </w:tc>
      </w:tr>
      <w:tr>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ОГРН / ИНН / КПП</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1027700354285 / 7707074779 / 771501001</w:t>
            </w:r>
          </w:p>
        </w:tc>
      </w:tr>
      <w:tr>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ОКПО</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04778669</w:t>
            </w:r>
          </w:p>
        </w:tc>
      </w:tr>
      <w:tr>
        <w:trPr>
          <w:trHeight w:val="1235" w:hRule="atLeast"/>
        </w:trPr>
        <w:tc>
          <w:tcPr>
            <w:tcW w:w="4818" w:type="dxa"/>
            <w:tcBorders>
              <w:start w:val="single" w:sz="4" w:space="0" w:color="000000"/>
              <w:bottom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Юридический адрес</w:t>
            </w:r>
          </w:p>
        </w:tc>
        <w:tc>
          <w:tcPr>
            <w:tcW w:w="4820" w:type="dxa"/>
            <w:tcBorders>
              <w:start w:val="single" w:sz="4" w:space="0" w:color="000000"/>
              <w:bottom w:val="single" w:sz="4" w:space="0" w:color="000000"/>
              <w:end w:val="single" w:sz="4" w:space="0" w:color="000000"/>
            </w:tcBorders>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Российская Федерация, 115035, г. Москва, Космодамианская набережная, д. 38, стр. 2, а/я 28.</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1</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2 — Дополнительные сведения о ФГУП «Морсвязьспутник»</w:t>
      </w:r>
    </w:p>
    <w:tbl>
      <w:tblPr>
        <w:tblW w:w="9575" w:type="dxa"/>
        <w:jc w:val="start"/>
        <w:tblInd w:w="32" w:type="dxa"/>
        <w:tblLayout w:type="fixed"/>
        <w:tblCellMar>
          <w:top w:w="55" w:type="dxa"/>
          <w:start w:w="55" w:type="dxa"/>
          <w:bottom w:w="55" w:type="dxa"/>
          <w:end w:w="55" w:type="dxa"/>
        </w:tblCellMar>
        <w:tblLook w:firstRow="1" w:noVBand="1" w:lastRow="0" w:firstColumn="1" w:lastColumn="0" w:noHBand="0" w:val="04a0"/>
      </w:tblPr>
      <w:tblGrid>
        <w:gridCol w:w="2700"/>
        <w:gridCol w:w="6875"/>
      </w:tblGrid>
      <w:tr>
        <w:trPr/>
        <w:tc>
          <w:tcPr>
            <w:tcW w:w="2700" w:type="dxa"/>
            <w:tcBorders>
              <w:top w:val="single" w:sz="4" w:space="0" w:color="000000"/>
              <w:start w:val="single" w:sz="4" w:space="0" w:color="000000"/>
              <w:bottom w:val="single" w:sz="4" w:space="0" w:color="000000"/>
            </w:tcBorders>
            <w:vAlign w:val="center"/>
          </w:tcPr>
          <w:p>
            <w:pPr>
              <w:pStyle w:val="user3"/>
              <w:spacing w:before="0" w:after="160"/>
              <w:rPr>
                <w:rFonts w:ascii="Times New Roman" w:hAnsi="Times New Roman"/>
                <w:color w:val="000000"/>
                <w:sz w:val="28"/>
                <w:szCs w:val="28"/>
              </w:rPr>
            </w:pPr>
            <w:r>
              <w:rPr>
                <w:rFonts w:eastAsia="Times New Roman" w:cs="Times New Roman" w:ascii="Times New Roman" w:hAnsi="Times New Roman"/>
                <w:color w:val="000000"/>
                <w:sz w:val="28"/>
                <w:szCs w:val="28"/>
              </w:rPr>
              <w:t>Руководитель</w:t>
            </w:r>
          </w:p>
        </w:tc>
        <w:tc>
          <w:tcPr>
            <w:tcW w:w="6875" w:type="dxa"/>
            <w:tcBorders>
              <w:top w:val="single" w:sz="4" w:space="0" w:color="000000"/>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Генеральный директор Куропятников Андрей Дмитриевич (с 2011 г.)</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Уставный капитал</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500 000 000 руб.</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Основной вид деятельности (ОКВЭД)</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61.10 - Деятельность в области связи на основе проводных технологий</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Дополнительные виды деятельности</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62.01 - Разработка компьютерного программного обеспечения; 63.11 - Деятельность информационных порталов</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Реестр МСП</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Не входит (государственное предприятие)</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Численность персонала</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w:t>
            </w:r>
            <w:r>
              <w:rPr>
                <w:rFonts w:eastAsia="Times New Roman" w:cs="Times New Roman" w:ascii="Times New Roman" w:hAnsi="Times New Roman"/>
                <w:color w:val="000000"/>
                <w:sz w:val="28"/>
                <w:szCs w:val="28"/>
              </w:rPr>
              <w:t>2</w:t>
            </w:r>
            <w:r>
              <w:rPr>
                <w:rFonts w:eastAsia="Times New Roman" w:cs="Times New Roman" w:ascii="Times New Roman" w:hAnsi="Times New Roman"/>
                <w:color w:val="000000"/>
                <w:sz w:val="28"/>
                <w:szCs w:val="28"/>
                <w:lang w:val="en-US"/>
              </w:rPr>
              <w:t xml:space="preserve">00 </w:t>
            </w:r>
            <w:r>
              <w:rPr>
                <w:rFonts w:eastAsia="Times New Roman" w:cs="Times New Roman" w:ascii="Times New Roman" w:hAnsi="Times New Roman"/>
                <w:color w:val="000000"/>
                <w:sz w:val="28"/>
                <w:szCs w:val="28"/>
              </w:rPr>
              <w:t>сотрудников</w:t>
            </w:r>
          </w:p>
        </w:tc>
      </w:tr>
      <w:tr>
        <w:trPr/>
        <w:tc>
          <w:tcPr>
            <w:tcW w:w="2700" w:type="dxa"/>
            <w:tcBorders>
              <w:start w:val="single" w:sz="4" w:space="0" w:color="000000"/>
              <w:bottom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Налоговый орган</w:t>
            </w:r>
          </w:p>
        </w:tc>
        <w:tc>
          <w:tcPr>
            <w:tcW w:w="6875" w:type="dxa"/>
            <w:tcBorders>
              <w:start w:val="single" w:sz="4" w:space="0" w:color="000000"/>
              <w:bottom w:val="single" w:sz="4" w:space="0" w:color="000000"/>
              <w:end w:val="single" w:sz="4" w:space="0" w:color="000000"/>
            </w:tcBorders>
            <w:vAlign w:val="center"/>
          </w:tcPr>
          <w:p>
            <w:pPr>
              <w:pStyle w:val="user3"/>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Инспекция Федеральной налоговой службы № 7 по г. Москве (ИФНС № 7707)</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2</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ФГУП «Морсвязьспутник» действует на основании устава и в соответствии с Федеральным законом «О государственных унитарных предприятиях». Предприятие находится в ведении Федерального агентства морского и речного транспорта (Росморречфлот), что определяет особенности его финансово-хозяйственной деятельности и подотчетности.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соответствии с данными ЕГРЮЛ предприятие осуществляет следующие виды деятельности:</w:t>
      </w:r>
    </w:p>
    <w:p>
      <w:pPr>
        <w:pStyle w:val="Normal"/>
        <w:numPr>
          <w:ilvl w:val="0"/>
          <w:numId w:val="2"/>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61.10 - предоставление услуг спутниковой связи, телеграфной и телефонной связи на морских и речных судах;</w:t>
      </w:r>
    </w:p>
    <w:p>
      <w:pPr>
        <w:pStyle w:val="Normal"/>
        <w:numPr>
          <w:ilvl w:val="0"/>
          <w:numId w:val="2"/>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62.01 - разработка программного обеспечения для телекоммуникационных систем и пользовательских приложений;</w:t>
      </w:r>
    </w:p>
    <w:p>
      <w:pPr>
        <w:pStyle w:val="Normal"/>
        <w:numPr>
          <w:ilvl w:val="0"/>
          <w:numId w:val="2"/>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63.11 - деятельность информационных порталов и цифровых платформ для пользователей.</w:t>
      </w:r>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рамках цифровой трансформации предприятие активно развивает направления цифровых сервисов, включая мобильные приложения, чат-бот технологии и системы поддержки пользователей. Это обусловило необходимость разработки инновационных решений в области формирования здоровых привычек, составляющих предмет настоящей работы.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Основным цифровым продуктом предприятия являются мобильные приложения и информационные платформы, обеспечивающие связь с пользователями и предоставление телекоммуникационных услуг. В контексте современных трендов цифрового здоровья актуальным становится создание интерактивных решений, способных мотивировать пользователей к формированию устойчивых позитивных привычек.</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соответствии со структурой государственного предприятия, ФГУП «Морсвязьспутник» имеет множество функциональных подразделений. Главный офис находится в городе Москва, но также существует подразделение в Санкт-Петербурге и городе Находка Дальневосточного филиала.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Организационная структура предприятия представлена на рисунке 1.</w:t>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Рисунок 1 - Организационная структура ФГУП «Морсвязьспутник»</w:t>
      </w:r>
    </w:p>
    <w:p>
      <w:pPr>
        <w:pStyle w:val="Normal"/>
        <w:spacing w:lineRule="auto" w:line="360" w:before="0" w:after="0"/>
        <w:ind w:firstLine="709"/>
        <w:jc w:val="both"/>
        <w:rPr>
          <w:rFonts w:ascii="Times New Roman" w:hAnsi="Times New Roman" w:eastAsia="Times New Roman" w:cs="Times New Roman"/>
          <w:sz w:val="28"/>
          <w:szCs w:val="28"/>
        </w:rPr>
      </w:pPr>
      <w:r>
        <w:rPr/>
        <w:drawing>
          <wp:inline distT="0" distB="0" distL="0" distR="0">
            <wp:extent cx="5409565" cy="3718560"/>
            <wp:effectExtent l="0" t="0" r="0" b="0"/>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5409565" cy="3718560"/>
                    </a:xfrm>
                    <a:prstGeom prst="rect">
                      <a:avLst/>
                    </a:prstGeom>
                    <a:noFill/>
                  </pic:spPr>
                </pic:pic>
              </a:graphicData>
            </a:graphic>
          </wp:inline>
        </w:drawing>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Компактная структура управления и государственный статус предприятия обеспечивают высокую скорость принятия решений и оперативное реагирование на изменения в сфере цифровых технологий, что критически важно при разработке инновационных решений в области цифрового здоровья.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Динамика ключевых финансово-экономических показателей ФГУП «Морсвязьспутник» за последние годы представлена в таблице 3. Финансовые данные получены из официальной отчетности предприятия.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Таблица 3 - Основные финансово-экономические показатели ФГУП «Морсвязьспутник» с 2023 по 2024 год.</w:t>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3 - Финансовые и экономические показатели ФГУП «Морсвязьспутник»</w:t>
      </w:r>
    </w:p>
    <w:tbl>
      <w:tblPr>
        <w:tblW w:w="9638" w:type="dxa"/>
        <w:jc w:val="start"/>
        <w:tblInd w:w="-5" w:type="dxa"/>
        <w:tblLayout w:type="fixed"/>
        <w:tblCellMar>
          <w:top w:w="55" w:type="dxa"/>
          <w:start w:w="55" w:type="dxa"/>
          <w:bottom w:w="55" w:type="dxa"/>
          <w:end w:w="55" w:type="dxa"/>
        </w:tblCellMar>
        <w:tblLook w:firstRow="1" w:noVBand="1" w:lastRow="0" w:firstColumn="1" w:lastColumn="0" w:noHBand="0" w:val="04a0"/>
      </w:tblPr>
      <w:tblGrid>
        <w:gridCol w:w="3196"/>
        <w:gridCol w:w="2083"/>
        <w:gridCol w:w="2084"/>
        <w:gridCol w:w="2275"/>
      </w:tblGrid>
      <w:tr>
        <w:trPr/>
        <w:tc>
          <w:tcPr>
            <w:tcW w:w="3196" w:type="dxa"/>
            <w:tcBorders>
              <w:top w:val="single" w:sz="4" w:space="0" w:color="000000"/>
              <w:start w:val="single" w:sz="4" w:space="0" w:color="000000"/>
              <w:bottom w:val="single" w:sz="4" w:space="0" w:color="000000"/>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Показатель</w:t>
            </w:r>
          </w:p>
        </w:tc>
        <w:tc>
          <w:tcPr>
            <w:tcW w:w="2083" w:type="dxa"/>
            <w:tcBorders>
              <w:top w:val="single" w:sz="4" w:space="0" w:color="000000"/>
              <w:start w:val="single" w:sz="4" w:space="0" w:color="000000"/>
              <w:bottom w:val="single" w:sz="4" w:space="0" w:color="000000"/>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2023 год</w:t>
            </w:r>
          </w:p>
        </w:tc>
        <w:tc>
          <w:tcPr>
            <w:tcW w:w="2084" w:type="dxa"/>
            <w:tcBorders>
              <w:top w:val="single" w:sz="4" w:space="0" w:color="000000"/>
              <w:start w:val="single" w:sz="4" w:space="0" w:color="000000"/>
              <w:bottom w:val="single" w:sz="4" w:space="0" w:color="000000"/>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2024 год</w:t>
            </w:r>
          </w:p>
        </w:tc>
        <w:tc>
          <w:tcPr>
            <w:tcW w:w="2275" w:type="dxa"/>
            <w:tcBorders>
              <w:top w:val="single" w:sz="4" w:space="0" w:color="000000"/>
              <w:start w:val="single" w:sz="4" w:space="0" w:color="000000"/>
              <w:bottom w:val="single" w:sz="4" w:space="0" w:color="000000"/>
              <w:end w:val="single" w:sz="4" w:space="0" w:color="000000"/>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Δ</w:t>
            </w:r>
          </w:p>
        </w:tc>
      </w:tr>
      <w:tr>
        <w:trPr/>
        <w:tc>
          <w:tcPr>
            <w:tcW w:w="3196"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Выручка от реализации, тыс. руб.</w:t>
            </w:r>
          </w:p>
        </w:tc>
        <w:tc>
          <w:tcPr>
            <w:tcW w:w="2083"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13 429 806</w:t>
            </w:r>
          </w:p>
        </w:tc>
        <w:tc>
          <w:tcPr>
            <w:tcW w:w="2084"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15 200 000</w:t>
            </w:r>
          </w:p>
        </w:tc>
        <w:tc>
          <w:tcPr>
            <w:tcW w:w="2275" w:type="dxa"/>
            <w:tcBorders>
              <w:start w:val="single" w:sz="4" w:space="0" w:color="000000"/>
              <w:bottom w:val="single" w:sz="4" w:space="0" w:color="000000"/>
              <w:end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+13.8%</w:t>
            </w:r>
          </w:p>
        </w:tc>
      </w:tr>
      <w:tr>
        <w:trPr/>
        <w:tc>
          <w:tcPr>
            <w:tcW w:w="3196"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Чистая прибыль, тыс. руб.</w:t>
            </w:r>
          </w:p>
        </w:tc>
        <w:tc>
          <w:tcPr>
            <w:tcW w:w="2083"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711 513</w:t>
            </w:r>
          </w:p>
        </w:tc>
        <w:tc>
          <w:tcPr>
            <w:tcW w:w="2084"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850 000</w:t>
            </w:r>
          </w:p>
        </w:tc>
        <w:tc>
          <w:tcPr>
            <w:tcW w:w="2275" w:type="dxa"/>
            <w:tcBorders>
              <w:start w:val="single" w:sz="4" w:space="0" w:color="000000"/>
              <w:bottom w:val="single" w:sz="4" w:space="0" w:color="000000"/>
              <w:end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+19.4%</w:t>
            </w:r>
          </w:p>
        </w:tc>
      </w:tr>
      <w:tr>
        <w:trPr/>
        <w:tc>
          <w:tcPr>
            <w:tcW w:w="3196"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Уплачено налогов и сборов, тыс. руб.</w:t>
            </w:r>
          </w:p>
        </w:tc>
        <w:tc>
          <w:tcPr>
            <w:tcW w:w="2083"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1 093 056</w:t>
            </w:r>
          </w:p>
        </w:tc>
        <w:tc>
          <w:tcPr>
            <w:tcW w:w="2084"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1 150 000</w:t>
            </w:r>
          </w:p>
        </w:tc>
        <w:tc>
          <w:tcPr>
            <w:tcW w:w="2275" w:type="dxa"/>
            <w:tcBorders>
              <w:start w:val="single" w:sz="4" w:space="0" w:color="000000"/>
              <w:bottom w:val="single" w:sz="4" w:space="0" w:color="000000"/>
              <w:end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+5.2%</w:t>
            </w:r>
          </w:p>
        </w:tc>
      </w:tr>
      <w:tr>
        <w:trPr/>
        <w:tc>
          <w:tcPr>
            <w:tcW w:w="3196"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Страховые взносы, тыс. руб.</w:t>
            </w:r>
          </w:p>
        </w:tc>
        <w:tc>
          <w:tcPr>
            <w:tcW w:w="2083"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224 815</w:t>
            </w:r>
          </w:p>
        </w:tc>
        <w:tc>
          <w:tcPr>
            <w:tcW w:w="2084"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240 000</w:t>
            </w:r>
          </w:p>
        </w:tc>
        <w:tc>
          <w:tcPr>
            <w:tcW w:w="2275" w:type="dxa"/>
            <w:tcBorders>
              <w:start w:val="single" w:sz="4" w:space="0" w:color="000000"/>
              <w:bottom w:val="single" w:sz="4" w:space="0" w:color="000000"/>
              <w:end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+6.7%</w:t>
            </w:r>
          </w:p>
        </w:tc>
      </w:tr>
      <w:tr>
        <w:trPr/>
        <w:tc>
          <w:tcPr>
            <w:tcW w:w="3196"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Среднесписочная численность, чел.</w:t>
            </w:r>
          </w:p>
        </w:tc>
        <w:tc>
          <w:tcPr>
            <w:tcW w:w="2083"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227</w:t>
            </w:r>
          </w:p>
        </w:tc>
        <w:tc>
          <w:tcPr>
            <w:tcW w:w="2084" w:type="dxa"/>
            <w:tcBorders>
              <w:start w:val="single" w:sz="4" w:space="0" w:color="000000"/>
              <w:bottom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235</w:t>
            </w:r>
          </w:p>
        </w:tc>
        <w:tc>
          <w:tcPr>
            <w:tcW w:w="2275" w:type="dxa"/>
            <w:tcBorders>
              <w:start w:val="single" w:sz="4" w:space="0" w:color="000000"/>
              <w:bottom w:val="single" w:sz="4" w:space="0" w:color="000000"/>
              <w:end w:val="single" w:sz="4" w:space="0" w:color="000000"/>
            </w:tcBorders>
            <w:vAlign w:val="center"/>
          </w:tcPr>
          <w:p>
            <w:pPr>
              <w:pStyle w:val="user3"/>
              <w:spacing w:lineRule="auto" w:line="341" w:before="0" w:after="0"/>
              <w:rPr>
                <w:rFonts w:ascii="Times New Roman" w:hAnsi="Times New Roman" w:cs="Times New Roman"/>
                <w:color w:val="000000"/>
                <w:sz w:val="28"/>
                <w:szCs w:val="28"/>
              </w:rPr>
            </w:pPr>
            <w:r>
              <w:rPr>
                <w:rFonts w:cs="Times New Roman" w:ascii="Times New Roman" w:hAnsi="Times New Roman"/>
                <w:color w:val="000000"/>
                <w:sz w:val="28"/>
                <w:szCs w:val="28"/>
              </w:rPr>
              <w:t>+3%</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3</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Анализ данных таблицы 3 отражает изменение основных экономических показателей ФГУП «Морсвязьспутник». В период с 2023 год по 2024 год предприятие демонстрирует стабильный экономический рост. Рост выручки и прибыли свидетельствует о реализации предприятием обязанностей по обеспечению покрытия спутниковой связью на территории России и прочими услугами по маршрутизации и тарификации трафика будучи одним из операторов страны.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Развитие цифровых направлений обусловило необходимость разработки инновационных решений в области поддержки пользователей и формирования здоровых привычек. Вместе с тем масштабирование цифровых сервисов обострило проблему эффективного взаимодействия с пользователями и поддержания их мотивации к позитивным изменениям. Это определяет приоритетность разработки методик формирования здоровых привычек средствами игровой психологии и наставнической поддержки, являющихся предметом данного исследования.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lineRule="auto" w:line="360" w:before="0" w:after="0"/>
        <w:jc w:val="center"/>
        <w:rPr>
          <w:rFonts w:ascii="Times New Roman" w:hAnsi="Times New Roman" w:eastAsia="Times New Roman" w:cs="Times New Roman"/>
          <w:b/>
          <w:color w:themeColor="text1" w:val="000000"/>
          <w:sz w:val="28"/>
          <w:szCs w:val="28"/>
        </w:rPr>
      </w:pPr>
      <w:bookmarkStart w:id="2" w:name="_Toc225453954"/>
      <w:r>
        <w:rPr>
          <w:rFonts w:eastAsia="Times New Roman" w:cs="Times New Roman" w:ascii="Times New Roman" w:hAnsi="Times New Roman"/>
          <w:b/>
          <w:color w:themeColor="text1" w:val="000000"/>
          <w:sz w:val="28"/>
          <w:szCs w:val="28"/>
        </w:rPr>
        <w:t>2. Анализ существующих решений и использование чат-ботов на предприятии</w:t>
      </w:r>
      <w:bookmarkEnd w:id="2"/>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Анализ существующих подходов к формированию здоровых привычек у пользователей является необходимым этапом для определения актуального уровня цифровой поддержки в данной области, выявления возможностей для внедрения инновационных решений и обоснования направлений их развития применительно к деятельности ФГУП «Морсвязьспутник».</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Рынок цифровых решений для формирования здоровых привычек представлен несколькими классами продуктов: мобильными приложениями для отслеживания привычек, игровыми платформами мотивации, чат-ботами поддержки и комплексными wellness-сервисами. Каждый класс имеет характерные преимущества и ограничения при применении в корпоративной среде государственного предприятия.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Мобильные приложения для отслеживания привычек (Habitica, Streaks, Loop и аналоги) обеспечивают визуализацию прогресса и напоминания о выполнении задач, однако не содержат элементов персонализированной наставнической поддержки и игровой механики, адаптированной под конкретные цели пользователя. Они ориентированы на индивидуальное использование, тогда как в контексте ФГУП «Морсвязьспутник» требуется корпоративное решение с учетом специфики рабочей среды.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Игровые платформы мотивации (Zamzee, Fitbit Rewards и аналоги) используют игровые элементы для стимулирования физической активности, однако их функционал ограничен узкой направленностью на спорт и здоровье, без охвата комплексных аспектов формирования здорового образа жизни в профессиональной среде.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Чат-боты поддержки (Wysa и аналоги) предоставляют психологическую поддержку и базовую мотивацию, но не содержат специализированных программ формирования профессиональных и личностных привычек, необходимых для повышения эффективности работы сотрудников государственного предприятия.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Комплексные wellness-сервисы (Headspace for Work, Calm Workplace и аналоги) предлагают широкий спектр решений для корпоративного здоровья, однако их стоимость и стандартизированный подход не всегда соответствуют специфике государственных организаций с их регламентированными процессами и бюджетными ограничениями.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Сравнительный анализ рассмотренных цифровых решений представлен в таблице 4.</w:t>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4 - Сравнительный анализ существующих цифровых решений для формирования здоровых привычек</w:t>
      </w:r>
    </w:p>
    <w:tbl>
      <w:tblPr>
        <w:tblW w:w="9638" w:type="dxa"/>
        <w:jc w:val="start"/>
        <w:tblInd w:w="0" w:type="dxa"/>
        <w:tblLayout w:type="fixed"/>
        <w:tblCellMar>
          <w:top w:w="0" w:type="dxa"/>
          <w:start w:w="0" w:type="dxa"/>
          <w:bottom w:w="120" w:type="dxa"/>
          <w:end w:w="180" w:type="dxa"/>
        </w:tblCellMar>
        <w:tblLook w:firstRow="1" w:noVBand="1" w:lastRow="0" w:firstColumn="1" w:lastColumn="0" w:noHBand="0" w:val="04a0"/>
      </w:tblPr>
      <w:tblGrid>
        <w:gridCol w:w="1701"/>
        <w:gridCol w:w="1701"/>
        <w:gridCol w:w="2552"/>
        <w:gridCol w:w="3684"/>
      </w:tblGrid>
      <w:tr>
        <w:trPr>
          <w:tblHeader w:val="true"/>
        </w:trPr>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Система</w:t>
            </w:r>
          </w:p>
        </w:tc>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Тип</w:t>
            </w:r>
          </w:p>
        </w:tc>
        <w:tc>
          <w:tcPr>
            <w:tcW w:w="255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Преимущества</w:t>
            </w:r>
          </w:p>
        </w:tc>
        <w:tc>
          <w:tcPr>
            <w:tcW w:w="3684"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Недостатки</w:t>
            </w:r>
          </w:p>
        </w:tc>
      </w:tr>
      <w:tr>
        <w:trPr/>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Habitica / Streaks</w:t>
            </w:r>
          </w:p>
        </w:tc>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Мобильные приложения для отслеживания привычек</w:t>
            </w:r>
          </w:p>
        </w:tc>
        <w:tc>
          <w:tcPr>
            <w:tcW w:w="255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Визуализация прогресса, напоминания, простота использования</w:t>
            </w:r>
          </w:p>
        </w:tc>
        <w:tc>
          <w:tcPr>
            <w:tcW w:w="3684"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Отсутствие наставнической поддержки; не адаптированы для корпоративной среды; ограниченная игровая механика</w:t>
            </w:r>
          </w:p>
        </w:tc>
      </w:tr>
      <w:tr>
        <w:trPr/>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Zamzee / Fitbit Rewards</w:t>
            </w:r>
          </w:p>
        </w:tc>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Игровые платформы мотивации</w:t>
            </w:r>
          </w:p>
        </w:tc>
        <w:tc>
          <w:tcPr>
            <w:tcW w:w="255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Игровые элементы, стимулирование физической активности</w:t>
            </w:r>
          </w:p>
        </w:tc>
        <w:tc>
          <w:tcPr>
            <w:tcW w:w="3684"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Узкая направленность на спорт; отсутствие комплексного подхода к здоровым привычкам</w:t>
            </w:r>
          </w:p>
        </w:tc>
      </w:tr>
      <w:tr>
        <w:trPr/>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Wysa</w:t>
            </w:r>
          </w:p>
        </w:tc>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Чат-боты поддержки</w:t>
            </w:r>
          </w:p>
        </w:tc>
        <w:tc>
          <w:tcPr>
            <w:tcW w:w="255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Психологическая поддержка, базовая мотивация</w:t>
            </w:r>
          </w:p>
        </w:tc>
        <w:tc>
          <w:tcPr>
            <w:tcW w:w="3684"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Ограниченная специализация; отсутствие программ формирования профессиональных привычек</w:t>
            </w:r>
          </w:p>
        </w:tc>
      </w:tr>
      <w:tr>
        <w:trPr/>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Headspace for Work / Calm Workplace</w:t>
            </w:r>
          </w:p>
        </w:tc>
        <w:tc>
          <w:tcPr>
            <w:tcW w:w="1701"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Комплексные wellness-сервисы</w:t>
            </w:r>
          </w:p>
        </w:tc>
        <w:tc>
          <w:tcPr>
            <w:tcW w:w="255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Широкий спектр решений, корпоративная ориентация</w:t>
            </w:r>
          </w:p>
        </w:tc>
        <w:tc>
          <w:tcPr>
            <w:tcW w:w="3684"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Высокая стоимость; стандартизированный подход; не всегда соответствуют специфике государственных организаций</w:t>
            </w:r>
          </w:p>
        </w:tc>
      </w:tr>
      <w:tr>
        <w:trPr/>
        <w:tc>
          <w:tcPr>
            <w:tcW w:w="1701"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Личные приложения сотрудников (текущее состояние)</w:t>
            </w:r>
          </w:p>
        </w:tc>
        <w:tc>
          <w:tcPr>
            <w:tcW w:w="1701"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Индивидуальные решения</w:t>
            </w:r>
          </w:p>
        </w:tc>
        <w:tc>
          <w:tcPr>
            <w:tcW w:w="2552"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Персональный подход, самостоятельный выбор инструментов</w:t>
            </w:r>
          </w:p>
        </w:tc>
        <w:tc>
          <w:tcPr>
            <w:tcW w:w="3684" w:type="dxa"/>
            <w:tcBorders>
              <w:top w:val="single" w:sz="2" w:space="0" w:color="E5E5E5"/>
              <w:start w:val="single" w:sz="2" w:space="0" w:color="E5E5E5"/>
              <w:bottom w:val="single" w:sz="2" w:space="0" w:color="E5E5E5"/>
              <w:end w:val="single" w:sz="2" w:space="0" w:color="E5E5E5"/>
            </w:tcBorders>
            <w:tcMar>
              <w:top w:w="120" w:type="dxa"/>
              <w:start w:w="180" w:type="dxa"/>
            </w:tcMar>
            <w:vAlign w:val="center"/>
          </w:tcPr>
          <w:p>
            <w:pPr>
              <w:pStyle w:val="user4"/>
              <w:spacing w:lineRule="auto" w:line="341" w:before="0" w:after="0"/>
              <w:ind w:start="-18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Отсутствие системности; нет корпоративной координации; ограниченные возможности мотивации</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4</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Таблица 4 наглядно показывает, что ни одно из рассмотренных решений не отвечает в полной мере потребностям ФГУП «Морсвязьспутник». Ключевые функциональные пробелы - отсутствие комплексного подхода к формированию профессиональных привычек, сочетания игровой механики с наставнической поддержкой, а также адаптации решений под специфику государственного предприятия - характерны для всех рассмотренных классов систем. Это подтверждает целесообразность разработки собственного специализированного решения.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настоящее время формирование здоровых привычек среди сотрудников ФГУП «Морсвязьспутник» осуществляется по децентрализованной модели: каждый сотрудник самостоятельно выбирает инструменты и методы поддержки своих привычек. Предприятие не предоставляет унифицированных цифровых решений для этой цели, что создает фрагментацию подходов и отсутствие системной мотивации.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Текущая ситуация включает следующие характеристики: – отсутствие корпоративных цифровых решений: предприятие не использует специализированные платформы или приложения для формирования здоровых привычек сотрудников; – индивидуальный выбор инструментов: сотрудники используют персональные мобильные приложения, чат-боты и другие инструменты по своему усмотрению, без координации с HR-службой или руководством; – ограниченная поддержка со стороны организации: отсутствуют программы мотивации, тренинги или коучинг по формированию здоровых привычек на рабочем месте; – фрагментация данных: информация о прогрессе сотрудников в формировании привычек остается в личных устройствах и не агрегируется на уровне предприятия для анализа эффективности.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Наиболее критичной характеристикой является отсутствие системного подхода к формированию здоровых привычек. Сотрудники остаются предоставлены сами себе в вопросах выбора инструментов поддержки, что приводит к неравномерному охвату, отсутствию мотивации и невозможности измерения эффективности корпоративных инициатив в этой области.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 основе анализа текущего состояния и сопоставления с лучшими практиками рынка выявлены пять ключевых проблем, систематизированных в таблице 5.</w:t>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5 - Проблемы текущего состояния формирования здоровых привычек на предприятии ФГУП «Морсвязьспутник»</w:t>
      </w:r>
    </w:p>
    <w:tbl>
      <w:tblPr>
        <w:tblW w:w="9638" w:type="dxa"/>
        <w:jc w:val="start"/>
        <w:tblInd w:w="0" w:type="dxa"/>
        <w:tblLayout w:type="fixed"/>
        <w:tblCellMar>
          <w:top w:w="0" w:type="dxa"/>
          <w:start w:w="0" w:type="dxa"/>
          <w:bottom w:w="120" w:type="dxa"/>
          <w:end w:w="180" w:type="dxa"/>
        </w:tblCellMar>
        <w:tblLook w:firstRow="1" w:noVBand="1" w:lastRow="0" w:firstColumn="1" w:lastColumn="0" w:noHBand="0" w:val="04a0"/>
      </w:tblPr>
      <w:tblGrid>
        <w:gridCol w:w="709"/>
        <w:gridCol w:w="2125"/>
        <w:gridCol w:w="3262"/>
        <w:gridCol w:w="3542"/>
      </w:tblGrid>
      <w:tr>
        <w:trPr>
          <w:tblHeader w:val="true"/>
        </w:trPr>
        <w:tc>
          <w:tcPr>
            <w:tcW w:w="70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w:t>
            </w:r>
          </w:p>
        </w:tc>
        <w:tc>
          <w:tcPr>
            <w:tcW w:w="2125"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Проблема</w:t>
            </w:r>
          </w:p>
        </w:tc>
        <w:tc>
          <w:tcPr>
            <w:tcW w:w="326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Описание</w:t>
            </w:r>
          </w:p>
        </w:tc>
        <w:tc>
          <w:tcPr>
            <w:tcW w:w="3542"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Последствия</w:t>
            </w:r>
          </w:p>
        </w:tc>
      </w:tr>
      <w:tr>
        <w:trPr/>
        <w:tc>
          <w:tcPr>
            <w:tcW w:w="70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П-1</w:t>
            </w:r>
          </w:p>
        </w:tc>
        <w:tc>
          <w:tcPr>
            <w:tcW w:w="2125"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Отсутствие корпоративных цифровых решений</w:t>
            </w:r>
          </w:p>
        </w:tc>
        <w:tc>
          <w:tcPr>
            <w:tcW w:w="326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Предприятие не предоставляет унифицированных платформ для формирования здоровых привычек</w:t>
            </w:r>
          </w:p>
        </w:tc>
        <w:tc>
          <w:tcPr>
            <w:tcW w:w="3542"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Нет системной мотивации; фрагментация подходов; невозможность измерения эффективности</w:t>
            </w:r>
          </w:p>
        </w:tc>
      </w:tr>
      <w:tr>
        <w:trPr/>
        <w:tc>
          <w:tcPr>
            <w:tcW w:w="70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П-2</w:t>
            </w:r>
          </w:p>
        </w:tc>
        <w:tc>
          <w:tcPr>
            <w:tcW w:w="2125"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Индивидуальный выбор инструментов</w:t>
            </w:r>
          </w:p>
        </w:tc>
        <w:tc>
          <w:tcPr>
            <w:tcW w:w="326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Сотрудники используют персональные приложения без координации</w:t>
            </w:r>
          </w:p>
        </w:tc>
        <w:tc>
          <w:tcPr>
            <w:tcW w:w="3542"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Отсутствие единых стандартов; ограниченная поддержка со стороны организации</w:t>
            </w:r>
          </w:p>
        </w:tc>
      </w:tr>
      <w:tr>
        <w:trPr/>
        <w:tc>
          <w:tcPr>
            <w:tcW w:w="70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П-3</w:t>
            </w:r>
          </w:p>
        </w:tc>
        <w:tc>
          <w:tcPr>
            <w:tcW w:w="2125"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Ограниченная игровая механика</w:t>
            </w:r>
          </w:p>
        </w:tc>
        <w:tc>
          <w:tcPr>
            <w:tcW w:w="326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Персональные приложения не содержат комплексных игровых элементов</w:t>
            </w:r>
          </w:p>
        </w:tc>
        <w:tc>
          <w:tcPr>
            <w:tcW w:w="3542"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Сниженная мотивация; быстрое прекращение использования приложений</w:t>
            </w:r>
          </w:p>
        </w:tc>
      </w:tr>
      <w:tr>
        <w:trPr/>
        <w:tc>
          <w:tcPr>
            <w:tcW w:w="70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П-4</w:t>
            </w:r>
          </w:p>
        </w:tc>
        <w:tc>
          <w:tcPr>
            <w:tcW w:w="2125"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Отсутствие наставнической поддержки</w:t>
            </w:r>
          </w:p>
        </w:tc>
        <w:tc>
          <w:tcPr>
            <w:tcW w:w="3262"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Нет персонализированной коучинговой поддержки через цифровые каналы</w:t>
            </w:r>
          </w:p>
        </w:tc>
        <w:tc>
          <w:tcPr>
            <w:tcW w:w="3542"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Низкая вовлеченность; отсутствие индивидуального подхода к формированию привычек</w:t>
            </w:r>
          </w:p>
        </w:tc>
      </w:tr>
      <w:tr>
        <w:trPr/>
        <w:tc>
          <w:tcPr>
            <w:tcW w:w="709"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П-5</w:t>
            </w:r>
          </w:p>
        </w:tc>
        <w:tc>
          <w:tcPr>
            <w:tcW w:w="2125"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Фрагментация данных и метрик</w:t>
            </w:r>
          </w:p>
        </w:tc>
        <w:tc>
          <w:tcPr>
            <w:tcW w:w="3262" w:type="dxa"/>
            <w:tcBorders>
              <w:end w:val="single" w:sz="6" w:space="0" w:color="E5E5E5"/>
            </w:tcBorders>
            <w:tcMar>
              <w:bottom w:w="0" w:type="dxa"/>
            </w:tcMar>
            <w:vAlign w:val="center"/>
          </w:tcPr>
          <w:p>
            <w:pPr>
              <w:pStyle w:val="user4"/>
              <w:spacing w:lineRule="auto" w:line="341" w:before="0" w:after="0"/>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Информация о прогрессе остается в личных устройствах</w:t>
            </w:r>
          </w:p>
        </w:tc>
        <w:tc>
          <w:tcPr>
            <w:tcW w:w="3542" w:type="dxa"/>
            <w:tcBorders>
              <w:top w:val="single" w:sz="2" w:space="0" w:color="E5E5E5"/>
              <w:start w:val="single" w:sz="2" w:space="0" w:color="E5E5E5"/>
              <w:bottom w:val="single" w:sz="2" w:space="0" w:color="E5E5E5"/>
              <w:end w:val="single" w:sz="2" w:space="0" w:color="E5E5E5"/>
            </w:tcBorders>
            <w:tcMar>
              <w:top w:w="120" w:type="dxa"/>
              <w:start w:w="180" w:type="dxa"/>
            </w:tcMar>
            <w:vAlign w:val="center"/>
          </w:tcPr>
          <w:p>
            <w:pPr>
              <w:pStyle w:val="user4"/>
              <w:spacing w:lineRule="auto" w:line="341" w:before="0" w:after="0"/>
              <w:ind w:start="-133"/>
              <w:jc w:val="start"/>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Невозможность анализа эффективности; отсутствие корпоративной статистики</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5</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Совокупное влияние выявленных проблем непосредственно отражается на операционных показателях компании таких как вовлеченность сотрудников, мотивация к работе и производительности труда.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Таким образом, анализ существующих решений и текущего состояния формирования здоровых привычек на ФГУП «Морсвязьспутник» подтверждает следующее: – ни одно из существующих на рынке решений не обеспечивает комплексный подход к формированию профессиональных и личностных привычек с учетом специфики государственного предприятия; – текущая ситуация содержит пять системных проблем, из которых наиболее критична отсутствие корпоративных цифровых решений и наставнической поддержки; – разработка методики формирования здоровых привычек средствами игровой психологии и наставнической поддержки в чат-ботах является приоритетным направлением развития цифровых сервисов ФГУП «Морсвязьспутник».</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Выявленные проблемы и пробелы определяют конкретные направления разработки предложений по улучшению, рассматриваемых в следующем разделе.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lineRule="auto" w:line="360" w:before="0" w:after="0"/>
        <w:jc w:val="center"/>
        <w:rPr>
          <w:rFonts w:ascii="Times New Roman" w:hAnsi="Times New Roman" w:cs="Times New Roman"/>
          <w:b/>
          <w:color w:themeColor="text1" w:val="000000"/>
          <w:sz w:val="28"/>
        </w:rPr>
      </w:pPr>
      <w:bookmarkStart w:id="3" w:name="_Toc225453955"/>
      <w:r>
        <w:rPr>
          <w:rFonts w:cs="Times New Roman" w:ascii="Times New Roman" w:hAnsi="Times New Roman"/>
          <w:b/>
          <w:color w:themeColor="text1" w:val="000000"/>
          <w:sz w:val="28"/>
        </w:rPr>
        <w:t>3. Разработка методики и предложения по внедрению</w:t>
      </w:r>
      <w:bookmarkEnd w:id="3"/>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Результаты анализа показали, что ключевым узким местом в формировании здоровых привычек среди сотрудников ФГУП «Морсвязьспутник» является отсутствие системного подхода и цифровых инструментов поддержки. В данном разделе сформулированы конкретные предложения по разработке методики формирования здоровых привычек с применением игровой психологии и наставнической поддержки в чат-ботах, а также описана целевая модель взаимодействия.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Предлагаемое решение основано на концепции персонализированной цифровой поддержки: чат-бот автоматически выполняет мотивационные и обучающие функции, тогда как система сохраняет возможность индивидуальной настройки под цели каждого сотрудника. Такой подход позволяет совместить универсальность цифрового решения с персонализацией под конкретные задачи формирования привычек.</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Концепция методики включает четыре ключевых направления:</w:t>
      </w:r>
    </w:p>
    <w:p>
      <w:pPr>
        <w:pStyle w:val="Normal"/>
        <w:numPr>
          <w:ilvl w:val="0"/>
          <w:numId w:val="3"/>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игровая механика мотивации - применение элементов геймификации (баллы, уровни, достижения, рейтинги) для стимулирования формирования устойчивых привычек;</w:t>
      </w:r>
    </w:p>
    <w:p>
      <w:pPr>
        <w:pStyle w:val="Normal"/>
        <w:numPr>
          <w:ilvl w:val="0"/>
          <w:numId w:val="3"/>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система персонального наставничества - автоматизированная поддержка через чат-бот с элементами коучинга, советами и персональными рекомендациями;</w:t>
      </w:r>
    </w:p>
    <w:p>
      <w:pPr>
        <w:pStyle w:val="Normal"/>
        <w:numPr>
          <w:ilvl w:val="0"/>
          <w:numId w:val="3"/>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адаптивное обучение привычкам - индивидуальные программы формирования привычек с учетом профессиональной специфики сотрудников предприятия;</w:t>
      </w:r>
    </w:p>
    <w:p>
      <w:pPr>
        <w:pStyle w:val="Normal"/>
        <w:numPr>
          <w:ilvl w:val="0"/>
          <w:numId w:val="3"/>
        </w:numPr>
        <w:spacing w:lineRule="auto" w:line="360" w:before="0" w:after="0"/>
        <w:ind w:firstLine="68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система обратной связи и аналитики - сбор данных о прогрессе, визуализация результатов и предоставление рекомендаций по улучшению.</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Центральным элементом архитектуры является корпоративный чат-бот с интеграцией в существующие цифровые платформы предприятия. Решение будет функционировать как самостоятельный модуль с возможностью интеграции в мессенджеры и корпоративные порталы.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Улучшенная модель поддержки здоровых привычек предполагает четыре взаимодействующих компонента: сотрудник, чат-бот (автоматический слой), </w:t>
      </w:r>
      <w:r>
        <w:rPr>
          <w:rFonts w:eastAsia="Times New Roman" w:cs="Times New Roman" w:ascii="Times New Roman" w:hAnsi="Times New Roman"/>
          <w:sz w:val="28"/>
          <w:szCs w:val="28"/>
          <w:lang w:val="en-US"/>
        </w:rPr>
        <w:t>HR</w:t>
      </w:r>
      <w:r>
        <w:rPr>
          <w:rFonts w:eastAsia="Times New Roman" w:cs="Times New Roman" w:ascii="Times New Roman" w:hAnsi="Times New Roman"/>
          <w:sz w:val="28"/>
          <w:szCs w:val="28"/>
        </w:rPr>
        <w:t xml:space="preserve">-служба и система аналитики. Принципиальное отличие от текущей ситуации состоит в том, что чат-бот берёт на себя все рутинные действия по мотивации и поддержке, тогда как </w:t>
      </w:r>
      <w:r>
        <w:rPr>
          <w:rFonts w:eastAsia="Times New Roman" w:cs="Times New Roman" w:ascii="Times New Roman" w:hAnsi="Times New Roman"/>
          <w:sz w:val="28"/>
          <w:szCs w:val="28"/>
          <w:lang w:val="en-US"/>
        </w:rPr>
        <w:t>HR</w:t>
      </w:r>
      <w:r>
        <w:rPr>
          <w:rFonts w:eastAsia="Times New Roman" w:cs="Times New Roman" w:ascii="Times New Roman" w:hAnsi="Times New Roman"/>
          <w:sz w:val="28"/>
          <w:szCs w:val="28"/>
        </w:rPr>
        <w:t>-специалисты сосредотачиваются на стратегическом сопровождении и анализе эффективности программы.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Улучшенный процесс реализуется в следующей последовательности. Сотрудник взаимодействует с чат-ботом через выбранный канал связи (</w:t>
      </w:r>
      <w:r>
        <w:rPr>
          <w:rFonts w:eastAsia="Times New Roman" w:cs="Times New Roman" w:ascii="Times New Roman" w:hAnsi="Times New Roman"/>
          <w:sz w:val="28"/>
          <w:szCs w:val="28"/>
          <w:lang w:val="en-US"/>
        </w:rPr>
        <w:t>Telegram</w:t>
      </w:r>
      <w:r>
        <w:rPr>
          <w:rFonts w:eastAsia="Times New Roman" w:cs="Times New Roman" w:ascii="Times New Roman" w:hAnsi="Times New Roman"/>
          <w:sz w:val="28"/>
          <w:szCs w:val="28"/>
        </w:rPr>
        <w:t xml:space="preserve">, корпоративный мессенджер, веб-интерфейс). Чат-бот проводит начальную диагностику целей и предпочтений сотрудника, формирует индивидуальный план развития привычек. В процессе взаимодействия система применяет игровые элементы для поддержания мотивации, предоставляет персональные советы и отслеживает прогресс. При необходимости </w:t>
      </w:r>
      <w:r>
        <w:rPr>
          <w:rFonts w:eastAsia="Times New Roman" w:cs="Times New Roman" w:ascii="Times New Roman" w:hAnsi="Times New Roman"/>
          <w:sz w:val="28"/>
          <w:szCs w:val="28"/>
          <w:lang w:val="en-US"/>
        </w:rPr>
        <w:t>HR</w:t>
      </w:r>
      <w:r>
        <w:rPr>
          <w:rFonts w:eastAsia="Times New Roman" w:cs="Times New Roman" w:ascii="Times New Roman" w:hAnsi="Times New Roman"/>
          <w:sz w:val="28"/>
          <w:szCs w:val="28"/>
        </w:rPr>
        <w:t>-специалист получает агрегированные данные для анализа эффективности программы и корректировки подходов.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Автоматический слой чат-бота устраняет все пять проблемных узлов, выявленных в разделе 2: отсутствие системного подхода заменяется структурированной методикой, индивидуальный выбор инструментов - персонализированным взаимодействием, ограниченная игровая механика - комплексной геймификацией, отсутствие наставнической поддержки - автоматизированным коучингом, фрагментация данных - централизованной аналитикой.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реализации улучшенной модели предлагается разработать чат-бот модуль, включающий пять взаимосвязанных компонентов, описанных в таблице 6.</w:t>
      </w:r>
    </w:p>
    <w:p>
      <w:pPr>
        <w:pStyle w:val="Normal"/>
        <w:spacing w:lineRule="auto" w:line="360" w:before="0" w:after="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Таблица 6 - Состав и функции компонентов предлагаемого решения</w:t>
      </w:r>
    </w:p>
    <w:tbl>
      <w:tblPr>
        <w:tblW w:w="9638" w:type="dxa"/>
        <w:jc w:val="start"/>
        <w:tblInd w:w="0" w:type="dxa"/>
        <w:tblLayout w:type="fixed"/>
        <w:tblCellMar>
          <w:top w:w="0" w:type="dxa"/>
          <w:start w:w="0" w:type="dxa"/>
          <w:bottom w:w="120" w:type="dxa"/>
          <w:end w:w="180" w:type="dxa"/>
        </w:tblCellMar>
        <w:tblLook w:firstRow="1" w:noVBand="1" w:lastRow="0" w:firstColumn="1" w:lastColumn="0" w:noHBand="0" w:val="04a0"/>
      </w:tblPr>
      <w:tblGrid>
        <w:gridCol w:w="1863"/>
        <w:gridCol w:w="3046"/>
        <w:gridCol w:w="2219"/>
        <w:gridCol w:w="2510"/>
      </w:tblGrid>
      <w:tr>
        <w:trPr>
          <w:tblHeader w:val="true"/>
        </w:trPr>
        <w:tc>
          <w:tcPr>
            <w:tcW w:w="1863"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Компонент</w:t>
            </w:r>
          </w:p>
        </w:tc>
        <w:tc>
          <w:tcPr>
            <w:tcW w:w="3046"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Функции</w:t>
            </w:r>
          </w:p>
        </w:tc>
        <w:tc>
          <w:tcPr>
            <w:tcW w:w="2219" w:type="dxa"/>
            <w:tcBorders>
              <w:bottom w:val="single" w:sz="6" w:space="0" w:color="E5E5E5"/>
              <w:end w:val="single" w:sz="6" w:space="0" w:color="E5E5E5"/>
            </w:tcBorders>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Технология</w:t>
            </w:r>
          </w:p>
        </w:tc>
        <w:tc>
          <w:tcPr>
            <w:tcW w:w="2510" w:type="dxa"/>
            <w:tcBorders>
              <w:bottom w:val="single" w:sz="6" w:space="0" w:color="E5E5E5"/>
            </w:tcBorders>
            <w:tcMar>
              <w:end w:w="0" w:type="dxa"/>
            </w:tcMar>
            <w:vAlign w:val="center"/>
          </w:tcPr>
          <w:p>
            <w:pPr>
              <w:pStyle w:val="user4"/>
              <w:spacing w:lineRule="auto" w:line="341" w:before="0" w:after="0"/>
              <w:jc w:val="start"/>
              <w:rPr>
                <w:rFonts w:ascii="Times New Roman" w:hAnsi="Times New Roman" w:cs="Times New Roman"/>
                <w:color w:val="262626"/>
                <w:sz w:val="28"/>
                <w:szCs w:val="28"/>
              </w:rPr>
            </w:pPr>
            <w:r>
              <w:rPr>
                <w:rFonts w:cs="Times New Roman" w:ascii="Times New Roman" w:hAnsi="Times New Roman"/>
                <w:color w:val="262626"/>
                <w:sz w:val="28"/>
                <w:szCs w:val="28"/>
              </w:rPr>
              <w:t>Ожидаемый эффект</w:t>
            </w:r>
          </w:p>
        </w:tc>
      </w:tr>
      <w:tr>
        <w:trPr/>
        <w:tc>
          <w:tcPr>
            <w:tcW w:w="1863"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Модуль игровой механики</w:t>
            </w:r>
          </w:p>
        </w:tc>
        <w:tc>
          <w:tcPr>
            <w:tcW w:w="3046"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Применение баллов, уровней, достижений и рейтингов для мотивации формирования привычек</w:t>
            </w:r>
          </w:p>
        </w:tc>
        <w:tc>
          <w:tcPr>
            <w:tcW w:w="2219"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lang w:val="en-US"/>
              </w:rPr>
            </w:pPr>
            <w:r>
              <w:rPr>
                <w:rFonts w:cs="Times New Roman" w:ascii="Times New Roman" w:hAnsi="Times New Roman"/>
                <w:sz w:val="28"/>
                <w:szCs w:val="28"/>
                <w:lang w:val="en-US"/>
              </w:rPr>
              <w:t>Telegram Bot API / VK Bot Framework</w:t>
            </w:r>
          </w:p>
        </w:tc>
        <w:tc>
          <w:tcPr>
            <w:tcW w:w="2510" w:type="dxa"/>
            <w:tcBorders>
              <w:bottom w:val="single" w:sz="6" w:space="0" w:color="E5E5E5"/>
            </w:tcBorders>
            <w:tcMar>
              <w:end w:w="0" w:type="dxa"/>
            </w:tcMar>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Повышение вовлеченности; устойчивость формируемых привычек</w:t>
            </w:r>
          </w:p>
        </w:tc>
      </w:tr>
      <w:tr>
        <w:trPr/>
        <w:tc>
          <w:tcPr>
            <w:tcW w:w="1863"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Модуль наставнической поддержки</w:t>
            </w:r>
          </w:p>
        </w:tc>
        <w:tc>
          <w:tcPr>
            <w:tcW w:w="3046"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Автоматические советы, персональные рекомендации, коучинговые вопросы</w:t>
            </w:r>
          </w:p>
        </w:tc>
        <w:tc>
          <w:tcPr>
            <w:tcW w:w="2219"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Искусственный интеллект (NLP), диалоговые движки</w:t>
            </w:r>
          </w:p>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r>
          </w:p>
        </w:tc>
        <w:tc>
          <w:tcPr>
            <w:tcW w:w="2510" w:type="dxa"/>
            <w:tcBorders>
              <w:bottom w:val="single" w:sz="6" w:space="0" w:color="E5E5E5"/>
            </w:tcBorders>
            <w:tcMar>
              <w:end w:w="0" w:type="dxa"/>
            </w:tcMar>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Индивидуальный подход; постоянная поддержка сотрудников</w:t>
            </w:r>
          </w:p>
        </w:tc>
      </w:tr>
      <w:tr>
        <w:trPr/>
        <w:tc>
          <w:tcPr>
            <w:tcW w:w="1863"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Модуль адаптивного обучения</w:t>
            </w:r>
          </w:p>
        </w:tc>
        <w:tc>
          <w:tcPr>
            <w:tcW w:w="3046"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Формирование персональных программ с учетом профессиональной специфики</w:t>
            </w:r>
          </w:p>
        </w:tc>
        <w:tc>
          <w:tcPr>
            <w:tcW w:w="2219"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Алгоритмы машинного обучения, адаптивные интерфейсы</w:t>
            </w:r>
          </w:p>
        </w:tc>
        <w:tc>
          <w:tcPr>
            <w:tcW w:w="2510" w:type="dxa"/>
            <w:tcBorders>
              <w:bottom w:val="single" w:sz="6" w:space="0" w:color="E5E5E5"/>
            </w:tcBorders>
            <w:tcMar>
              <w:end w:w="0" w:type="dxa"/>
            </w:tcMar>
            <w:vAlign w:val="center"/>
          </w:tcPr>
          <w:p>
            <w:pPr>
              <w:pStyle w:val="user3"/>
              <w:spacing w:lineRule="auto" w:line="341" w:before="0" w:after="0"/>
              <w:ind w:start="98"/>
              <w:rPr>
                <w:rFonts w:ascii="Times New Roman" w:hAnsi="Times New Roman" w:cs="Times New Roman"/>
                <w:sz w:val="28"/>
                <w:szCs w:val="28"/>
              </w:rPr>
            </w:pPr>
            <w:r>
              <w:rPr>
                <w:rFonts w:cs="Times New Roman" w:ascii="Times New Roman" w:hAnsi="Times New Roman"/>
                <w:sz w:val="28"/>
                <w:szCs w:val="28"/>
              </w:rPr>
              <w:t>Соответствие специфике предприятия; эффективность обучения</w:t>
            </w:r>
          </w:p>
        </w:tc>
      </w:tr>
      <w:tr>
        <w:trPr/>
        <w:tc>
          <w:tcPr>
            <w:tcW w:w="1863"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Модуль обратной связи</w:t>
            </w:r>
          </w:p>
        </w:tc>
        <w:tc>
          <w:tcPr>
            <w:tcW w:w="3046"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Сбор данных о прогрессе, визуализация результатов, рекомендации</w:t>
            </w:r>
          </w:p>
        </w:tc>
        <w:tc>
          <w:tcPr>
            <w:tcW w:w="2219" w:type="dxa"/>
            <w:tcBorders>
              <w:bottom w:val="single" w:sz="6" w:space="0" w:color="E5E5E5"/>
              <w:end w:val="single" w:sz="6" w:space="0" w:color="E5E5E5"/>
            </w:tcBorders>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Web-аналитика, системы визуализации данных</w:t>
            </w:r>
          </w:p>
        </w:tc>
        <w:tc>
          <w:tcPr>
            <w:tcW w:w="2510" w:type="dxa"/>
            <w:tcBorders>
              <w:bottom w:val="single" w:sz="6" w:space="0" w:color="E5E5E5"/>
            </w:tcBorders>
            <w:tcMar>
              <w:end w:w="0" w:type="dxa"/>
            </w:tcMar>
            <w:vAlign w:val="center"/>
          </w:tcPr>
          <w:p>
            <w:pPr>
              <w:pStyle w:val="user3"/>
              <w:spacing w:lineRule="auto" w:line="341" w:before="0" w:after="0"/>
              <w:ind w:start="98"/>
              <w:rPr>
                <w:rFonts w:ascii="Times New Roman" w:hAnsi="Times New Roman" w:cs="Times New Roman"/>
                <w:sz w:val="28"/>
                <w:szCs w:val="28"/>
              </w:rPr>
            </w:pPr>
            <w:r>
              <w:rPr>
                <w:rFonts w:cs="Times New Roman" w:ascii="Times New Roman" w:hAnsi="Times New Roman"/>
                <w:sz w:val="28"/>
                <w:szCs w:val="28"/>
              </w:rPr>
              <w:t>Измеримость эффективности; основа для корректировки подходов</w:t>
            </w:r>
          </w:p>
        </w:tc>
      </w:tr>
      <w:tr>
        <w:trPr/>
        <w:tc>
          <w:tcPr>
            <w:tcW w:w="1863" w:type="dxa"/>
            <w:tcBorders>
              <w:end w:val="single" w:sz="6" w:space="0" w:color="E5E5E5"/>
            </w:tcBorders>
            <w:tcMar>
              <w:bottom w:w="0" w:type="dxa"/>
            </w:tcMar>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Корпоративный интерфейс</w:t>
            </w:r>
          </w:p>
        </w:tc>
        <w:tc>
          <w:tcPr>
            <w:tcW w:w="3046" w:type="dxa"/>
            <w:tcBorders>
              <w:end w:val="single" w:sz="6" w:space="0" w:color="E5E5E5"/>
            </w:tcBorders>
            <w:tcMar>
              <w:bottom w:w="0" w:type="dxa"/>
            </w:tcMar>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Интеграция с корпоративными системами, управление программой HR-специалистами</w:t>
            </w:r>
          </w:p>
        </w:tc>
        <w:tc>
          <w:tcPr>
            <w:tcW w:w="2219" w:type="dxa"/>
            <w:tcBorders>
              <w:end w:val="single" w:sz="6" w:space="0" w:color="E5E5E5"/>
            </w:tcBorders>
            <w:tcMar>
              <w:bottom w:w="0" w:type="dxa"/>
            </w:tcMar>
            <w:vAlign w:val="center"/>
          </w:tcPr>
          <w:p>
            <w:pPr>
              <w:pStyle w:val="user3"/>
              <w:spacing w:lineRule="auto" w:line="341" w:before="0" w:after="0"/>
              <w:rPr>
                <w:rFonts w:ascii="Times New Roman" w:hAnsi="Times New Roman" w:cs="Times New Roman"/>
                <w:sz w:val="28"/>
                <w:szCs w:val="28"/>
              </w:rPr>
            </w:pPr>
            <w:r>
              <w:rPr>
                <w:rFonts w:cs="Times New Roman" w:ascii="Times New Roman" w:hAnsi="Times New Roman"/>
                <w:sz w:val="28"/>
                <w:szCs w:val="28"/>
              </w:rPr>
              <w:t>REST API, корпоративные порталы</w:t>
            </w:r>
          </w:p>
        </w:tc>
        <w:tc>
          <w:tcPr>
            <w:tcW w:w="2510" w:type="dxa"/>
            <w:tcBorders>
              <w:top w:val="single" w:sz="2" w:space="0" w:color="E5E5E5"/>
              <w:start w:val="single" w:sz="2" w:space="0" w:color="E5E5E5"/>
              <w:bottom w:val="single" w:sz="2" w:space="0" w:color="E5E5E5"/>
              <w:end w:val="single" w:sz="2" w:space="0" w:color="E5E5E5"/>
            </w:tcBorders>
            <w:tcMar>
              <w:top w:w="120" w:type="dxa"/>
              <w:start w:w="180" w:type="dxa"/>
            </w:tcMar>
            <w:vAlign w:val="center"/>
          </w:tcPr>
          <w:p>
            <w:pPr>
              <w:pStyle w:val="user3"/>
              <w:spacing w:lineRule="auto" w:line="341" w:before="0" w:after="0"/>
              <w:ind w:start="-75"/>
              <w:rPr>
                <w:rFonts w:ascii="Times New Roman" w:hAnsi="Times New Roman" w:cs="Times New Roman"/>
                <w:sz w:val="28"/>
                <w:szCs w:val="28"/>
              </w:rPr>
            </w:pPr>
            <w:r>
              <w:rPr>
                <w:rFonts w:cs="Times New Roman" w:ascii="Times New Roman" w:hAnsi="Times New Roman"/>
                <w:sz w:val="28"/>
                <w:szCs w:val="28"/>
              </w:rPr>
              <w:t>Удобство использования; соответствие корпоративным стандартам</w:t>
            </w:r>
          </w:p>
        </w:tc>
      </w:tr>
    </w:tbl>
    <w:p>
      <w:pPr>
        <w:pStyle w:val="Normal"/>
        <w:spacing w:lineRule="auto" w:line="360" w:before="0" w:after="0"/>
        <w:ind w:firstLine="709"/>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Окончание табл. 6</w:t>
      </w:r>
    </w:p>
    <w:p>
      <w:pPr>
        <w:pStyle w:val="Normal"/>
        <w:spacing w:lineRule="auto" w:line="360" w:before="0" w:after="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Все компоненты интегрированы через единое </w:t>
      </w:r>
      <w:r>
        <w:rPr>
          <w:rFonts w:eastAsia="Times New Roman" w:cs="Times New Roman" w:ascii="Times New Roman" w:hAnsi="Times New Roman"/>
          <w:sz w:val="28"/>
          <w:szCs w:val="28"/>
          <w:lang w:val="en-US"/>
        </w:rPr>
        <w:t>API</w:t>
      </w:r>
      <w:r>
        <w:rPr>
          <w:rFonts w:eastAsia="Times New Roman" w:cs="Times New Roman" w:ascii="Times New Roman" w:hAnsi="Times New Roman"/>
          <w:sz w:val="28"/>
          <w:szCs w:val="28"/>
        </w:rPr>
        <w:t>; данные хранятся в защищенной базе данных с соблюдением требований информационной безопасности государственного предприятия. Серверная часть обеспечивает персонализацию взаимодействия на основе алгоритмов, учитывающих цели сотрудника, профессиональную специфику, предыдущий опыт и уровень вовлеченности.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Таким образом, предложенный комплекс изменений направлен на устранение всех пяти проблем, выявленных в разделе 2, и включает: – внедрение системного подхода к формированию здоровых привычек через цифровую платформу; – применение игровой механики как основного инструмента мотивации сотрудников; – обеспечение персональной наставнической поддержки через чат-бот технологии; – переход к гибридной модели поддержки: от индивидуального выбора к структурированной методике с возможностью аналитики.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Предложенные решения реализуемы на базе отечественных технологических стеков, соответствуют требованиям информационной безопасности государственных организаций и могут быть поэтапно внедрены в рамках существующих ИТ-ресурсов ФГУП «Морсвязьспутник».</w:t>
      </w:r>
    </w:p>
    <w:p>
      <w:pPr>
        <w:pStyle w:val="Normal"/>
        <w:spacing w:lineRule="auto" w:line="24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Heading1"/>
        <w:spacing w:lineRule="auto" w:line="360" w:before="0" w:after="0"/>
        <w:jc w:val="center"/>
        <w:rPr>
          <w:rFonts w:ascii="Times New Roman" w:hAnsi="Times New Roman" w:cs="Times New Roman"/>
          <w:b/>
          <w:color w:themeColor="text1" w:val="000000"/>
          <w:sz w:val="28"/>
        </w:rPr>
      </w:pPr>
      <w:bookmarkStart w:id="4" w:name="_Toc225453956"/>
      <w:r>
        <w:rPr>
          <w:rFonts w:cs="Times New Roman" w:ascii="Times New Roman" w:hAnsi="Times New Roman"/>
          <w:b/>
          <w:color w:themeColor="text1" w:val="000000"/>
          <w:sz w:val="28"/>
        </w:rPr>
        <w:t>ЗАКЛЮЧЕНИЕ</w:t>
      </w:r>
      <w:bookmarkEnd w:id="4"/>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Производственная практика (Технологическая) проходила в период с 2 марта по 29 марта 2026 года на базе предприятия ФГУП «Морсвязьспутник» - государственного унитарного предприятия, специализирующегося на предоставлении спутниковых телекоммуникационных услуг и разработке цифровых решений в сфере связи. Объектом исследования выступило ФГУП «Морсвязьспутник», предметом - процессы формирования здоровых привычек у сотрудников с использованием игровой психологии и наставнической поддержки в чат-ботах.</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В ходе практики в соответствии с индивидуальным заданием и рабочим графиком были решены все поставленные задачи.</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В рамках первого раздела была изучена организационно-экономическая характеристика ФГУП «Морсвязьспутник». Предприятие является ключевым оператором морской спутниковой связи в Российской Федерации. Анализ текущего состояния показал отсутствие системных подходов к формированию здоровых привычек среди сотрудников, что определяет необходимость разработки специализированных цифровых решений.</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В рамках второго раздела был проведен анализ существующих подходов к формированию здоровых привычек с использованием цифровых технологий. Рассмотрены мобильные приложения для отслеживания привычек, игровые платформы мотивации, чат-боты поддержки и комплексные wellness-сервисы. Установлено, что ни одно из доступных решений не обеспечивает в полной мере комплексный подход к формированию профессиональных и личностных привычек с учетом специфики государственного предприятия. Анализ текущего состояния выявил пять системных проблем: отсутствие корпоративных цифровых решений, индивидуальный выбор инструментов сотрудниками, ограниченная игровая механика, отсутствие наставнической поддержки и фрагментация данных о прогрессе.</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В рамках третьего раздела были разработаны конкретные предложения по созданию методики формирования здоровых привычек с применением инновационных технологий. Разработана концепция цифрового решения, включающего четыре модуля: игровой механики мотивации, наставнической поддержки, адаптивного обучения и системы обратной связи. Предложена архитектура чат-бота, интегрированного в корпоративные платформы предприятия. Целевая модель взаимодействия описана в виде схемы взаимодействия компонентов. Сравнительный анализ показал, что переход к системному подходу позволит повысить вовлеченность сотрудников и измеримость эффективности программ формирования привычек.</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По итогам практики были получены следующие результаты: – изучена организационная структура, финансово-хозяйственная деятельность и специфика цифровых решений ФГУП «Морсвязьспутник»; – проведен сравнительный анализ пяти классов цифровых решений для формирования здоровых привычек; – исследованы представления текущего и целевого взаимодействия по поддержке формирования привычек; – предложена архитектура цифрового решения на основе современных технологий чат-бот платформ; – рассчитаны ожидаемые качественные эффекты: повышение вовлеченности сотрудников, улучшение корпоративной культуры и измеримость эффективности программ поддержки.</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В ходе прохождения практики были приобретены и закреплены следующие профессиональные навыки и компетенции: – управление информационными ресурсами и ИС предприятия (ПК-1) - через изучение существующих цифровых решений ФГУП «Морсвязьспутник» и разработку предложений по их совершенствованию; – применение современных методов прикладной информатики для автоматизации задач (ПК-2) - через проектирование методики формирования привычек и выбор технологий реализации; – проектирование архитектуры ИС и принятие проектных решений (ПК-3) - через разработку многокомпонентной архитектуры предлагаемого решения; – проектирование информационных процессов с использованием инновационных инструментов (ПК-4) - через моделирование взаимодействия компонентов и применение игровой механики; – определение потребностей пользователей и разработка концепции системы (ПК-5) - через анализ проблем формирования привычек и обоснование необходимости цифрового решения; – критический анализ проблемных ситуаций и выработка стратегии действий (УК-1) - через системный подход к выявлению и устранению узких мест в поддержке формирования привычек.</w:t>
      </w:r>
    </w:p>
    <w:p>
      <w:pPr>
        <w:pStyle w:val="Normal"/>
        <w:spacing w:lineRule="auto" w:line="360" w:before="0" w:after="0"/>
        <w:ind w:firstLine="709"/>
        <w:jc w:val="both"/>
        <w:rPr>
          <w:rFonts w:ascii="Times New Roman" w:hAnsi="Times New Roman" w:cs="Times New Roman"/>
          <w:sz w:val="28"/>
        </w:rPr>
      </w:pPr>
      <w:r>
        <w:rPr>
          <w:rFonts w:cs="Times New Roman" w:ascii="Times New Roman" w:hAnsi="Times New Roman"/>
          <w:sz w:val="28"/>
        </w:rPr>
        <w:t>Практика позволила связать теоретические знания в области информационных систем цифровой экономики с реальными задачами действующего предприятия. Разработанные предложения могут быть использованы ФГУП «Морсвязьспутник» как основа для технического задания на разработку цифрового решения по формированию здоровых привычек сотрудников, что подтверждает практическую значимость проведённого исследования.</w:t>
      </w:r>
    </w:p>
    <w:p>
      <w:pPr>
        <w:pStyle w:val="Normal"/>
        <w:spacing w:lineRule="auto" w:line="240" w:before="0" w:after="0"/>
        <w:rPr>
          <w:rFonts w:ascii="Times New Roman" w:hAnsi="Times New Roman" w:cs="Times New Roman"/>
          <w:sz w:val="28"/>
        </w:rPr>
      </w:pPr>
      <w:r>
        <w:rPr>
          <w:rFonts w:cs="Times New Roman" w:ascii="Times New Roman" w:hAnsi="Times New Roman"/>
          <w:sz w:val="28"/>
        </w:rPr>
      </w:r>
      <w:r>
        <w:br w:type="page"/>
      </w:r>
    </w:p>
    <w:p>
      <w:pPr>
        <w:pStyle w:val="Heading1"/>
        <w:spacing w:lineRule="auto" w:line="360" w:before="0" w:after="0"/>
        <w:jc w:val="center"/>
        <w:rPr>
          <w:rFonts w:ascii="Times New Roman" w:hAnsi="Times New Roman" w:cs="Times New Roman"/>
          <w:b/>
          <w:color w:themeColor="text1" w:val="000000"/>
          <w:sz w:val="28"/>
        </w:rPr>
      </w:pPr>
      <w:bookmarkStart w:id="5" w:name="_Toc225453957"/>
      <w:r>
        <w:rPr>
          <w:rFonts w:cs="Times New Roman" w:ascii="Times New Roman" w:hAnsi="Times New Roman"/>
          <w:b/>
          <w:color w:themeColor="text1" w:val="000000"/>
          <w:sz w:val="28"/>
        </w:rPr>
        <w:t>СПИСОК ИСПОЛЬЗУЕМЫХ ИСТОЧНИКОВ</w:t>
      </w:r>
      <w:bookmarkEnd w:id="5"/>
    </w:p>
    <w:p>
      <w:pPr>
        <w:pStyle w:val="ListParagraph"/>
        <w:numPr>
          <w:ilvl w:val="0"/>
          <w:numId w:val="4"/>
        </w:numPr>
        <w:tabs>
          <w:tab w:val="clear" w:pos="708"/>
          <w:tab w:val="left" w:pos="60" w:leader="none"/>
          <w:tab w:val="left" w:pos="855" w:leader="none"/>
        </w:tabs>
        <w:spacing w:lineRule="auto" w:line="360"/>
        <w:ind w:firstLine="709" w:start="0"/>
        <w:jc w:val="both"/>
        <w:rPr/>
      </w:pPr>
      <w:r>
        <w:rPr/>
        <w:t>Федеральный закон от 21.11.1996 № 129-ФЗ «О государственной регистрации юридических лиц и индивидуальных предпринимателей» (с последними изменениями) // СПС КонсультантПлюс.</w:t>
      </w:r>
    </w:p>
    <w:p>
      <w:pPr>
        <w:pStyle w:val="ListParagraph"/>
        <w:numPr>
          <w:ilvl w:val="0"/>
          <w:numId w:val="4"/>
        </w:numPr>
        <w:tabs>
          <w:tab w:val="clear" w:pos="708"/>
          <w:tab w:val="left" w:pos="60" w:leader="none"/>
          <w:tab w:val="left" w:pos="855" w:leader="none"/>
        </w:tabs>
        <w:spacing w:lineRule="auto" w:line="360"/>
        <w:ind w:firstLine="709" w:start="0"/>
        <w:jc w:val="both"/>
        <w:rPr/>
      </w:pPr>
      <w:r>
        <w:rPr/>
        <w:t>Постановление Правительства РФ от 16.07.2021 № 1185 «Об утверждении Положения о федеральном государственном унитарном предприятии» // Российская газета. - 2021. - № 142.</w:t>
      </w:r>
    </w:p>
    <w:p>
      <w:pPr>
        <w:pStyle w:val="ListParagraph"/>
        <w:numPr>
          <w:ilvl w:val="0"/>
          <w:numId w:val="4"/>
        </w:numPr>
        <w:tabs>
          <w:tab w:val="clear" w:pos="708"/>
          <w:tab w:val="left" w:pos="60" w:leader="none"/>
          <w:tab w:val="left" w:pos="855" w:leader="none"/>
        </w:tabs>
        <w:spacing w:lineRule="auto" w:line="360"/>
        <w:ind w:firstLine="709" w:start="0"/>
        <w:jc w:val="both"/>
        <w:rPr/>
      </w:pPr>
      <w:r>
        <w:rPr/>
        <w:t>Официальный сайт ФГУП «Морсвязьспутник» [Электронный ресурс]. - URL: https://www.m</w:t>
      </w:r>
      <w:r>
        <w:rPr>
          <w:lang w:val="en-US"/>
        </w:rPr>
        <w:t>arsat</w:t>
      </w:r>
      <w:r>
        <w:rPr/>
        <w:t>.ru/ (дата обращения: 21.03.2026).</w:t>
      </w:r>
    </w:p>
    <w:p>
      <w:pPr>
        <w:pStyle w:val="ListParagraph"/>
        <w:numPr>
          <w:ilvl w:val="0"/>
          <w:numId w:val="4"/>
        </w:numPr>
        <w:tabs>
          <w:tab w:val="clear" w:pos="708"/>
          <w:tab w:val="left" w:pos="60" w:leader="none"/>
          <w:tab w:val="left" w:pos="855" w:leader="none"/>
        </w:tabs>
        <w:spacing w:lineRule="auto" w:line="360"/>
        <w:ind w:firstLine="709" w:start="0"/>
        <w:jc w:val="both"/>
        <w:rPr/>
      </w:pPr>
      <w:r>
        <w:rPr/>
        <w:t>ГОСТ Р ИСО/МЭК 12207-2010. Системы и программная инженерия. Процессы жизненного цикла программных средств. - М.: Стандартинформ, 2011. - 36 с.</w:t>
      </w:r>
    </w:p>
    <w:p>
      <w:pPr>
        <w:pStyle w:val="ListParagraph"/>
        <w:numPr>
          <w:ilvl w:val="0"/>
          <w:numId w:val="4"/>
        </w:numPr>
        <w:tabs>
          <w:tab w:val="clear" w:pos="708"/>
          <w:tab w:val="left" w:pos="60" w:leader="none"/>
          <w:tab w:val="left" w:pos="855" w:leader="none"/>
        </w:tabs>
        <w:spacing w:lineRule="auto" w:line="360"/>
        <w:ind w:firstLine="709" w:start="0"/>
        <w:jc w:val="both"/>
        <w:rPr/>
      </w:pPr>
      <w:r>
        <w:rPr>
          <w:lang w:val="en-US"/>
        </w:rPr>
        <w:t>Hamari J., Koivisto J., Sarsa H. Does gamification work? A literature review of empirical studies on gamification // Proceedings of the 47th Hawaii International Conference on System Sciences. - 2014. - P. 3018-3027.</w:t>
      </w:r>
    </w:p>
    <w:p>
      <w:pPr>
        <w:pStyle w:val="ListParagraph"/>
        <w:numPr>
          <w:ilvl w:val="0"/>
          <w:numId w:val="4"/>
        </w:numPr>
        <w:tabs>
          <w:tab w:val="clear" w:pos="708"/>
          <w:tab w:val="left" w:pos="60" w:leader="none"/>
          <w:tab w:val="left" w:pos="855" w:leader="none"/>
        </w:tabs>
        <w:spacing w:lineRule="auto" w:line="360"/>
        <w:ind w:firstLine="709" w:start="0"/>
        <w:jc w:val="both"/>
        <w:rPr/>
      </w:pPr>
      <w:r>
        <w:rPr>
          <w:lang w:val="en-US"/>
        </w:rPr>
        <w:t>Ryan R.M., Deci E.L. Self-determination theory: Basic psychological needs in motivation, development, and wellness // New York: Guilford Press, 2017. - 542 p.</w:t>
      </w:r>
    </w:p>
    <w:p>
      <w:pPr>
        <w:pStyle w:val="ListParagraph"/>
        <w:numPr>
          <w:ilvl w:val="0"/>
          <w:numId w:val="4"/>
        </w:numPr>
        <w:tabs>
          <w:tab w:val="clear" w:pos="708"/>
          <w:tab w:val="left" w:pos="60" w:leader="none"/>
          <w:tab w:val="left" w:pos="855" w:leader="none"/>
        </w:tabs>
        <w:spacing w:lineRule="auto" w:line="360"/>
        <w:ind w:firstLine="709" w:start="0"/>
        <w:jc w:val="both"/>
        <w:rPr>
          <w:lang w:val="en-US"/>
        </w:rPr>
      </w:pPr>
      <w:r>
        <w:rPr>
          <w:lang w:val="en-US"/>
        </w:rPr>
        <w:t>Deterding S., Dixon D., Khaled R., Nacke L. From game design elements to gamefulness: defining "gamification" // Proceedings of the 15th International Academic MindTrek Conference. - 2011. - P. 9-15.</w:t>
      </w:r>
    </w:p>
    <w:p>
      <w:pPr>
        <w:pStyle w:val="ListParagraph"/>
        <w:numPr>
          <w:ilvl w:val="0"/>
          <w:numId w:val="4"/>
        </w:numPr>
        <w:tabs>
          <w:tab w:val="clear" w:pos="708"/>
          <w:tab w:val="left" w:pos="60" w:leader="none"/>
          <w:tab w:val="left" w:pos="855" w:leader="none"/>
        </w:tabs>
        <w:spacing w:lineRule="auto" w:line="360"/>
        <w:ind w:firstLine="709" w:start="0"/>
        <w:jc w:val="both"/>
        <w:rPr/>
      </w:pPr>
      <w:r>
        <w:rPr/>
        <w:t>Шекшня Е.А., Баранов А.В. Цифровая трансформация бизнеса: стратегии и практики // Экономика и менеджмент систем бизнеса. - 2022. - № 3(37). - С. 45-58.</w:t>
      </w:r>
    </w:p>
    <w:p>
      <w:pPr>
        <w:pStyle w:val="ListParagraph"/>
        <w:numPr>
          <w:ilvl w:val="0"/>
          <w:numId w:val="4"/>
        </w:numPr>
        <w:tabs>
          <w:tab w:val="clear" w:pos="708"/>
          <w:tab w:val="left" w:pos="60" w:leader="none"/>
          <w:tab w:val="left" w:pos="855" w:leader="none"/>
        </w:tabs>
        <w:spacing w:lineRule="auto" w:line="360"/>
        <w:ind w:firstLine="709" w:start="0"/>
        <w:jc w:val="both"/>
        <w:rPr>
          <w:lang w:val="en-US"/>
        </w:rPr>
      </w:pPr>
      <w:r>
        <w:rPr>
          <w:lang w:val="en-US"/>
        </w:rPr>
        <w:t>World Health Organization. Mental health in the workplace // WHO Guidelines. - 2023.</w:t>
      </w:r>
    </w:p>
    <w:sectPr>
      <w:footerReference w:type="even" r:id="rId4"/>
      <w:footerReference w:type="default" r:id="rId5"/>
      <w:footerReference w:type="first" r:id="rId6"/>
      <w:type w:val="nextPage"/>
      <w:pgSz w:w="11906" w:h="16838"/>
      <w:pgMar w:left="1701" w:right="567" w:gutter="0" w:header="0" w:top="1134" w:footer="709" w:bottom="113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Calibri Light">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swiss"/>
    <w:pitch w:val="variable"/>
  </w:font>
  <w:font w:name="Times New Roman">
    <w:charset w:val="cc" w:characterSet="windows-1251"/>
    <w:family w:val="roman"/>
    <w:pitch w:val="variable"/>
  </w:font>
  <w:font w:name="Calibri">
    <w:charset w:val="cc" w:characterSet="windows-125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610534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0"/>
        </w:tabs>
        <w:ind w:start="1570" w:hanging="360"/>
      </w:pPr>
      <w:rPr/>
    </w:lvl>
    <w:lvl w:ilvl="1">
      <w:start w:val="1"/>
      <w:numFmt w:val="lowerLetter"/>
      <w:lvlText w:val="%2."/>
      <w:lvlJc w:val="start"/>
      <w:pPr>
        <w:tabs>
          <w:tab w:val="num" w:pos="0"/>
        </w:tabs>
        <w:ind w:start="2290" w:hanging="360"/>
      </w:pPr>
      <w:rPr/>
    </w:lvl>
    <w:lvl w:ilvl="2">
      <w:start w:val="1"/>
      <w:numFmt w:val="lowerRoman"/>
      <w:lvlText w:val="%3."/>
      <w:lvlJc w:val="end"/>
      <w:pPr>
        <w:tabs>
          <w:tab w:val="num" w:pos="0"/>
        </w:tabs>
        <w:ind w:start="3010" w:hanging="180"/>
      </w:pPr>
      <w:rPr/>
    </w:lvl>
    <w:lvl w:ilvl="3">
      <w:start w:val="1"/>
      <w:numFmt w:val="decimal"/>
      <w:lvlText w:val="%4."/>
      <w:lvlJc w:val="start"/>
      <w:pPr>
        <w:tabs>
          <w:tab w:val="num" w:pos="0"/>
        </w:tabs>
        <w:ind w:start="3730" w:hanging="360"/>
      </w:pPr>
      <w:rPr/>
    </w:lvl>
    <w:lvl w:ilvl="4">
      <w:start w:val="1"/>
      <w:numFmt w:val="lowerLetter"/>
      <w:lvlText w:val="%5."/>
      <w:lvlJc w:val="start"/>
      <w:pPr>
        <w:tabs>
          <w:tab w:val="num" w:pos="0"/>
        </w:tabs>
        <w:ind w:start="4450" w:hanging="360"/>
      </w:pPr>
      <w:rPr/>
    </w:lvl>
    <w:lvl w:ilvl="5">
      <w:start w:val="1"/>
      <w:numFmt w:val="lowerRoman"/>
      <w:lvlText w:val="%6."/>
      <w:lvlJc w:val="end"/>
      <w:pPr>
        <w:tabs>
          <w:tab w:val="num" w:pos="0"/>
        </w:tabs>
        <w:ind w:start="5170" w:hanging="180"/>
      </w:pPr>
      <w:rPr/>
    </w:lvl>
    <w:lvl w:ilvl="6">
      <w:start w:val="1"/>
      <w:numFmt w:val="decimal"/>
      <w:lvlText w:val="%7."/>
      <w:lvlJc w:val="start"/>
      <w:pPr>
        <w:tabs>
          <w:tab w:val="num" w:pos="0"/>
        </w:tabs>
        <w:ind w:start="5890" w:hanging="360"/>
      </w:pPr>
      <w:rPr/>
    </w:lvl>
    <w:lvl w:ilvl="7">
      <w:start w:val="1"/>
      <w:numFmt w:val="lowerLetter"/>
      <w:lvlText w:val="%8."/>
      <w:lvlJc w:val="start"/>
      <w:pPr>
        <w:tabs>
          <w:tab w:val="num" w:pos="0"/>
        </w:tabs>
        <w:ind w:start="6610" w:hanging="360"/>
      </w:pPr>
      <w:rPr/>
    </w:lvl>
    <w:lvl w:ilvl="8">
      <w:start w:val="1"/>
      <w:numFmt w:val="lowerRoman"/>
      <w:lvlText w:val="%9."/>
      <w:lvlJc w:val="end"/>
      <w:pPr>
        <w:tabs>
          <w:tab w:val="num" w:pos="0"/>
        </w:tabs>
        <w:ind w:start="733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69e7"/>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1d5bbe"/>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1d5bbe"/>
    <w:rPr>
      <w:rFonts w:ascii="Calibri Light" w:hAnsi="Calibri Light" w:eastAsia="" w:cs="" w:asciiTheme="majorHAnsi" w:cstheme="majorBidi" w:eastAsiaTheme="majorEastAsia" w:hAnsiTheme="majorHAnsi"/>
      <w:color w:themeColor="accent1" w:themeShade="bf" w:val="2E74B5"/>
      <w:sz w:val="32"/>
      <w:szCs w:val="32"/>
    </w:rPr>
  </w:style>
  <w:style w:type="character" w:styleId="Hyperlink">
    <w:name w:val="Hyperlink"/>
    <w:basedOn w:val="DefaultParagraphFont"/>
    <w:uiPriority w:val="99"/>
    <w:unhideWhenUsed/>
    <w:rsid w:val="001d5bbe"/>
    <w:rPr>
      <w:color w:themeColor="hyperlink" w:val="0563C1"/>
      <w:u w:val="single"/>
    </w:rPr>
  </w:style>
  <w:style w:type="character" w:styleId="Style13" w:customStyle="1">
    <w:name w:val="Верхний колонтитул Знак"/>
    <w:basedOn w:val="DefaultParagraphFont"/>
    <w:uiPriority w:val="99"/>
    <w:qFormat/>
    <w:rsid w:val="001d5bbe"/>
    <w:rPr/>
  </w:style>
  <w:style w:type="character" w:styleId="Style14" w:customStyle="1">
    <w:name w:val="Нижний колонтитул Знак"/>
    <w:basedOn w:val="DefaultParagraphFont"/>
    <w:uiPriority w:val="99"/>
    <w:qFormat/>
    <w:rsid w:val="001d5bbe"/>
    <w:rPr/>
  </w:style>
  <w:style w:type="character" w:styleId="Style15" w:customStyle="1">
    <w:name w:val="Ссылка указателя"/>
    <w:qFormat/>
    <w:rPr/>
  </w:style>
  <w:style w:type="character" w:styleId="Style16" w:customStyle="1">
    <w:name w:val="Символ нумерации"/>
    <w:qFormat/>
    <w:rPr/>
  </w:style>
  <w:style w:type="character" w:styleId="user" w:customStyle="1">
    <w:name w:val="Ссылка указателя (user)"/>
    <w:qFormat/>
    <w:rPr/>
  </w:style>
  <w:style w:type="character" w:styleId="user1" w:customStyle="1">
    <w:name w:val="Маркеры (user)"/>
    <w:qFormat/>
    <w:rPr>
      <w:rFonts w:ascii="OpenSymbol" w:hAnsi="OpenSymbol" w:eastAsia="OpenSymbol" w:cs="OpenSymbol"/>
    </w:rPr>
  </w:style>
  <w:style w:type="character" w:styleId="Emphasis">
    <w:name w:val="Emphasis"/>
    <w:qFormat/>
    <w:rPr>
      <w:i/>
      <w:iCs/>
    </w:rPr>
  </w:style>
  <w:style w:type="paragraph" w:styleId="Style17">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8">
    <w:name w:val="Указатель"/>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IndexHeading">
    <w:name w:val="index heading"/>
    <w:basedOn w:val="Title"/>
    <w:pPr/>
    <w:rPr/>
  </w:style>
  <w:style w:type="paragraph" w:styleId="TOCHeading">
    <w:name w:val="TOC Heading"/>
    <w:basedOn w:val="Heading1"/>
    <w:next w:val="Normal"/>
    <w:uiPriority w:val="39"/>
    <w:unhideWhenUsed/>
    <w:qFormat/>
    <w:rsid w:val="001d5bbe"/>
    <w:pPr>
      <w:outlineLvl w:val="9"/>
    </w:pPr>
    <w:rPr>
      <w:lang w:eastAsia="ru-RU"/>
    </w:rPr>
  </w:style>
  <w:style w:type="paragraph" w:styleId="TOC1">
    <w:name w:val="toc 1"/>
    <w:basedOn w:val="Normal"/>
    <w:next w:val="Normal"/>
    <w:autoRedefine/>
    <w:uiPriority w:val="39"/>
    <w:unhideWhenUsed/>
    <w:rsid w:val="001d5bbe"/>
    <w:pPr>
      <w:spacing w:before="0" w:after="100"/>
    </w:pPr>
    <w:rPr/>
  </w:style>
  <w:style w:type="paragraph" w:styleId="Style19" w:customStyle="1">
    <w:name w:val="Колонтитулы"/>
    <w:basedOn w:val="Normal"/>
    <w:qFormat/>
    <w:pPr/>
    <w:rPr/>
  </w:style>
  <w:style w:type="paragraph" w:styleId="user2" w:customStyle="1">
    <w:name w:val="Колонтитулы (user)"/>
    <w:basedOn w:val="Normal"/>
    <w:qFormat/>
    <w:pPr/>
    <w:rPr/>
  </w:style>
  <w:style w:type="paragraph" w:styleId="Header">
    <w:name w:val="header"/>
    <w:basedOn w:val="Normal"/>
    <w:link w:val="Style13"/>
    <w:uiPriority w:val="99"/>
    <w:unhideWhenUsed/>
    <w:rsid w:val="001d5bbe"/>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1d5bbe"/>
    <w:pPr>
      <w:tabs>
        <w:tab w:val="clear" w:pos="708"/>
        <w:tab w:val="center" w:pos="4677" w:leader="none"/>
        <w:tab w:val="right" w:pos="9355" w:leader="none"/>
      </w:tabs>
      <w:spacing w:lineRule="auto" w:line="240" w:before="0" w:after="0"/>
    </w:pPr>
    <w:rPr/>
  </w:style>
  <w:style w:type="paragraph" w:styleId="ListParagraph">
    <w:name w:val="List Paragraph"/>
    <w:qFormat/>
    <w:rsid w:val="00b528e3"/>
    <w:pPr>
      <w:widowControl/>
      <w:suppressAutoHyphens w:val="true"/>
      <w:bidi w:val="0"/>
      <w:spacing w:before="0" w:after="0"/>
      <w:jc w:val="start"/>
    </w:pPr>
    <w:rPr>
      <w:rFonts w:ascii="Times New Roman" w:hAnsi="Times New Roman" w:eastAsia="Times New Roman" w:cs="Times New Roman"/>
      <w:color w:val="auto"/>
      <w:kern w:val="0"/>
      <w:sz w:val="28"/>
      <w:szCs w:val="28"/>
      <w:lang w:eastAsia="ru-RU" w:val="ru-RU" w:bidi="ar-SA"/>
    </w:rPr>
  </w:style>
  <w:style w:type="paragraph" w:styleId="Style20" w:customStyle="1">
    <w:name w:val="Содержимое таблицы"/>
    <w:basedOn w:val="Normal"/>
    <w:qFormat/>
    <w:pPr>
      <w:widowControl w:val="false"/>
      <w:suppressLineNumbers/>
    </w:pPr>
    <w:rPr/>
  </w:style>
  <w:style w:type="paragraph" w:styleId="Style21" w:customStyle="1">
    <w:name w:val="Заголовок таблицы"/>
    <w:basedOn w:val="Style20"/>
    <w:qFormat/>
    <w:pPr>
      <w:jc w:val="center"/>
    </w:pPr>
    <w:rPr>
      <w:b/>
      <w:bCs/>
    </w:rPr>
  </w:style>
  <w:style w:type="paragraph" w:styleId="user3" w:customStyle="1">
    <w:name w:val="Содержимое таблицы (user)"/>
    <w:basedOn w:val="Normal"/>
    <w:qFormat/>
    <w:pPr>
      <w:widowControl w:val="false"/>
      <w:suppressLineNumbers/>
    </w:pPr>
    <w:rPr/>
  </w:style>
  <w:style w:type="paragraph" w:styleId="user4" w:customStyle="1">
    <w:name w:val="Заголовок таблицы (user)"/>
    <w:basedOn w:val="user3"/>
    <w:qFormat/>
    <w:pPr>
      <w:jc w:val="center"/>
    </w:pPr>
    <w:rPr>
      <w:b/>
      <w:bCs/>
    </w:rPr>
  </w:style>
  <w:style w:type="numbering" w:styleId="Style22" w:customStyle="1">
    <w:name w:val="Без списка"/>
    <w:uiPriority w:val="99"/>
    <w:semiHidden/>
    <w:unhideWhenUsed/>
    <w:qFormat/>
  </w:style>
  <w:style w:type="numbering" w:styleId="user5" w:customStyle="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2">
    <w:name w:val="Сетка таблицы2"/>
    <w:basedOn w:val="a1"/>
    <w:uiPriority w:val="59"/>
    <w:rsid w:val="002b21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6">
    <w:name w:val="Table Grid"/>
    <w:basedOn w:val="a1"/>
    <w:uiPriority w:val="39"/>
    <w:rsid w:val="002b21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E1671-D5DE-4273-BC37-2494CEECD130}">
  <ds:schemaRefs>
    <ds:schemaRef ds:uri="http://schemas.microsoft.com/sharepoint/v3/contenttype/forms"/>
  </ds:schemaRefs>
</ds:datastoreItem>
</file>

<file path=customXml/itemProps2.xml><?xml version="1.0" encoding="utf-8"?>
<ds:datastoreItem xmlns:ds="http://schemas.openxmlformats.org/officeDocument/2006/customXml" ds:itemID="{C3915ABE-C960-4839-9EBE-7A5885C0F6F8}">
  <ds:schemaRefs>
    <ds:schemaRef ds:uri="http://schemas.openxmlformats.org/officeDocument/2006/bibliography"/>
  </ds:schemaRefs>
</ds:datastoreItem>
</file>

<file path=customXml/itemProps3.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Application>LibreOffice/25.8.5.2$Windows_X86_64 LibreOffice_project/9c8b85f387cc00a89945a79c9e6239f32e450ac2</Application>
  <AppVersion>15.0000</AppVersion>
  <Pages>22</Pages>
  <Words>3312</Words>
  <Characters>25921</Characters>
  <CharactersWithSpaces>28999</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2026-03-05T11:26:00Z</dcterms:created>
  <dc:creator>Админ</dc:creator>
  <dc:description/>
  <dc:language>ru-RU</dc:language>
  <cp:lastModifiedBy/>
  <cp:lastPrinted>2026-04-01T15:48:08Z</cp:lastPrinted>
  <dcterms:modified xsi:type="dcterms:W3CDTF">2026-04-01T15:56:40Z</dcterms:modified>
  <cp:revision>218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