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2F94" w14:textId="77777777" w:rsidR="00134F14" w:rsidRDefault="0000000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РЕЦЕНЗИЯ</w:t>
      </w:r>
    </w:p>
    <w:p w14:paraId="63041E59" w14:textId="77777777" w:rsidR="00134F14" w:rsidRDefault="0000000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магистерскую диссертацию студента</w:t>
      </w:r>
    </w:p>
    <w:p w14:paraId="300D3784" w14:textId="77777777" w:rsidR="00134F14" w:rsidRDefault="0000000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Гамова П.А.</w:t>
      </w:r>
    </w:p>
    <w:p w14:paraId="06178E1C" w14:textId="77777777" w:rsidR="00134F14" w:rsidRDefault="0000000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 «Реализация методики формирования здоровых привычек средствами игровой психологии и наставнической поддержки в Телеграм-боте»</w:t>
      </w:r>
    </w:p>
    <w:p w14:paraId="50B382C4" w14:textId="77777777" w:rsidR="00134F14" w:rsidRDefault="00134F14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1AC74B2" w14:textId="77777777" w:rsidR="00134F14" w:rsidRPr="008A65FB" w:rsidRDefault="00000000" w:rsidP="008A65FB">
      <w:pPr>
        <w:spacing w:line="360" w:lineRule="auto"/>
        <w:ind w:firstLine="737"/>
        <w:rPr>
          <w:rFonts w:ascii="Times New Roman" w:eastAsia="NSimSun" w:hAnsi="Times New Roman" w:cs="Lucida Sans"/>
          <w:kern w:val="2"/>
          <w:sz w:val="28"/>
          <w:szCs w:val="28"/>
          <w:lang w:eastAsia="zh-CN" w:bidi="hi-IN"/>
        </w:rPr>
      </w:pPr>
      <w:r w:rsidRPr="008A65FB">
        <w:rPr>
          <w:rFonts w:ascii="Times New Roman" w:eastAsia="NSimSun" w:hAnsi="Times New Roman" w:cs="Lucida Sans"/>
          <w:kern w:val="2"/>
          <w:sz w:val="28"/>
          <w:szCs w:val="28"/>
          <w:lang w:eastAsia="zh-CN" w:bidi="hi-IN"/>
        </w:rPr>
        <w:t>Актуальность темы магистерской диссертации не вызывает сомнений. В условиях тотальной цифровизации современного общества наблюдается парадокс: при избыточности информации о здоровом образе жизни реальные показатели здоровья населения снижаются из-за «цифрового сидячего образа жизни» и феномена «информированного бездействия». Разработка инструментов, способных перевести теоретические знания пользователя в устойчивые поведенческие паттерны, используя механизмы глубинной геймификации и социальной поддержки, является крайне актуальной научно-практической задачей.</w:t>
      </w:r>
    </w:p>
    <w:p w14:paraId="20057BD3" w14:textId="75670FE0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Рассмотрение работы позволяет констатировать, что поставленная автором цель исследования разработка авторской методики формирования здоровых привычек, создание программного прототипа на её основе и комплексная оценка технической и экономической эффективности данного решения в полном объеме достигнута.</w:t>
      </w:r>
    </w:p>
    <w:p w14:paraId="0D6C191C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Содержание магистерской диссертации полностью соответствует заданию. Работа отличается системным подходом, логической последовательностью изложения и глубокой проработкой всех этапов жизненного цикла ИТ-проекта.</w:t>
      </w:r>
    </w:p>
    <w:p w14:paraId="070BF748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первой главе автором проведен детальный анализ проблемы формирования здоровых привычек в цифровую эпоху. Особого внимания </w:t>
      </w:r>
      <w:r>
        <w:rPr>
          <w:rFonts w:ascii="Times New Roman" w:hAnsi="Times New Roman" w:cs="Times New Roman"/>
          <w:sz w:val="28"/>
        </w:rPr>
        <w:lastRenderedPageBreak/>
        <w:t>заслуживает критический анализ существующих ИТ-решений, в ходе которого магистрант четко разграничил понятия «поверхностной» и «глубинной» геймификации. Автор обоснованно доказал, что большинство рыночных приложений используют лишь внешние стимулы (баллы, бейджи), что ведет к быстрому угасанию мотивации. Теоретический базис работы, опирающийся на теорию самодетерминации (автономия, компетентность, связанность), создает надежный фундамент для последующей разработки методики.</w:t>
      </w:r>
    </w:p>
    <w:p w14:paraId="711A29CB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 второй главе представлена авторская методика и её программная реализация. Магистрант продемонстрировал высокий технический уровень, обосновав выбор технологического стека (Python, библиотека </w:t>
      </w:r>
      <w:proofErr w:type="spellStart"/>
      <w:r>
        <w:rPr>
          <w:rFonts w:ascii="Times New Roman" w:hAnsi="Times New Roman" w:cs="Times New Roman"/>
          <w:sz w:val="28"/>
        </w:rPr>
        <w:t>python-telegram-bot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SQLite</w:t>
      </w:r>
      <w:proofErr w:type="spellEnd"/>
      <w:r>
        <w:rPr>
          <w:rFonts w:ascii="Times New Roman" w:hAnsi="Times New Roman" w:cs="Times New Roman"/>
          <w:sz w:val="28"/>
        </w:rPr>
        <w:t>). Научная новизна работы заключается в синергии двух механизмов: многоуровневой системы прогрессии персонажа и модуля анонимного P2P-наставничества.</w:t>
      </w:r>
    </w:p>
    <w:p w14:paraId="13C24A22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Следует отметить самостоятельность решений автора при проектировании архитектуры системы, в частности, реализацию алгоритма анонимного сопоставления пользователей и внедрение механизмов защиты данных (шифрование AES-256). Практическая значимость главы подтверждена данными контролируемого 60-дневного эксперимента. Результаты анализа метрик (рост </w:t>
      </w:r>
      <w:proofErr w:type="spellStart"/>
      <w:r>
        <w:rPr>
          <w:rFonts w:ascii="Times New Roman" w:hAnsi="Times New Roman" w:cs="Times New Roman"/>
          <w:sz w:val="28"/>
        </w:rPr>
        <w:t>Completion</w:t>
      </w:r>
      <w:proofErr w:type="spellEnd"/>
      <w:r>
        <w:rPr>
          <w:rFonts w:ascii="Times New Roman" w:hAnsi="Times New Roman" w:cs="Times New Roman"/>
          <w:sz w:val="28"/>
        </w:rPr>
        <w:t xml:space="preserve"> Rate с 41% до 68%, увеличение удержания пользователей на 60-й день в 2,5 раза) убедительно доказывают эффективность предложенного подхода.</w:t>
      </w:r>
    </w:p>
    <w:p w14:paraId="1FA2B7B8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третьей главе работы проведен глубокий экономический анализ проектного решения. Автор применил комплексный инструментарий оценки: расчет совокупной стоимости владения (ССВ), анализ чистого денежного потока (NPV), внутренней нормы доходности (IRR) и сроков окупаемости. Предложенная гибридная модель монетизации (премиум-подписки и этичная нативная реклама) является сбалансированной и обеспечивает коммерческую жизнеспособность проекта при сохранении его социальной миссии. Высокий </w:t>
      </w:r>
      <w:r>
        <w:rPr>
          <w:rFonts w:ascii="Times New Roman" w:hAnsi="Times New Roman" w:cs="Times New Roman"/>
          <w:sz w:val="28"/>
        </w:rPr>
        <w:lastRenderedPageBreak/>
        <w:t>показатель IRR (41%) и положительный NPV (1 742 468 руб.) свидетельствуют об инвестиционной привлекательности решения.</w:t>
      </w:r>
    </w:p>
    <w:p w14:paraId="406EDE9E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Общая оценка подготовки магистранта: Работа демонстрирует высокий уровень теоретической подготовки Гамова П.А. и его умение самостоятельно применять знания из области поведенческой психологии, программной инженерии и экономического анализа для решения конкретной прикладной задачи. Автор корректно формулирует задачи, устанавливает взаимосвязи между психологическими барьерами пользователей и техническими модулями системы, проявляет способности к прогнозированию динамики развития продукта.</w:t>
      </w:r>
    </w:p>
    <w:p w14:paraId="785F25E4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Работа характеризуется ясностью изложения, системностью и завершенностью. Все части диссертации логически взаимосвязаны: от анализа проблем (Гл. 1) к техническому решению (Гл. 2) и финансовому обоснованию (Гл. 3).</w:t>
      </w:r>
    </w:p>
    <w:p w14:paraId="753D9B81" w14:textId="16DD42BA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Замечания и рекомендации: </w:t>
      </w:r>
      <w:r w:rsidR="008A65FB"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>абота приобрела бы еще большую практическую значимость, если бы в ней были более детально рассмотрены вопросы интеграции искусственного интеллекта (LLM) для автоматического подбора персонализированных программ привычек на основе анализа профиля пользователя, что позволило бы еще сильнее снизить порог входа в систему.</w:t>
      </w:r>
    </w:p>
    <w:p w14:paraId="5783917B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 не менее, данное замечание не носит принципиального характера и не снижает общей высокой оценки работы. Магистерская диссертация выполнена на высоком теоретическом и техническом уровне, имеет явную практическую ценность и полностью отвечает требованиям, предъявляемым к квалификационным работам по программе «Информационные технологии управления социально-экономическими системами».</w:t>
      </w:r>
    </w:p>
    <w:p w14:paraId="6D7111FE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Результаты исследования могут быть внедрены в практику социальных сервисов, а также в корпоративные программы охраны здоровья сотрудников на предприятиях любого профиля для повышения производительности труда.</w:t>
      </w:r>
    </w:p>
    <w:p w14:paraId="25CC3636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Общая оценка работы: «ОТЛИЧНО».</w:t>
      </w:r>
    </w:p>
    <w:p w14:paraId="26486FB0" w14:textId="77777777" w:rsidR="00134F14" w:rsidRDefault="00000000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Автор заслуживает присвоения квалификации «Магистр» по направлению «Прикладная информатика», профиль «Информационные технологии управления социально-экономическими системами».</w:t>
      </w:r>
    </w:p>
    <w:p w14:paraId="4E730C82" w14:textId="77777777" w:rsidR="008A65FB" w:rsidRPr="008A65FB" w:rsidRDefault="008A65FB" w:rsidP="008A65FB">
      <w:pPr>
        <w:spacing w:line="360" w:lineRule="auto"/>
        <w:rPr>
          <w:rFonts w:ascii="Times New Roman" w:hAnsi="Times New Roman" w:cs="Times New Roman"/>
          <w:sz w:val="28"/>
        </w:rPr>
      </w:pPr>
    </w:p>
    <w:p w14:paraId="3DA71E4C" w14:textId="48B8F5E4" w:rsidR="008A65FB" w:rsidRDefault="008A65FB" w:rsidP="008A65FB">
      <w:pPr>
        <w:spacing w:line="360" w:lineRule="auto"/>
        <w:rPr>
          <w:rFonts w:ascii="Times New Roman" w:hAnsi="Times New Roman" w:cs="Times New Roman"/>
          <w:sz w:val="28"/>
        </w:rPr>
      </w:pPr>
      <w:r w:rsidRPr="008A65FB">
        <w:rPr>
          <w:rFonts w:ascii="Times New Roman" w:hAnsi="Times New Roman" w:cs="Times New Roman"/>
          <w:sz w:val="28"/>
        </w:rPr>
        <w:t>Рецензент: _____________</w:t>
      </w:r>
      <w:r>
        <w:rPr>
          <w:rFonts w:ascii="Times New Roman" w:hAnsi="Times New Roman" w:cs="Times New Roman"/>
          <w:sz w:val="28"/>
        </w:rPr>
        <w:t>_______</w:t>
      </w:r>
    </w:p>
    <w:p w14:paraId="2EB3AEBF" w14:textId="754A4788" w:rsidR="008A65FB" w:rsidRPr="008A65FB" w:rsidRDefault="008A65FB" w:rsidP="008A65FB">
      <w:pPr>
        <w:spacing w:line="360" w:lineRule="auto"/>
        <w:rPr>
          <w:rFonts w:ascii="Times New Roman" w:hAnsi="Times New Roman" w:cs="Times New Roman"/>
          <w:sz w:val="28"/>
        </w:rPr>
      </w:pPr>
      <w:r w:rsidRPr="008A65FB">
        <w:rPr>
          <w:rFonts w:ascii="Times New Roman" w:hAnsi="Times New Roman" w:cs="Times New Roman"/>
          <w:sz w:val="28"/>
        </w:rPr>
        <w:t>__________________________________________________</w:t>
      </w:r>
      <w:r>
        <w:rPr>
          <w:rFonts w:ascii="Times New Roman" w:hAnsi="Times New Roman" w:cs="Times New Roman"/>
          <w:sz w:val="28"/>
        </w:rPr>
        <w:t>_____________</w:t>
      </w:r>
    </w:p>
    <w:p w14:paraId="3E438EDB" w14:textId="2BDD4B79" w:rsidR="008A65FB" w:rsidRPr="008A65FB" w:rsidRDefault="008A65FB" w:rsidP="008A65FB">
      <w:pPr>
        <w:spacing w:line="360" w:lineRule="auto"/>
        <w:rPr>
          <w:rFonts w:ascii="Times New Roman" w:hAnsi="Times New Roman" w:cs="Times New Roman"/>
          <w:sz w:val="28"/>
        </w:rPr>
      </w:pPr>
      <w:r w:rsidRPr="008A65FB">
        <w:rPr>
          <w:rFonts w:ascii="Times New Roman" w:hAnsi="Times New Roman" w:cs="Times New Roman"/>
          <w:sz w:val="28"/>
        </w:rPr>
        <w:t xml:space="preserve">подпись </w:t>
      </w:r>
      <w:r w:rsidRPr="008A65FB">
        <w:rPr>
          <w:rFonts w:ascii="Times New Roman" w:hAnsi="Times New Roman" w:cs="Times New Roman"/>
          <w:sz w:val="28"/>
        </w:rPr>
        <w:tab/>
      </w:r>
      <w:r w:rsidRPr="008A65FB">
        <w:rPr>
          <w:rFonts w:ascii="Times New Roman" w:hAnsi="Times New Roman" w:cs="Times New Roman"/>
          <w:sz w:val="28"/>
        </w:rPr>
        <w:tab/>
      </w:r>
      <w:r w:rsidRPr="008A65FB">
        <w:rPr>
          <w:rFonts w:ascii="Times New Roman" w:hAnsi="Times New Roman" w:cs="Times New Roman"/>
          <w:sz w:val="28"/>
        </w:rPr>
        <w:tab/>
      </w:r>
      <w:r w:rsidRPr="008A65FB">
        <w:rPr>
          <w:rFonts w:ascii="Times New Roman" w:hAnsi="Times New Roman" w:cs="Times New Roman"/>
          <w:sz w:val="28"/>
        </w:rPr>
        <w:tab/>
        <w:t>ученая степень, звание, должность, Ф.И.О.</w:t>
      </w:r>
    </w:p>
    <w:p w14:paraId="40CC4D9C" w14:textId="77777777" w:rsidR="008A65FB" w:rsidRPr="008A65FB" w:rsidRDefault="008A65FB" w:rsidP="008A65FB">
      <w:pPr>
        <w:spacing w:line="360" w:lineRule="auto"/>
        <w:rPr>
          <w:rFonts w:ascii="Times New Roman" w:hAnsi="Times New Roman" w:cs="Times New Roman"/>
          <w:sz w:val="28"/>
        </w:rPr>
      </w:pPr>
    </w:p>
    <w:p w14:paraId="78CA42A5" w14:textId="77777777" w:rsidR="008A65FB" w:rsidRPr="008A65FB" w:rsidRDefault="008A65FB" w:rsidP="008A65FB">
      <w:pPr>
        <w:spacing w:line="360" w:lineRule="auto"/>
        <w:rPr>
          <w:rFonts w:ascii="Times New Roman" w:hAnsi="Times New Roman" w:cs="Times New Roman"/>
          <w:sz w:val="28"/>
        </w:rPr>
      </w:pPr>
      <w:r w:rsidRPr="008A65FB">
        <w:rPr>
          <w:rFonts w:ascii="Times New Roman" w:hAnsi="Times New Roman" w:cs="Times New Roman"/>
          <w:sz w:val="28"/>
        </w:rPr>
        <w:t xml:space="preserve">Дата </w:t>
      </w:r>
    </w:p>
    <w:p w14:paraId="46E2D92E" w14:textId="1A9E8578" w:rsidR="00134F14" w:rsidRDefault="00134F14" w:rsidP="008A65FB">
      <w:pPr>
        <w:spacing w:line="360" w:lineRule="auto"/>
        <w:ind w:firstLine="737"/>
        <w:rPr>
          <w:rFonts w:ascii="Times New Roman" w:hAnsi="Times New Roman" w:cs="Times New Roman"/>
          <w:sz w:val="28"/>
        </w:rPr>
      </w:pPr>
    </w:p>
    <w:sectPr w:rsidR="00134F1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F14"/>
    <w:rsid w:val="00134F14"/>
    <w:rsid w:val="003B0710"/>
    <w:rsid w:val="008A65FB"/>
    <w:rsid w:val="00C7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EC65F"/>
  <w15:docId w15:val="{BFD55ACA-C09C-41C4-B6DF-D78C46B8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Исходный текст"/>
    <w:qFormat/>
    <w:rPr>
      <w:rFonts w:ascii="Liberation Mono" w:eastAsia="Liberation Mono" w:hAnsi="Liberation Mono" w:cs="Liberation Mono"/>
    </w:rPr>
  </w:style>
  <w:style w:type="character" w:styleId="a4">
    <w:name w:val="Emphasis"/>
    <w:qFormat/>
    <w:rPr>
      <w:i/>
      <w:iCs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customStyle="1" w:styleId="aa">
    <w:name w:val="Горизонтальная линия"/>
    <w:basedOn w:val="a"/>
    <w:next w:val="a6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b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Горбачева София Зауровна (Sofiya Gorbacheva)</dc:creator>
  <dc:description/>
  <cp:lastModifiedBy>Павел Гамов</cp:lastModifiedBy>
  <cp:revision>3</cp:revision>
  <cp:lastPrinted>2026-05-18T05:46:00Z</cp:lastPrinted>
  <dcterms:created xsi:type="dcterms:W3CDTF">2026-05-13T12:34:00Z</dcterms:created>
  <dcterms:modified xsi:type="dcterms:W3CDTF">2026-05-18T06:01:00Z</dcterms:modified>
  <dc:language>ru-RU</dc:language>
</cp:coreProperties>
</file>