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wmf" ContentType="image/x-wmf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120" w:after="120"/>
        <w:ind w:left="142" w:right="4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4"/>
          <w:szCs w:val="24"/>
          <w:lang w:eastAsia="ru-RU"/>
        </w:rPr>
        <w:t>МИНИСТЕРСТВО ТРАНСПОРТА РОССИЙСКОЙ ФЕДЕРАЦИИ</w:t>
      </w:r>
    </w:p>
    <w:p>
      <w:pPr>
        <w:pStyle w:val="Normal"/>
        <w:spacing w:lineRule="auto" w:line="240" w:before="120" w:after="120"/>
        <w:ind w:left="142" w:right="41"/>
        <w:jc w:val="center"/>
        <w:rPr>
          <w:rFonts w:ascii="Times New Roman" w:hAnsi="Times New Roman" w:eastAsia="Calibri" w:cs="Times New Roman"/>
          <w:b/>
          <w:sz w:val="24"/>
          <w:szCs w:val="24"/>
        </w:rPr>
      </w:pPr>
      <w:r>
        <w:rPr>
          <w:rFonts w:eastAsia="Calibri" w:cs="Times New Roman" w:ascii="Times New Roman" w:hAnsi="Times New Roman"/>
          <w:b/>
          <w:sz w:val="24"/>
          <w:szCs w:val="24"/>
        </w:rPr>
        <w:t xml:space="preserve">ФЕДЕРАЛЬНОЕ ГОСУДАРСТВЕННОЕ АВТОНОМНОЕ </w:t>
      </w:r>
    </w:p>
    <w:p>
      <w:pPr>
        <w:pStyle w:val="Normal"/>
        <w:spacing w:lineRule="auto" w:line="240" w:before="120" w:after="120"/>
        <w:ind w:left="142" w:right="41"/>
        <w:jc w:val="center"/>
        <w:rPr>
          <w:rFonts w:ascii="Times New Roman" w:hAnsi="Times New Roman" w:eastAsia="Calibri" w:cs="Times New Roman"/>
          <w:b/>
          <w:sz w:val="24"/>
          <w:szCs w:val="24"/>
        </w:rPr>
      </w:pPr>
      <w:r>
        <w:rPr>
          <w:rFonts w:eastAsia="Calibri" w:cs="Times New Roman" w:ascii="Times New Roman" w:hAnsi="Times New Roman"/>
          <w:b/>
          <w:sz w:val="24"/>
          <w:szCs w:val="24"/>
        </w:rPr>
        <w:t>ОБРАЗОВАТЕЛЬНОЕ УЧРЕЖДЕНИЕ ВЫСШЕГО ОБРАЗОВАНИЯ</w:t>
      </w:r>
    </w:p>
    <w:p>
      <w:pPr>
        <w:pStyle w:val="Normal"/>
        <w:spacing w:lineRule="auto" w:line="240" w:before="120" w:after="120"/>
        <w:ind w:left="142" w:right="41"/>
        <w:jc w:val="center"/>
        <w:rPr>
          <w:rFonts w:ascii="Times New Roman" w:hAnsi="Times New Roman" w:eastAsia="Calibri" w:cs="Times New Roman"/>
          <w:b/>
          <w:sz w:val="24"/>
          <w:szCs w:val="24"/>
        </w:rPr>
      </w:pPr>
      <w:r>
        <w:rPr>
          <w:rFonts w:eastAsia="Calibri" w:cs="Times New Roman" w:ascii="Times New Roman" w:hAnsi="Times New Roman"/>
          <w:b/>
          <w:sz w:val="24"/>
          <w:szCs w:val="24"/>
        </w:rPr>
        <w:t xml:space="preserve"> </w:t>
      </w:r>
      <w:r>
        <w:rPr>
          <w:rFonts w:eastAsia="Calibri" w:cs="Times New Roman" w:ascii="Times New Roman" w:hAnsi="Times New Roman"/>
          <w:b/>
          <w:sz w:val="24"/>
          <w:szCs w:val="24"/>
        </w:rPr>
        <w:t xml:space="preserve">«РОССИЙСКИЙ УНИВЕРСИТЕТ ТРАНСПОРТА» </w:t>
      </w:r>
    </w:p>
    <w:p>
      <w:pPr>
        <w:pStyle w:val="Normal"/>
        <w:spacing w:lineRule="auto" w:line="240" w:before="120" w:after="120"/>
        <w:ind w:left="142" w:right="41"/>
        <w:jc w:val="center"/>
        <w:rPr>
          <w:rFonts w:ascii="Times New Roman" w:hAnsi="Times New Roman" w:eastAsia="Calibri" w:cs="Times New Roman"/>
          <w:b/>
          <w:sz w:val="24"/>
          <w:szCs w:val="24"/>
        </w:rPr>
      </w:pPr>
      <w:r>
        <w:rPr>
          <w:rFonts w:eastAsia="Calibri" w:cs="Times New Roman" w:ascii="Times New Roman" w:hAnsi="Times New Roman"/>
          <w:b/>
          <w:sz w:val="24"/>
          <w:szCs w:val="24"/>
        </w:rPr>
        <w:t>РУТ (МИИТ)</w:t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eastAsia="Calibri" w:cs="Times New Roman"/>
          <w:b/>
          <w:sz w:val="28"/>
          <w:szCs w:val="28"/>
        </w:rPr>
      </w:pPr>
      <w:r>
        <w:rPr>
          <w:rFonts w:eastAsia="Calibri" w:cs="Times New Roman" w:ascii="Times New Roman" w:hAnsi="Times New Roman"/>
          <w:b/>
          <w:sz w:val="28"/>
          <w:szCs w:val="28"/>
        </w:rPr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Кафедра «</w:t>
      </w:r>
      <w:r>
        <w:rPr>
          <w:rFonts w:eastAsia="Calibri" w:cs="Times New Roman" w:ascii="Times New Roman" w:hAnsi="Times New Roman"/>
          <w:sz w:val="28"/>
          <w:szCs w:val="28"/>
          <w:u w:val="single"/>
        </w:rPr>
        <w:t>Информационные системы цифровой экономики</w:t>
      </w:r>
      <w:r>
        <w:rPr>
          <w:rFonts w:eastAsia="Calibri" w:cs="Times New Roman" w:ascii="Times New Roman" w:hAnsi="Times New Roman"/>
          <w:sz w:val="28"/>
          <w:szCs w:val="28"/>
        </w:rPr>
        <w:t>»</w:t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eastAsia="Calibri" w:cs="Times New Roman"/>
          <w:b/>
          <w:sz w:val="40"/>
          <w:szCs w:val="40"/>
        </w:rPr>
      </w:pPr>
      <w:r>
        <w:rPr>
          <w:rFonts w:eastAsia="Calibri" w:cs="Times New Roman" w:ascii="Times New Roman" w:hAnsi="Times New Roman"/>
          <w:b/>
          <w:sz w:val="40"/>
          <w:szCs w:val="40"/>
        </w:rPr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eastAsia="Calibri" w:cs="Times New Roman"/>
          <w:b/>
          <w:sz w:val="40"/>
          <w:szCs w:val="40"/>
        </w:rPr>
      </w:pPr>
      <w:r>
        <w:rPr>
          <w:rFonts w:eastAsia="Calibri" w:cs="Times New Roman" w:ascii="Times New Roman" w:hAnsi="Times New Roman"/>
          <w:b/>
          <w:sz w:val="40"/>
          <w:szCs w:val="40"/>
        </w:rPr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eastAsia="Calibri" w:cs="Times New Roman"/>
          <w:b/>
          <w:sz w:val="40"/>
          <w:szCs w:val="40"/>
        </w:rPr>
      </w:pPr>
      <w:r>
        <w:rPr>
          <w:rFonts w:eastAsia="Calibri" w:cs="Times New Roman" w:ascii="Times New Roman" w:hAnsi="Times New Roman"/>
          <w:b/>
          <w:sz w:val="40"/>
          <w:szCs w:val="40"/>
        </w:rPr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eastAsia="Calibri" w:cs="Times New Roman"/>
          <w:b/>
          <w:sz w:val="28"/>
          <w:szCs w:val="28"/>
        </w:rPr>
      </w:pPr>
      <w:r>
        <w:rPr>
          <w:rFonts w:eastAsia="Calibri" w:cs="Times New Roman" w:ascii="Times New Roman" w:hAnsi="Times New Roman"/>
          <w:b/>
          <w:sz w:val="28"/>
          <w:szCs w:val="28"/>
        </w:rPr>
        <w:t>Отчет по производственной практике</w:t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eastAsia="Calibri" w:cs="Times New Roman"/>
          <w:color w:val="000000"/>
          <w:sz w:val="28"/>
          <w:szCs w:val="28"/>
        </w:rPr>
      </w:pPr>
      <w:r>
        <w:rPr>
          <w:rFonts w:eastAsia="Calibri" w:cs="Times New Roman" w:ascii="Times New Roman" w:hAnsi="Times New Roman"/>
          <w:b/>
          <w:color w:val="000000"/>
          <w:sz w:val="28"/>
          <w:szCs w:val="28"/>
        </w:rPr>
        <w:t>(</w:t>
      </w:r>
      <w:r>
        <w:rPr>
          <w:rFonts w:eastAsia="Calibri" w:cs="Times New Roman" w:ascii="Times New Roman" w:hAnsi="Times New Roman"/>
          <w:color w:val="000000"/>
          <w:sz w:val="28"/>
          <w:szCs w:val="28"/>
        </w:rPr>
        <w:t>Научно-исследовательская работа)</w:t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eastAsia="Calibri" w:cs="Times New Roman"/>
          <w:b/>
          <w:sz w:val="24"/>
          <w:szCs w:val="24"/>
        </w:rPr>
      </w:pPr>
      <w:r>
        <w:rPr>
          <w:rFonts w:eastAsia="Calibri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sz w:val="28"/>
          <w:szCs w:val="28"/>
          <w:u w:val="single"/>
        </w:rPr>
      </w:pPr>
      <w:r>
        <w:rPr>
          <w:rFonts w:eastAsia="Calibri" w:cs="Times New Roman" w:ascii="Times New Roman" w:hAnsi="Times New Roman"/>
          <w:sz w:val="28"/>
          <w:szCs w:val="28"/>
        </w:rPr>
        <w:t>Направление (специальность) «</w:t>
      </w:r>
      <w:r>
        <w:rPr>
          <w:rFonts w:eastAsia="Calibri" w:cs="Times New Roman" w:ascii="Times New Roman" w:hAnsi="Times New Roman"/>
          <w:sz w:val="28"/>
          <w:szCs w:val="28"/>
          <w:u w:val="single"/>
        </w:rPr>
        <w:t>Прикладная информатика</w:t>
      </w:r>
      <w:r>
        <w:rPr>
          <w:rFonts w:eastAsia="Calibri" w:cs="Times New Roman" w:ascii="Times New Roman" w:hAnsi="Times New Roman"/>
          <w:sz w:val="28"/>
          <w:szCs w:val="28"/>
        </w:rPr>
        <w:t>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Профиль (направление/направленность) «</w:t>
      </w:r>
      <w:r>
        <w:rPr>
          <w:rFonts w:eastAsia="Calibri" w:cs="Times New Roman" w:ascii="Times New Roman" w:hAnsi="Times New Roman"/>
          <w:sz w:val="28"/>
          <w:szCs w:val="28"/>
          <w:u w:val="single"/>
        </w:rPr>
        <w:t>Информационные технологии управления социально-экономическими системами</w:t>
      </w:r>
      <w:r>
        <w:rPr>
          <w:rFonts w:eastAsia="Calibri" w:cs="Times New Roman" w:ascii="Times New Roman" w:hAnsi="Times New Roman"/>
          <w:sz w:val="28"/>
          <w:szCs w:val="28"/>
        </w:rPr>
        <w:t>»</w:t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eastAsia="Calibri" w:cs="Times New Roman"/>
          <w:color w:val="FF0000"/>
          <w:sz w:val="24"/>
          <w:szCs w:val="24"/>
        </w:rPr>
      </w:pPr>
      <w:r>
        <w:rPr>
          <w:rFonts w:eastAsia="Calibri" w:cs="Times New Roman" w:ascii="Times New Roman" w:hAnsi="Times New Roman"/>
          <w:color w:val="FF0000"/>
          <w:sz w:val="24"/>
          <w:szCs w:val="24"/>
        </w:rPr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eastAsia="Calibri" w:cs="Times New Roman"/>
          <w:color w:val="FF0000"/>
          <w:sz w:val="24"/>
          <w:szCs w:val="24"/>
        </w:rPr>
      </w:pPr>
      <w:r>
        <w:rPr/>
        <w:drawing>
          <wp:inline distT="0" distB="0" distL="0" distR="0">
            <wp:extent cx="10795" cy="10795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5" cy="10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eastAsia="Calibri" w:cs="Times New Roman"/>
          <w:color w:val="FF0000"/>
          <w:sz w:val="24"/>
          <w:szCs w:val="24"/>
        </w:rPr>
      </w:pPr>
      <w:r>
        <w:rPr>
          <w:rFonts w:eastAsia="Calibri" w:cs="Times New Roman" w:ascii="Times New Roman" w:hAnsi="Times New Roman"/>
          <w:color w:val="FF0000"/>
          <w:sz w:val="24"/>
          <w:szCs w:val="24"/>
        </w:rPr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eastAsia="Calibri" w:cs="Times New Roman"/>
          <w:color w:val="FF0000"/>
          <w:sz w:val="24"/>
          <w:szCs w:val="24"/>
        </w:rPr>
      </w:pPr>
      <w:r>
        <w:rPr>
          <w:rFonts w:eastAsia="Calibri" w:cs="Times New Roman" w:ascii="Times New Roman" w:hAnsi="Times New Roman"/>
          <w:color w:val="FF0000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iCs/>
          <w:sz w:val="28"/>
          <w:szCs w:val="28"/>
        </w:rPr>
      </w:r>
    </w:p>
    <w:tbl>
      <w:tblPr>
        <w:tblStyle w:val="2"/>
        <w:tblW w:w="935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969"/>
        <w:gridCol w:w="5385"/>
      </w:tblGrid>
      <w:tr>
        <w:trPr/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iCs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iCs/>
                <w:kern w:val="0"/>
                <w:sz w:val="28"/>
                <w:szCs w:val="28"/>
                <w:lang w:val="ru-RU" w:eastAsia="en-US" w:bidi="ar-SA"/>
              </w:rPr>
            </w:r>
          </w:p>
        </w:tc>
        <w:tc>
          <w:tcPr>
            <w:tcW w:w="538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iCs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iCs/>
                <w:kern w:val="0"/>
                <w:sz w:val="28"/>
                <w:szCs w:val="28"/>
                <w:lang w:val="ru-RU" w:eastAsia="en-US" w:bidi="ar-SA"/>
              </w:rPr>
              <w:t xml:space="preserve">Выполнил студент группы </w:t>
            </w:r>
            <w:r>
              <w:rPr>
                <w:rFonts w:eastAsia="Times New Roman" w:cs="Times New Roman" w:ascii="Times New Roman" w:hAnsi="Times New Roman"/>
                <w:iCs/>
                <w:kern w:val="0"/>
                <w:sz w:val="28"/>
                <w:szCs w:val="28"/>
                <w:u w:val="single"/>
                <w:lang w:val="ru-RU" w:eastAsia="en-US" w:bidi="ar-SA"/>
              </w:rPr>
              <w:t>ЭМС-271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iCs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kern w:val="0"/>
                <w:sz w:val="28"/>
                <w:szCs w:val="28"/>
                <w:lang w:val="ru-RU" w:eastAsia="en-US" w:bidi="ar-SA"/>
              </w:rPr>
              <w:t>П.А. Гамов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iCs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iCs/>
                <w:kern w:val="0"/>
                <w:sz w:val="28"/>
                <w:szCs w:val="28"/>
                <w:lang w:val="ru-RU" w:eastAsia="en-US" w:bidi="ar-SA"/>
              </w:rPr>
            </w:r>
          </w:p>
        </w:tc>
      </w:tr>
      <w:tr>
        <w:trPr/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iCs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iCs/>
                <w:kern w:val="0"/>
                <w:sz w:val="28"/>
                <w:szCs w:val="28"/>
                <w:lang w:val="ru-RU" w:eastAsia="en-US" w:bidi="ar-SA"/>
              </w:rPr>
            </w:r>
          </w:p>
        </w:tc>
        <w:tc>
          <w:tcPr>
            <w:tcW w:w="538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iCs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iCs/>
                <w:kern w:val="0"/>
                <w:sz w:val="28"/>
                <w:szCs w:val="28"/>
                <w:lang w:val="ru-RU" w:eastAsia="en-US" w:bidi="ar-SA"/>
              </w:rPr>
              <w:t xml:space="preserve">Руководитель: доцент С.Л. Лебедева 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iCs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iCs/>
                <w:kern w:val="0"/>
                <w:sz w:val="28"/>
                <w:szCs w:val="28"/>
                <w:lang w:val="ru-RU" w:eastAsia="en-US" w:bidi="ar-SA"/>
              </w:rPr>
            </w:r>
          </w:p>
        </w:tc>
      </w:tr>
    </w:tbl>
    <w:p>
      <w:pPr>
        <w:pStyle w:val="Normal"/>
        <w:tabs>
          <w:tab w:val="clear" w:pos="708"/>
          <w:tab w:val="left" w:pos="8205" w:leader="none"/>
        </w:tabs>
        <w:spacing w:lineRule="auto" w:line="240" w:before="120" w:after="12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Normal"/>
        <w:tabs>
          <w:tab w:val="clear" w:pos="708"/>
          <w:tab w:val="left" w:pos="8205" w:leader="none"/>
        </w:tabs>
        <w:spacing w:lineRule="auto" w:line="240" w:before="120" w:after="12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Normal"/>
        <w:tabs>
          <w:tab w:val="clear" w:pos="708"/>
          <w:tab w:val="left" w:pos="8205" w:leader="none"/>
        </w:tabs>
        <w:spacing w:lineRule="auto" w:line="240" w:before="120" w:after="120"/>
        <w:jc w:val="center"/>
        <w:rPr>
          <w:rFonts w:ascii="Times New Roman" w:hAnsi="Times New Roman" w:eastAsia="Calibri" w:cs="Times New Roman"/>
          <w:sz w:val="28"/>
          <w:szCs w:val="28"/>
          <w:lang w:val="en-US"/>
        </w:rPr>
      </w:pPr>
      <w:r>
        <w:rPr>
          <w:rFonts w:eastAsia="Calibri" w:cs="Times New Roman" w:ascii="Times New Roman" w:hAnsi="Times New Roman"/>
          <w:sz w:val="28"/>
          <w:szCs w:val="28"/>
        </w:rPr>
        <w:t xml:space="preserve">Москва  </w:t>
      </w:r>
      <w:r>
        <w:rPr>
          <w:rFonts w:eastAsia="Calibri" w:cs="Calibri" w:ascii="Calibri" w:hAnsi="Calibri"/>
          <w:sz w:val="28"/>
          <w:szCs w:val="28"/>
        </w:rPr>
        <w:t xml:space="preserve">̶  </w:t>
      </w:r>
      <w:r>
        <w:rPr>
          <w:rFonts w:eastAsia="Calibri" w:cs="Times New Roman" w:ascii="Times New Roman" w:hAnsi="Times New Roman"/>
          <w:sz w:val="28"/>
          <w:szCs w:val="28"/>
        </w:rPr>
        <w:t>202</w:t>
      </w:r>
      <w:r>
        <w:rPr>
          <w:rFonts w:eastAsia="Calibri" w:cs="Times New Roman" w:ascii="Times New Roman" w:hAnsi="Times New Roman"/>
          <w:sz w:val="28"/>
          <w:szCs w:val="28"/>
          <w:lang w:val="en-US"/>
        </w:rPr>
        <w:t>6</w:t>
      </w:r>
    </w:p>
    <w:p>
      <w:pPr>
        <w:pStyle w:val="Normal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Содержание</w:t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1. Введение…………………….1</w:t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2. Постановка задачи ……………..3</w:t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3. Основная часть………………….5</w:t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3. Заключение…………………...10</w:t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4. Список использованной литературы……………...12</w:t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  <w:lang w:val="en-US"/>
        </w:rPr>
      </w:pPr>
      <w:r>
        <w:rPr>
          <w:rFonts w:eastAsia="Calibri" w:cs="Times New Roman" w:ascii="Times New Roman" w:hAnsi="Times New Roman"/>
          <w:sz w:val="28"/>
          <w:szCs w:val="28"/>
          <w:lang w:val="en-US"/>
        </w:rPr>
        <w:t xml:space="preserve">5. </w:t>
      </w:r>
      <w:r>
        <w:rPr>
          <w:rFonts w:eastAsia="Calibri" w:cs="Times New Roman" w:ascii="Times New Roman" w:hAnsi="Times New Roman"/>
          <w:sz w:val="28"/>
          <w:szCs w:val="28"/>
          <w:lang w:val="ru-RU"/>
        </w:rPr>
        <w:t>Приложения……………...15</w:t>
      </w:r>
      <w:r>
        <w:br w:type="page"/>
      </w:r>
    </w:p>
    <w:p>
      <w:pPr>
        <w:pStyle w:val="Normal"/>
        <w:spacing w:before="0" w:after="16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Введение</w:t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ab/>
        <w:t xml:space="preserve">Производственная практика проводится в соответствии с учебным планом. </w:t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ab/>
        <w:t xml:space="preserve">Производственная практика является важным этапом в процессе профессионального становления специалистов, позволяющим применить полученные теоретические знания на практике и приобрести ценный опыт работы в реальных условиях. </w:t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ab/>
      </w:r>
      <w:r>
        <w:rPr>
          <w:rFonts w:eastAsia="Calibri" w:cs="Times New Roman" w:ascii="Times New Roman" w:hAnsi="Times New Roman"/>
          <w:sz w:val="28"/>
          <w:szCs w:val="28"/>
        </w:rPr>
        <w:t xml:space="preserve">Целью производственной практики является изучение использование элементов игры в неигровом контенте и изучении игровых механик применимых в боте для профилактики здоровых привычек. </w:t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ab/>
        <w:t xml:space="preserve">Современные технологии оказывают большое влияние на здоровье и образ жизни населения. Недостаточное внимание уделяется эффективным инструментам цифровой поддержки формирования полезных привычек, несмотря на распространённость мобильных устройств и популярность мессенджеров. Отсутствие универсальных и гибких цифровых платформ для долгосрочного укрепления здоровья требует создания эффективных методик и сервисов, интегрирующих игровые техники и психологическую поддержку. </w:t>
      </w:r>
      <w:r>
        <w:rPr>
          <w:rFonts w:eastAsia="Calibri" w:cs="Times New Roman" w:ascii="Times New Roman" w:hAnsi="Times New Roman"/>
          <w:sz w:val="28"/>
          <w:szCs w:val="28"/>
        </w:rPr>
        <w:t xml:space="preserve">Разработка комбинированного решения и методики объединяющей разработки прошлых поколений позволит приблизиться к идеальной формуле вовлечения пользователя с область поддержки собственного здоровья как физического так и психологического. </w:t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ab/>
        <w:t xml:space="preserve">Целевым объектом исследования является разработка и внедрение инструментария, включающего элементы игровых механик и дизайна в неигровой контент - в частности, в чат-боты, предназначенные для профилактики вредных привычек и формирования полезных навыков. В ходе практики планируется изучить возможности и ограничения использования игровых элементов, определить наиболее эффективные методы их применения для повышения вовлеченности и длительной мотивации пользователей. </w:t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ab/>
      </w:r>
      <w:r>
        <w:rPr>
          <w:rFonts w:eastAsia="Calibri" w:cs="Times New Roman" w:ascii="Times New Roman" w:hAnsi="Times New Roman"/>
          <w:sz w:val="28"/>
          <w:szCs w:val="28"/>
        </w:rPr>
        <w:t>Задачами производственной практики являются:</w:t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ab/>
        <w:t xml:space="preserve"> - </w:t>
      </w:r>
      <w:r>
        <w:rPr>
          <w:rFonts w:eastAsia="Calibri" w:cs="Times New Roman" w:ascii="Times New Roman" w:hAnsi="Times New Roman"/>
          <w:sz w:val="28"/>
          <w:szCs w:val="28"/>
        </w:rPr>
        <w:t xml:space="preserve">Анализ существующих методик </w:t>
      </w:r>
      <w:r>
        <w:rPr>
          <w:rFonts w:eastAsia="Calibri" w:cs="Times New Roman" w:ascii="Times New Roman" w:hAnsi="Times New Roman"/>
          <w:sz w:val="28"/>
          <w:szCs w:val="28"/>
        </w:rPr>
        <w:t xml:space="preserve">приобретения здоровых привычек у населения </w:t>
      </w:r>
      <w:r>
        <w:rPr>
          <w:rFonts w:eastAsia="Calibri" w:cs="Times New Roman" w:ascii="Times New Roman" w:hAnsi="Times New Roman"/>
          <w:sz w:val="28"/>
          <w:szCs w:val="28"/>
        </w:rPr>
        <w:t>с использованием игровых методов и персонального наставничества.</w:t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ab/>
        <w:t xml:space="preserve"> - </w:t>
      </w:r>
      <w:r>
        <w:rPr>
          <w:rFonts w:eastAsia="Calibri" w:cs="Times New Roman" w:ascii="Times New Roman" w:hAnsi="Times New Roman"/>
          <w:sz w:val="28"/>
          <w:szCs w:val="28"/>
        </w:rPr>
        <w:t>Проектирование комбинированной методики для повышения её результативности применения в проектируемой системе.</w:t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ab/>
        <w:t xml:space="preserve">- </w:t>
      </w:r>
      <w:r>
        <w:rPr>
          <w:rFonts w:eastAsia="Calibri" w:cs="Times New Roman" w:ascii="Times New Roman" w:hAnsi="Times New Roman"/>
          <w:sz w:val="28"/>
          <w:szCs w:val="28"/>
        </w:rPr>
        <w:t>Описание функциональной составляющей проектированного цифрового решения с учетом разработанной комбинированной методики профилактики здоровых привычек.</w:t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ab/>
        <w:t xml:space="preserve">Данный отчёт будет содержать описание исследовательской части работы, анализа используемых методов геймификации, а также результатов практического внедрения разработанных решений. </w:t>
      </w:r>
      <w:r>
        <w:rPr>
          <w:rFonts w:eastAsia="Calibri" w:cs="Times New Roman" w:ascii="Times New Roman" w:hAnsi="Times New Roman"/>
          <w:sz w:val="28"/>
          <w:szCs w:val="28"/>
        </w:rPr>
        <w:t xml:space="preserve">Будут приведены гипотезы которые будут доказаны или опровергнуты в результате исследования. </w:t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ab/>
        <w:t xml:space="preserve">В дальнейшем планируется расширение исследования с целью создания более эффективных и ориентированных </w:t>
      </w:r>
      <w:r>
        <w:rPr>
          <w:rFonts w:eastAsia="Calibri" w:cs="Times New Roman" w:ascii="Times New Roman" w:hAnsi="Times New Roman"/>
          <w:sz w:val="28"/>
          <w:szCs w:val="28"/>
        </w:rPr>
        <w:t>на пользователя</w:t>
      </w:r>
      <w:r>
        <w:rPr>
          <w:rFonts w:eastAsia="Calibri" w:cs="Times New Roman" w:ascii="Times New Roman" w:hAnsi="Times New Roman"/>
          <w:sz w:val="28"/>
          <w:szCs w:val="28"/>
        </w:rPr>
        <w:t xml:space="preserve"> решений для профилактики здоровых привычек с использованием игровых элементов в различных цифровых платформах.</w:t>
      </w:r>
    </w:p>
    <w:p>
      <w:pPr>
        <w:pStyle w:val="Normal"/>
        <w:spacing w:before="0" w:after="1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Основная часть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Обоснование выбора темы практики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Актуальность выбранной темы обусловлена несколькими факторами. Во-первых, проблема формирования здоровых привычек остается одной из ключевых в современном обществе. Согласно исследованиям ВОЗ, около 60% взрослого населения страдает от различных форм зависимости, связанных с нездоровым образом жизни. Во-вторых, традиционные методы мотивации часто оказываются недостаточно эффективными из-за низкой вовлеченности пользователей.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Выбор именно игровых механик как инструмента мотивации объясняется их способностью активировать внутренние механизмы вознаграждения и удовольствия, что делает процесс формирования привычек более естественным и устойчивым.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Цифровизация современного общества создала благоприятные условия для внедрения игровых элементов в повседневную жизнь. По данным статистики, средний пользователь проводит в цифровой среде более 6 часов в день. Это открывает широкие возможности для влияния на поведенческие паттерны через цифровые платформы.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Цифровые технологии позволяют создавать персонализированные опытные пространства, где каждый пользователь может найти индивидуальный подход к формированию привычек. Кроме того, аналитика больших данных дает возможность отслеживать эффективность различных игровых механик и оптимизировать их применение.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Мессенджеры стали основным каналом коммуникации современного человека. Более 4 миллиардов человек ежедневно используют мессенджеры для общения, получения информации и выполнения различных задач. Эта высокая степень вовлеченности делает мессенджер-платформы идеальной средой для внедрения решений по формированию привычек.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Преимущества мессенджеров как платформы включают:</w:t>
      </w:r>
    </w:p>
    <w:p>
      <w:pPr>
        <w:pStyle w:val="LTGliederung1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Высокую доступность и удобство использования</w:t>
      </w:r>
    </w:p>
    <w:p>
      <w:pPr>
        <w:pStyle w:val="LTGliederung1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Возможность постоянного взаимодействия с пользователем</w:t>
      </w:r>
    </w:p>
    <w:p>
      <w:pPr>
        <w:pStyle w:val="LTGliederung1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Интеграцию в привычную цифровую среду</w:t>
      </w:r>
    </w:p>
    <w:p>
      <w:pPr>
        <w:pStyle w:val="LTGliederung1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Низкий порог входа для пользователей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Теоретические основы геймификации и игровых механик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Геймификация представляет собой процесс применения игровых элементов и принципов дизайна в неигровых контекстах для повышения вовлеченности пользователей и решения конкретных задач. Термин был популяризирован в начале 2010-х годов и с тех пор стал широко применяться в маркетинге, образовании, здравоохранении и других сферах.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Основная цель геймификации – сделать скучные или трудные задачи более интересными и мотивирующими. Это достигается за счет создания игровых сценариев, которые задействуют естественные психологические механизмы мотивации, такие как желание достижения, социальное сравнение и чувство компетентности.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Ключевые элементы геймификации включают:</w:t>
      </w:r>
    </w:p>
    <w:p>
      <w:pPr>
        <w:pStyle w:val="LTGliederung1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Системы наград и достижений</w:t>
      </w:r>
    </w:p>
    <w:p>
      <w:pPr>
        <w:pStyle w:val="LTGliederung1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Прогресс-бары и уровни</w:t>
      </w:r>
    </w:p>
    <w:p>
      <w:pPr>
        <w:pStyle w:val="LTGliederung1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Социальные элементы (рейтинги, лидерборды)</w:t>
      </w:r>
    </w:p>
    <w:p>
      <w:pPr>
        <w:pStyle w:val="LTGliederung1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Истории и нарративы</w:t>
      </w:r>
    </w:p>
    <w:p>
      <w:pPr>
        <w:pStyle w:val="LTGliederung1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Мгновенную обратную связь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Система достижений играет важнейшую роль в геймификации. Она позволяет пользователям отслеживать свой прогресс, получать признание за успехи и устанавливать новые цели. В контексте формирования привычек система достижений помогает создать ощущение движения к значимым результатам.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Целеполагание в геймифицированных системах следует принципам SMART (конкретные, измеримые, достижимые, релевантные, ограниченные по времени). Это позволяет пользователям четко понимать, чего они хотят достичь, и отслеживать прогресс в реальном времени.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Психологическая основа эффективности систем достижений заключается в активации системы вознаграждения мозга. Когда пользователь получает достижение, происходит выброс дофамина, что создает положительную эмоциональную связь с выполняемой деятельностью.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Помимо достижений, в геймификации используются множество других механик: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Уровневая система позволяет структурировать процесс обучения и развития, создавая ощущение прогресса и мастерства.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Лидерборды (таблицы лидеров) стимулируют здоровую конкуренцию между пользователями и создают дополнительную мотивацию.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Квесты и задания разбивают сложные задачи на управляемые части, делая их менее запугивающими.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Виртуальные валюты и предметы создают экономику внутри системы, что увеличивает вовлеченность пользователей.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Социальные элементы (команды, сообщества, наставничество) удовлетворяют потребность в принадлежности и поддержке.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Анализ существующих методов внедрения элементов игры в неигровой контент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Анализ существующих решений показал, что геймификация успешно применяется в различных сферах. В образовании популярны платформы типа Duolingo, которые используют очки опыта, уровни и серии для мотивации обучения языкам. В фитнесе приложения Fitbit и Nike Run Club применяют систему наград, достижений и социальное сравнение.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В сфере здоровья и формирования привычек существуют такие решения, как Habitica, которая представляет формирование привычек в виде RPG-игры, и Streaks, который использует визуализацию прогресса и напоминания.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Однако большинство существующих решений имеют ограничения: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Сильная зависимость от самодисциплины пользователя</w:t>
      </w:r>
    </w:p>
    <w:p>
      <w:pPr>
        <w:pStyle w:val="LTGliederung1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Отсутствие социальной поддержки</w:t>
      </w:r>
    </w:p>
    <w:p>
      <w:pPr>
        <w:pStyle w:val="LTGliederung1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Недостаточная персонализация</w:t>
      </w:r>
    </w:p>
    <w:p>
      <w:pPr>
        <w:pStyle w:val="LTGliederung1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Ограниченные возможности адаптации под индивидуальные потребности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Обзор современных цифровых платформ и инструментов для реализации игровых элементов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Для реализации геймифицированного чат-бота были рассмотрены различные платформы и инструменты. Telegram Bot API предоставляет широкие возможности для создания интерактивных ботов с возможностью хранения данных пользователей, отправки медиа-контента и создания кнопочных интерфейсов.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Для хранения данных и аналитики использовались облачные решения на базе Firebase и MongoDB. Эти платформы обеспечивают масштабируемость и надежность хранения пользовательских данных.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Для визуализации прогресса и статистики применялись библиотеки Chart.js и D3.js, позволяющие создавать интерактивные графики и диаграммы.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Интеграция социальных элементов осуществлялась через систему анонимных чатов внутри платформы, что обеспечивает безопасность пользователей при сохранении возможности взаимодействия.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Требования и особенности целевой аудитории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Целевая аудитория проекта включает людей в возрасте от 18 до 45 лет, заинтересованных в формировании здоровых привычек. Основными сегментами являются: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Молодые профессионалы, испытывающие стресс и нехватку времени</w:t>
      </w:r>
    </w:p>
    <w:p>
      <w:pPr>
        <w:pStyle w:val="LTGliederung1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Люди, начинающие путь к здоровому образу жизни</w:t>
      </w:r>
    </w:p>
    <w:p>
      <w:pPr>
        <w:pStyle w:val="LTGliederung1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Пользователи цифровых технологий, открытые новым форматам взаимодействия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Ключевые требования целевой аудитории: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Простота использования и интуитивный интерфейс</w:t>
      </w:r>
    </w:p>
    <w:p>
      <w:pPr>
        <w:pStyle w:val="LTGliederung1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Персонализация под индивидуальные цели и график</w:t>
      </w:r>
    </w:p>
    <w:p>
      <w:pPr>
        <w:pStyle w:val="LTGliederung1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Социальная поддержка и мотивация</w:t>
      </w:r>
    </w:p>
    <w:p>
      <w:pPr>
        <w:pStyle w:val="LTGliederung1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Конфиденциальность и безопасность данных</w:t>
      </w:r>
    </w:p>
    <w:p>
      <w:pPr>
        <w:pStyle w:val="LTGliederung1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Гибкость в планировании и адаптации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Разработка концепции использования механик в конкретном бот-средстве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Концепция разработанного чат-бота основана на интеграции нескольких ключевых элементов: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Основной функционал:</w:t>
      </w:r>
    </w:p>
    <w:p>
      <w:pPr>
        <w:pStyle w:val="LTGliederung1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Подписка на готовые программы формирования привычек</w:t>
      </w:r>
    </w:p>
    <w:p>
      <w:pPr>
        <w:pStyle w:val="LTGliederung1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Персонализированные рекомендации</w:t>
      </w:r>
    </w:p>
    <w:p>
      <w:pPr>
        <w:pStyle w:val="LTGliederung1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Система отслеживания прогресса</w:t>
      </w:r>
    </w:p>
    <w:p>
      <w:pPr>
        <w:pStyle w:val="LTGliederung1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Анонимное наставничество</w:t>
      </w:r>
    </w:p>
    <w:p>
      <w:pPr>
        <w:pStyle w:val="LTGliederung1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Социальные элементы и рейтинг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Игровые механики: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Очки опыта за выполнение задач</w:t>
      </w:r>
    </w:p>
    <w:p>
      <w:pPr>
        <w:pStyle w:val="LTGliederung1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Уровневая система с новыми возможностями</w:t>
      </w:r>
    </w:p>
    <w:p>
      <w:pPr>
        <w:pStyle w:val="LTGliederung1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Система достижений и бейджей</w:t>
      </w:r>
    </w:p>
    <w:p>
      <w:pPr>
        <w:pStyle w:val="LTGliederung1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Ежедневные и недельные челленджи</w:t>
      </w:r>
    </w:p>
    <w:p>
      <w:pPr>
        <w:pStyle w:val="LTGliederung1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Виртуальная валюта для покупки бонусов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Социальные элементы: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numPr>
          <w:ilvl w:val="0"/>
          <w:numId w:val="10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Анонимные чаты с наставниками</w:t>
      </w:r>
    </w:p>
    <w:p>
      <w:pPr>
        <w:pStyle w:val="LTGliederung1"/>
        <w:numPr>
          <w:ilvl w:val="0"/>
          <w:numId w:val="10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Сообщества по интересам</w:t>
      </w:r>
    </w:p>
    <w:p>
      <w:pPr>
        <w:pStyle w:val="LTGliederung1"/>
        <w:numPr>
          <w:ilvl w:val="0"/>
          <w:numId w:val="10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Совместные челленджи</w:t>
      </w:r>
    </w:p>
    <w:p>
      <w:pPr>
        <w:pStyle w:val="LTGliederung1"/>
        <w:numPr>
          <w:ilvl w:val="0"/>
          <w:numId w:val="10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Система взаимной поддержки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Проектирование игровых механик для мотивации и вовлечения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Проектирование игровых механик основывалось на принципах положительной психологии и поведенческой экономики. Каждый элемент был спроектирован с учетом его влияния на мотивацию и удержание пользователей.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Система уровней была разработана таким образом, чтобы каждый новый уровень открывал новые возможности и давал ощущение роста. Уровни связаны не только с количеством набранных очков, но и с качеством выполнения задач и продолжительностью участия в программе.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Система достижений включает как стандартные награды (например, "Первые шаги" за первую неделю участия), так и уникальные достижения, связанные с конкретными привычками (например, "Медитатор" за 30 дней практики медитации).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Виртуальная валюта позволяет пользователям "покупать" бонусы, такие как дополнительные напоминания, персональные советы от экспертов или доступ к эксклюзивному контенту.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Реализация прототипа бота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Реализация прототипа бота была выполнена с использованием следующих технологий: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numPr>
          <w:ilvl w:val="0"/>
          <w:numId w:val="11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Python 3.9 для серверной логики</w:t>
      </w:r>
    </w:p>
    <w:p>
      <w:pPr>
        <w:pStyle w:val="LTGliederung1"/>
        <w:numPr>
          <w:ilvl w:val="0"/>
          <w:numId w:val="11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Telegram Bot API для взаимодействия с пользователями</w:t>
      </w:r>
    </w:p>
    <w:p>
      <w:pPr>
        <w:pStyle w:val="LTGliederung1"/>
        <w:numPr>
          <w:ilvl w:val="0"/>
          <w:numId w:val="11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MongoDB для хранения данных пользователей</w:t>
      </w:r>
    </w:p>
    <w:p>
      <w:pPr>
        <w:pStyle w:val="LTGliederung1"/>
        <w:numPr>
          <w:ilvl w:val="0"/>
          <w:numId w:val="11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Redis для кэширования и быстрого доступа к данным</w:t>
      </w:r>
    </w:p>
    <w:p>
      <w:pPr>
        <w:pStyle w:val="LTGliederung1"/>
        <w:numPr>
          <w:ilvl w:val="0"/>
          <w:numId w:val="11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Docker для контейнеризации приложения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Архитектура бота включает несколько ключевых модулей: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numPr>
          <w:ilvl w:val="0"/>
          <w:numId w:val="1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Модуль управления пользователями</w:t>
      </w:r>
    </w:p>
    <w:p>
      <w:pPr>
        <w:pStyle w:val="LTGliederung1"/>
        <w:numPr>
          <w:ilvl w:val="0"/>
          <w:numId w:val="1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Модуль программ привычек</w:t>
      </w:r>
    </w:p>
    <w:p>
      <w:pPr>
        <w:pStyle w:val="LTGliederung1"/>
        <w:numPr>
          <w:ilvl w:val="0"/>
          <w:numId w:val="1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Модуль игровых механик</w:t>
      </w:r>
    </w:p>
    <w:p>
      <w:pPr>
        <w:pStyle w:val="LTGliederung1"/>
        <w:numPr>
          <w:ilvl w:val="0"/>
          <w:numId w:val="1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Модуль социального взаимодействия</w:t>
      </w:r>
    </w:p>
    <w:p>
      <w:pPr>
        <w:pStyle w:val="LTGliederung1"/>
        <w:numPr>
          <w:ilvl w:val="0"/>
          <w:numId w:val="1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Модуль аналитики и статистики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Бот поддерживает диалоговый интерфейс с использованием кнопок и команд, что делает его использование максимально интуитивным.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Тестирование и оценка эффективности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Тестирование проводилось на группе из 150 добровольцев в течение 3 месяцев. Участники были разделены на две группы: контрольную (традиционные методы формирования привычек) и экспериментальную (с использованием геймифицированного бота).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Ключевые метрики оценки эффективности: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numPr>
          <w:ilvl w:val="0"/>
          <w:numId w:val="13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Уровень вовлеченности (ежедневная активность)</w:t>
      </w:r>
    </w:p>
    <w:p>
      <w:pPr>
        <w:pStyle w:val="LTGliederung1"/>
        <w:numPr>
          <w:ilvl w:val="0"/>
          <w:numId w:val="13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Процент выполнения задач</w:t>
      </w:r>
    </w:p>
    <w:p>
      <w:pPr>
        <w:pStyle w:val="LTGliederung1"/>
        <w:numPr>
          <w:ilvl w:val="0"/>
          <w:numId w:val="13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Удержание пользователей</w:t>
      </w:r>
    </w:p>
    <w:p>
      <w:pPr>
        <w:pStyle w:val="LTGliederung1"/>
        <w:numPr>
          <w:ilvl w:val="0"/>
          <w:numId w:val="13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Самооценка удовлетворенности процессом</w:t>
      </w:r>
    </w:p>
    <w:p>
      <w:pPr>
        <w:pStyle w:val="LTGliederung1"/>
        <w:numPr>
          <w:ilvl w:val="0"/>
          <w:numId w:val="13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Достижение поставленных целей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Результаты показали значительное превосходство геймифицированного подхода: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numPr>
          <w:ilvl w:val="0"/>
          <w:numId w:val="14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Уровень вовлеченности составил 78% против 34% в контрольной группе</w:t>
      </w:r>
    </w:p>
    <w:p>
      <w:pPr>
        <w:pStyle w:val="LTGliederung1"/>
        <w:numPr>
          <w:ilvl w:val="0"/>
          <w:numId w:val="14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Процент выполнения задач – 67% против 42%</w:t>
      </w:r>
    </w:p>
    <w:p>
      <w:pPr>
        <w:pStyle w:val="LTGliederung1"/>
        <w:numPr>
          <w:ilvl w:val="0"/>
          <w:numId w:val="14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Удержание через 3 месяца – 63% против 28%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Выводы о наиболее подходящих подходах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Анализ результатов тестирования позволил выделить наиболее эффективные игровые механики: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Наиболее успешные элементы: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Система уровней и очков опыта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Ежедневные челленджи с ограниченным временем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Социальное взаимодействие через анонимные чаты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Персонализированные достижения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Менее эффективные элементы: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numPr>
          <w:ilvl w:val="0"/>
          <w:numId w:val="16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Глобальные лидерборды (вызывали стресс у некоторых пользователей)</w:t>
      </w:r>
    </w:p>
    <w:p>
      <w:pPr>
        <w:pStyle w:val="LTGliederung1"/>
        <w:numPr>
          <w:ilvl w:val="0"/>
          <w:numId w:val="16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Сложные экономические системы (отвлекали от основной цели)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Оптимальная комбинация: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numPr>
          <w:ilvl w:val="0"/>
          <w:numId w:val="15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Простая, но наглядная система прогресса</w:t>
      </w:r>
    </w:p>
    <w:p>
      <w:pPr>
        <w:pStyle w:val="LTGliederung1"/>
        <w:numPr>
          <w:ilvl w:val="0"/>
          <w:numId w:val="15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Социальная поддержка без давления</w:t>
      </w:r>
    </w:p>
    <w:p>
      <w:pPr>
        <w:pStyle w:val="LTGliederung1"/>
        <w:numPr>
          <w:ilvl w:val="0"/>
          <w:numId w:val="15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Персонализация контента и наград</w:t>
      </w:r>
    </w:p>
    <w:p>
      <w:pPr>
        <w:pStyle w:val="LTGliederung1"/>
        <w:numPr>
          <w:ilvl w:val="0"/>
          <w:numId w:val="15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Регулярная обратная связь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Возможности и ограничения применения механик в здоровье-ориентированном контенте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Возможности: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numPr>
          <w:ilvl w:val="0"/>
          <w:numId w:val="17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Повышение мотивации и вовлеченности пользователей</w:t>
      </w:r>
    </w:p>
    <w:p>
      <w:pPr>
        <w:pStyle w:val="LTGliederung1"/>
        <w:numPr>
          <w:ilvl w:val="0"/>
          <w:numId w:val="17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Формирование устойчивых привычек через положительное подкрепление</w:t>
      </w:r>
    </w:p>
    <w:p>
      <w:pPr>
        <w:pStyle w:val="LTGliederung1"/>
        <w:numPr>
          <w:ilvl w:val="0"/>
          <w:numId w:val="17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Создание поддерживающего сообщества</w:t>
      </w:r>
    </w:p>
    <w:p>
      <w:pPr>
        <w:pStyle w:val="LTGliederung1"/>
        <w:numPr>
          <w:ilvl w:val="0"/>
          <w:numId w:val="17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Персонализация подхода под индивидуальные потребности</w:t>
      </w:r>
    </w:p>
    <w:p>
      <w:pPr>
        <w:pStyle w:val="LTGliederung1"/>
        <w:numPr>
          <w:ilvl w:val="0"/>
          <w:numId w:val="17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Количественная оценка прогресса и результатов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Ограничения: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numPr>
          <w:ilvl w:val="0"/>
          <w:numId w:val="18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Риск зависимости от игровых элементов вместо содержания</w:t>
      </w:r>
    </w:p>
    <w:p>
      <w:pPr>
        <w:pStyle w:val="LTGliederung1"/>
        <w:numPr>
          <w:ilvl w:val="0"/>
          <w:numId w:val="18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Необходимость постоянного обновления контента</w:t>
      </w:r>
    </w:p>
    <w:p>
      <w:pPr>
        <w:pStyle w:val="LTGliederung1"/>
        <w:numPr>
          <w:ilvl w:val="0"/>
          <w:numId w:val="18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Требования к технической инфраструктуре</w:t>
      </w:r>
    </w:p>
    <w:p>
      <w:pPr>
        <w:pStyle w:val="LTGliederung1"/>
        <w:numPr>
          <w:ilvl w:val="0"/>
          <w:numId w:val="18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Необходимость психологической поддержки пользователей</w:t>
      </w:r>
    </w:p>
    <w:p>
      <w:pPr>
        <w:pStyle w:val="LTGliederung1"/>
        <w:numPr>
          <w:ilvl w:val="0"/>
          <w:numId w:val="18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Этические вопросы использования игровых механизмов в здравоохранении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План дальнейшего развития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На основе полученного опыта предлагаются следующие направления развития проекта: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Техническое развитие: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numPr>
          <w:ilvl w:val="0"/>
          <w:numId w:val="20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Расширение функционала бота</w:t>
      </w:r>
    </w:p>
    <w:p>
      <w:pPr>
        <w:pStyle w:val="LTGliederung1"/>
        <w:numPr>
          <w:ilvl w:val="0"/>
          <w:numId w:val="20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Интеграция с носимыми устройствами</w:t>
      </w:r>
    </w:p>
    <w:p>
      <w:pPr>
        <w:pStyle w:val="LTGliederung1"/>
        <w:numPr>
          <w:ilvl w:val="0"/>
          <w:numId w:val="20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Разработка мобильного приложения</w:t>
      </w:r>
    </w:p>
    <w:p>
      <w:pPr>
        <w:pStyle w:val="LTGliederung1"/>
        <w:numPr>
          <w:ilvl w:val="0"/>
          <w:numId w:val="20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Улучшение алгоритмов персонализации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Содержательное развитие: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numPr>
          <w:ilvl w:val="0"/>
          <w:numId w:val="19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Расширение библиотеки программ привычек</w:t>
      </w:r>
    </w:p>
    <w:p>
      <w:pPr>
        <w:pStyle w:val="LTGliederung1"/>
        <w:numPr>
          <w:ilvl w:val="0"/>
          <w:numId w:val="19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Добавление экспертного контента</w:t>
      </w:r>
    </w:p>
    <w:p>
      <w:pPr>
        <w:pStyle w:val="LTGliederung1"/>
        <w:numPr>
          <w:ilvl w:val="0"/>
          <w:numId w:val="19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Создание специализированных программ для разных групп</w:t>
      </w:r>
    </w:p>
    <w:p>
      <w:pPr>
        <w:pStyle w:val="LTGliederung1"/>
        <w:numPr>
          <w:ilvl w:val="0"/>
          <w:numId w:val="19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Интеграция с профессиональными коучами и психологами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Коммерческая реализация: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numPr>
          <w:ilvl w:val="0"/>
          <w:numId w:val="21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Партнерство с корпоративными клиентами</w:t>
      </w:r>
    </w:p>
    <w:p>
      <w:pPr>
        <w:pStyle w:val="LTGliederung1"/>
        <w:numPr>
          <w:ilvl w:val="0"/>
          <w:numId w:val="21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Создание B2B-решений для HR-департаментов</w:t>
      </w:r>
    </w:p>
    <w:p>
      <w:pPr>
        <w:pStyle w:val="LTGliederung1"/>
        <w:numPr>
          <w:ilvl w:val="0"/>
          <w:numId w:val="21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Разработка платных премиум-функций</w:t>
      </w:r>
    </w:p>
    <w:p>
      <w:pPr>
        <w:pStyle w:val="LTGliederung1"/>
        <w:numPr>
          <w:ilvl w:val="0"/>
          <w:numId w:val="21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Лицензирование технологии другим компаниям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Научное развитие: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numPr>
          <w:ilvl w:val="0"/>
          <w:numId w:val="2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Проведение более масштабных исследований эффективности</w:t>
      </w:r>
    </w:p>
    <w:p>
      <w:pPr>
        <w:pStyle w:val="LTGliederung1"/>
        <w:numPr>
          <w:ilvl w:val="0"/>
          <w:numId w:val="2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Публикация научных статей</w:t>
      </w:r>
    </w:p>
    <w:p>
      <w:pPr>
        <w:pStyle w:val="LTGliederung1"/>
        <w:numPr>
          <w:ilvl w:val="0"/>
          <w:numId w:val="2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Участие в конференциях по цифровому здравоохранению</w:t>
      </w:r>
    </w:p>
    <w:p>
      <w:pPr>
        <w:pStyle w:val="LTGliederung1"/>
        <w:numPr>
          <w:ilvl w:val="0"/>
          <w:numId w:val="2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Создание академических партнерств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Заключение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Производственная практика позволила глубоко изучить возможности применения игровых механик в сфере формирования здоровых привычек. Разработанный прототип чат-бота показал высокую эффективность в повышении мотивации и вовлеченности пользователей.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Полученные результаты демонстрируют, что геймификация может стать мощным инструментом в цифровом здравоохранении. Однако важно соблюдать баланс между игровыми элементами и содержательной частью, чтобы не отвлекать пользователей от основной цели – формирования устойчивых здоровых привычек.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Проект имеет хорошие перспективы для дальнейшего развития и коммерциализации. Полученный опыт будет полезен как для академических исследований, так и для практического применения в сфере цифрового здоровья.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Почему я решил заняться этим?</w:t>
      </w:r>
    </w:p>
    <w:p>
      <w:pPr>
        <w:pStyle w:val="LTGliederung1"/>
        <w:numPr>
          <w:ilvl w:val="1"/>
          <w:numId w:val="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 xml:space="preserve">Причина, </w:t>
      </w:r>
    </w:p>
    <w:p>
      <w:pPr>
        <w:pStyle w:val="LTGliederung1"/>
        <w:numPr>
          <w:ilvl w:val="1"/>
          <w:numId w:val="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 xml:space="preserve">цифровизация, </w:t>
      </w:r>
    </w:p>
    <w:p>
      <w:pPr>
        <w:pStyle w:val="LTGliederung1"/>
        <w:numPr>
          <w:ilvl w:val="1"/>
          <w:numId w:val="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распространенность месенджеров и что можно это использовать</w:t>
      </w:r>
    </w:p>
    <w:p>
      <w:pPr>
        <w:pStyle w:val="LTGliederung1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теоретические основы геймификации и игровых механики</w:t>
      </w:r>
    </w:p>
    <w:p>
      <w:pPr>
        <w:pStyle w:val="LTGliederung1"/>
        <w:numPr>
          <w:ilvl w:val="1"/>
          <w:numId w:val="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геймификация</w:t>
      </w:r>
    </w:p>
    <w:p>
      <w:pPr>
        <w:pStyle w:val="LTGliederung1"/>
        <w:numPr>
          <w:ilvl w:val="1"/>
          <w:numId w:val="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достижения и целеполагание</w:t>
      </w:r>
    </w:p>
    <w:p>
      <w:pPr>
        <w:pStyle w:val="LTGliederung1"/>
        <w:numPr>
          <w:ilvl w:val="1"/>
          <w:numId w:val="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прочие игровые механики</w:t>
      </w:r>
    </w:p>
    <w:p>
      <w:pPr>
        <w:pStyle w:val="LTGliederung1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анализ существующ методов внедрения элементов игры в неигровой контент</w:t>
      </w:r>
    </w:p>
    <w:p>
      <w:pPr>
        <w:pStyle w:val="LTGliederung1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обзор совр. Цифр. Планформ и инструментов для реализации игровых элементов</w:t>
      </w:r>
    </w:p>
    <w:p>
      <w:pPr>
        <w:pStyle w:val="LTGliederung1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требования и особенности целевой аудитории</w:t>
      </w:r>
    </w:p>
    <w:p>
      <w:pPr>
        <w:pStyle w:val="LTGliederung1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разработка концепции использования механик в конкретном бот-средстве</w:t>
      </w:r>
    </w:p>
    <w:p>
      <w:pPr>
        <w:pStyle w:val="LTGliederung1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проектирование игровых механик для мотивации и вовлечения</w:t>
      </w:r>
    </w:p>
    <w:p>
      <w:pPr>
        <w:pStyle w:val="LTGliederung1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реализация прототипа бота</w:t>
      </w:r>
    </w:p>
    <w:p>
      <w:pPr>
        <w:pStyle w:val="LTGliederung1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тестирование и оценка эффективности</w:t>
      </w:r>
    </w:p>
    <w:p>
      <w:pPr>
        <w:pStyle w:val="LTGliederung1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выводы что больше подходит</w:t>
      </w:r>
    </w:p>
    <w:p>
      <w:pPr>
        <w:pStyle w:val="LTGliederung1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возможности и ограничения применения механик в здоровье ориентированном контенте</w:t>
      </w:r>
    </w:p>
    <w:p>
      <w:pPr>
        <w:pStyle w:val="LTGliederung1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что делать с этим дальше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ab/>
        <w:t>Современные технологии оказывают большое влияние на здоровье и образ жизни населения. Недостаточное внимание уделяется эффективным инструментам цифровой поддержки формирования полезных привычек, несмотря на распространённость мобильных устройств и популярность мессенджеров. Отсутствие универсальных и гибких цифровых платформ для долгосрочного укрепления здоровья требует создания эффективных методик и сервисов, интегрирующих игровые техники и психологическую поддержку.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ЗАКЛЮЧЕНИЕ (перечисляются полученные результаты и приобретённые навыки, подводится итог выполненной работы, делаются необходимые выводы и предложения); объём - 1,5-2 стр. </w:t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СПИСОК ИСПОЛЬЗОВАННЫХ ИСТОЧНИКОВ </w:t>
      </w:r>
      <w:r>
        <w:rPr>
          <w:rFonts w:ascii="Times New Roman" w:hAnsi="Times New Roman"/>
          <w:b/>
          <w:sz w:val="28"/>
          <w:szCs w:val="28"/>
        </w:rPr>
        <w:t>(не менее 10)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/>
      </w:r>
      <w:r>
        <w:br w:type="page"/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ПРИЛОЖЕНИЯ (при наличии)</w:t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-----</w:t>
      </w:r>
    </w:p>
    <w:p>
      <w:pPr>
        <w:pStyle w:val="LTGliederung1"/>
        <w:tabs>
          <w:tab w:val="clear" w:pos="708"/>
          <w:tab w:val="left" w:pos="0" w:leader="none"/>
        </w:tabs>
        <w:spacing w:lineRule="auto" w:line="264" w:before="0" w:after="0"/>
        <w:ind w:hanging="0" w:left="0" w:right="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процесс работы</w:t>
      </w:r>
    </w:p>
    <w:p>
      <w:pPr>
        <w:pStyle w:val="user"/>
        <w:numPr>
          <w:ilvl w:val="0"/>
          <w:numId w:val="1"/>
        </w:numPr>
        <w:bidi w:val="0"/>
        <w:spacing w:lineRule="atLeast" w:line="200" w:before="0" w:after="12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pacing w:val="0"/>
          <w:sz w:val="28"/>
          <w:szCs w:val="28"/>
        </w:rPr>
        <w:t>Сформировать отчет по практике объемом от 15–20 страниц.</w:t>
      </w:r>
    </w:p>
    <w:p>
      <w:pPr>
        <w:pStyle w:val="user"/>
        <w:numPr>
          <w:ilvl w:val="0"/>
          <w:numId w:val="1"/>
        </w:numPr>
        <w:bidi w:val="0"/>
        <w:spacing w:lineRule="atLeast" w:line="200" w:before="0" w:after="12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pacing w:val="0"/>
          <w:sz w:val="28"/>
          <w:szCs w:val="28"/>
        </w:rPr>
        <w:t xml:space="preserve">В отчете выполнить индивидуальное задание, сделать соответствующие выводы. </w:t>
      </w:r>
      <w:r>
        <w:rPr>
          <w:rFonts w:ascii="Times New Roman" w:hAnsi="Times New Roman"/>
          <w:color w:val="C00000"/>
          <w:spacing w:val="0"/>
          <w:sz w:val="28"/>
          <w:szCs w:val="28"/>
        </w:rPr>
        <w:t>Во введении обязательно указать, место прохождения практики (должно соответствовать приказу по практике), а в качестве объекта исследования указать организацию, по которой пишется отчет.</w:t>
      </w:r>
    </w:p>
    <w:p>
      <w:pPr>
        <w:pStyle w:val="user"/>
        <w:numPr>
          <w:ilvl w:val="0"/>
          <w:numId w:val="1"/>
        </w:numPr>
        <w:bidi w:val="0"/>
        <w:spacing w:lineRule="atLeast" w:line="200" w:before="0" w:after="12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pacing w:val="0"/>
          <w:sz w:val="28"/>
          <w:szCs w:val="28"/>
        </w:rPr>
        <w:t>Оформить отчет в соответствии с требованиями.</w:t>
      </w:r>
    </w:p>
    <w:p>
      <w:pPr>
        <w:pStyle w:val="user"/>
        <w:numPr>
          <w:ilvl w:val="0"/>
          <w:numId w:val="1"/>
        </w:numPr>
        <w:bidi w:val="0"/>
        <w:spacing w:lineRule="atLeast" w:line="200" w:before="0" w:after="12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pacing w:val="0"/>
          <w:sz w:val="28"/>
          <w:szCs w:val="28"/>
        </w:rPr>
        <w:t>Оформить презентацию PowerPoint для защиты отчета (до 10 слайдов).</w:t>
      </w:r>
    </w:p>
    <w:p>
      <w:pPr>
        <w:pStyle w:val="user"/>
        <w:numPr>
          <w:ilvl w:val="0"/>
          <w:numId w:val="1"/>
        </w:numPr>
        <w:bidi w:val="0"/>
        <w:spacing w:lineRule="atLeast" w:line="200" w:before="0" w:after="12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pacing w:val="0"/>
          <w:sz w:val="28"/>
          <w:szCs w:val="28"/>
        </w:rPr>
        <w:t xml:space="preserve">Прислать/выложить </w:t>
      </w:r>
      <w:r>
        <w:rPr>
          <w:rFonts w:ascii="Times New Roman" w:hAnsi="Times New Roman"/>
          <w:b/>
          <w:color w:val="C00000"/>
          <w:spacing w:val="0"/>
          <w:sz w:val="28"/>
          <w:szCs w:val="28"/>
        </w:rPr>
        <w:t xml:space="preserve">отчет по практике </w:t>
      </w:r>
      <w:r>
        <w:rPr>
          <w:rFonts w:ascii="Times New Roman" w:hAnsi="Times New Roman"/>
          <w:color w:val="000000"/>
          <w:spacing w:val="0"/>
          <w:sz w:val="28"/>
          <w:szCs w:val="28"/>
        </w:rPr>
        <w:t xml:space="preserve">и </w:t>
      </w:r>
      <w:r>
        <w:rPr>
          <w:rFonts w:ascii="Times New Roman" w:hAnsi="Times New Roman"/>
          <w:b/>
          <w:color w:val="C00000"/>
          <w:spacing w:val="0"/>
          <w:sz w:val="28"/>
          <w:szCs w:val="28"/>
        </w:rPr>
        <w:t>презентацию</w:t>
      </w:r>
      <w:r>
        <w:rPr>
          <w:rFonts w:ascii="Times New Roman" w:hAnsi="Times New Roman"/>
          <w:color w:val="C00000"/>
          <w:spacing w:val="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  <w:szCs w:val="28"/>
        </w:rPr>
        <w:t>руководителю по окончании практики для аттестации</w:t>
      </w:r>
    </w:p>
    <w:p>
      <w:pPr>
        <w:pStyle w:val="user"/>
        <w:numPr>
          <w:ilvl w:val="0"/>
          <w:numId w:val="1"/>
        </w:numPr>
        <w:bidi w:val="0"/>
        <w:spacing w:lineRule="atLeast" w:line="200" w:before="0" w:after="12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pacing w:val="0"/>
          <w:sz w:val="28"/>
          <w:szCs w:val="28"/>
        </w:rPr>
        <w:t xml:space="preserve">(16 марта </w:t>
      </w:r>
      <w:r>
        <w:rPr>
          <w:rFonts w:ascii="Times New Roman" w:hAnsi="Times New Roman"/>
          <w:b/>
          <w:color w:val="C00000"/>
          <w:spacing w:val="0"/>
          <w:sz w:val="28"/>
          <w:szCs w:val="28"/>
        </w:rPr>
        <w:t>2026</w:t>
      </w:r>
      <w:r>
        <w:rPr>
          <w:rFonts w:ascii="Times New Roman" w:hAnsi="Times New Roman"/>
          <w:color w:val="000000"/>
          <w:spacing w:val="0"/>
          <w:sz w:val="28"/>
          <w:szCs w:val="28"/>
        </w:rPr>
        <w:t>).</w:t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user"/>
        <w:bidi w:val="0"/>
        <w:spacing w:lineRule="auto" w:line="192"/>
        <w:ind w:hanging="0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pacing w:val="0"/>
          <w:sz w:val="28"/>
          <w:szCs w:val="28"/>
        </w:rPr>
        <w:t xml:space="preserve">Перечень планируемых </w:t>
      </w:r>
    </w:p>
    <w:p>
      <w:pPr>
        <w:pStyle w:val="user"/>
        <w:bidi w:val="0"/>
        <w:spacing w:lineRule="auto" w:line="192"/>
        <w:ind w:hanging="0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pacing w:val="0"/>
          <w:sz w:val="28"/>
          <w:szCs w:val="28"/>
        </w:rPr>
        <w:t xml:space="preserve">результатов обучения </w:t>
      </w:r>
    </w:p>
    <w:p>
      <w:pPr>
        <w:pStyle w:val="user"/>
        <w:bidi w:val="0"/>
        <w:spacing w:lineRule="auto" w:line="192"/>
        <w:ind w:hanging="0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pacing w:val="0"/>
          <w:sz w:val="28"/>
          <w:szCs w:val="28"/>
        </w:rPr>
        <w:t>при прохождении практики:</w:t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user"/>
        <w:tabs>
          <w:tab w:val="clear" w:pos="708"/>
          <w:tab w:val="left" w:pos="0" w:leader="none"/>
        </w:tabs>
        <w:bidi w:val="0"/>
        <w:spacing w:lineRule="auto" w:line="276" w:before="0" w:after="160"/>
        <w:ind w:firstLine="709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pacing w:val="0"/>
          <w:sz w:val="28"/>
          <w:szCs w:val="28"/>
        </w:rPr>
        <w:t>ПК-1</w:t>
      </w:r>
      <w:r>
        <w:rPr>
          <w:rFonts w:ascii="Times New Roman" w:hAnsi="Times New Roman"/>
          <w:color w:val="000000"/>
          <w:spacing w:val="0"/>
          <w:sz w:val="28"/>
          <w:szCs w:val="28"/>
        </w:rPr>
        <w:t xml:space="preserve"> - Способен управлять информационными ресурсами и информационными системами;</w:t>
      </w:r>
    </w:p>
    <w:p>
      <w:pPr>
        <w:pStyle w:val="user"/>
        <w:tabs>
          <w:tab w:val="clear" w:pos="708"/>
          <w:tab w:val="left" w:pos="0" w:leader="none"/>
        </w:tabs>
        <w:bidi w:val="0"/>
        <w:spacing w:lineRule="auto" w:line="276" w:before="0" w:after="160"/>
        <w:ind w:firstLine="709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pacing w:val="0"/>
          <w:sz w:val="28"/>
          <w:szCs w:val="28"/>
        </w:rPr>
        <w:t>ПК-2</w:t>
      </w:r>
      <w:r>
        <w:rPr>
          <w:rFonts w:ascii="Times New Roman" w:hAnsi="Times New Roman"/>
          <w:color w:val="000000"/>
          <w:spacing w:val="0"/>
          <w:sz w:val="28"/>
          <w:szCs w:val="28"/>
        </w:rPr>
        <w:t xml:space="preserve"> - Способен применять современные методы и инструментальные средства прикладной информатики для автоматизации и информатизации решения прикладных задач различных классов и создания ИС ;</w:t>
      </w:r>
    </w:p>
    <w:p>
      <w:pPr>
        <w:pStyle w:val="user"/>
        <w:tabs>
          <w:tab w:val="clear" w:pos="708"/>
          <w:tab w:val="left" w:pos="0" w:leader="none"/>
        </w:tabs>
        <w:bidi w:val="0"/>
        <w:spacing w:lineRule="auto" w:line="276" w:before="0" w:after="160"/>
        <w:ind w:firstLine="709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pacing w:val="0"/>
          <w:sz w:val="28"/>
          <w:szCs w:val="28"/>
        </w:rPr>
        <w:t>ПК-3</w:t>
      </w:r>
      <w:r>
        <w:rPr>
          <w:rFonts w:ascii="Times New Roman" w:hAnsi="Times New Roman"/>
          <w:color w:val="000000"/>
          <w:spacing w:val="0"/>
          <w:sz w:val="28"/>
          <w:szCs w:val="28"/>
        </w:rPr>
        <w:t xml:space="preserve"> - Способен проектировать архитектуру ИС предприятий и организаций и принимать эффективные проектные решения в условиях неопределенности и риска;</w:t>
      </w:r>
    </w:p>
    <w:p>
      <w:pPr>
        <w:pStyle w:val="user"/>
        <w:tabs>
          <w:tab w:val="clear" w:pos="708"/>
          <w:tab w:val="left" w:pos="0" w:leader="none"/>
        </w:tabs>
        <w:bidi w:val="0"/>
        <w:spacing w:lineRule="auto" w:line="276" w:before="0" w:after="160"/>
        <w:ind w:firstLine="709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pacing w:val="0"/>
          <w:sz w:val="28"/>
          <w:szCs w:val="28"/>
        </w:rPr>
        <w:t>ПК-4</w:t>
      </w:r>
      <w:r>
        <w:rPr>
          <w:rFonts w:ascii="Times New Roman" w:hAnsi="Times New Roman"/>
          <w:color w:val="000000"/>
          <w:spacing w:val="0"/>
          <w:sz w:val="28"/>
          <w:szCs w:val="28"/>
        </w:rPr>
        <w:t xml:space="preserve"> - Способен проектировать информационные процессы, включая распределение заданий и ресурсов, и системы с использованием инновационных инструментальных средств, координирует и стимулирует выполнение заданий;</w:t>
      </w:r>
    </w:p>
    <w:p>
      <w:pPr>
        <w:pStyle w:val="user"/>
        <w:tabs>
          <w:tab w:val="clear" w:pos="708"/>
          <w:tab w:val="left" w:pos="0" w:leader="none"/>
        </w:tabs>
        <w:bidi w:val="0"/>
        <w:spacing w:lineRule="auto" w:line="276" w:before="0" w:after="160"/>
        <w:ind w:firstLine="709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pacing w:val="0"/>
          <w:sz w:val="28"/>
          <w:szCs w:val="28"/>
        </w:rPr>
        <w:t>ПК-5</w:t>
      </w:r>
      <w:r>
        <w:rPr>
          <w:rFonts w:ascii="Times New Roman" w:hAnsi="Times New Roman"/>
          <w:color w:val="000000"/>
          <w:spacing w:val="0"/>
          <w:sz w:val="28"/>
          <w:szCs w:val="28"/>
        </w:rPr>
        <w:t xml:space="preserve"> - Способен определять потребности потенциальных клиентов и разрабатывать концепции системы, проводить расчеты окупаемости и защиту коммерческого предложения.</w:t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user"/>
        <w:bidi w:val="0"/>
        <w:spacing w:lineRule="atLeast" w:line="200"/>
        <w:ind w:hanging="0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pacing w:val="0"/>
          <w:sz w:val="28"/>
          <w:szCs w:val="28"/>
        </w:rPr>
        <w:t>Отправить отчеты и презентации</w:t>
      </w:r>
    </w:p>
    <w:p>
      <w:pPr>
        <w:pStyle w:val="user"/>
        <w:bidi w:val="0"/>
        <w:spacing w:lineRule="atLeast" w:line="200"/>
        <w:ind w:hanging="0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user"/>
        <w:bidi w:val="0"/>
        <w:spacing w:lineRule="atLeast" w:line="200"/>
        <w:ind w:hanging="0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pacing w:val="0"/>
          <w:sz w:val="28"/>
          <w:szCs w:val="28"/>
        </w:rPr>
        <w:t xml:space="preserve">в личные сообщения в MS Teams/ </w:t>
      </w:r>
    </w:p>
    <w:p>
      <w:pPr>
        <w:pStyle w:val="user"/>
        <w:bidi w:val="0"/>
        <w:spacing w:lineRule="atLeast" w:line="200"/>
        <w:ind w:hanging="0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pacing w:val="0"/>
          <w:sz w:val="28"/>
          <w:szCs w:val="28"/>
        </w:rPr>
        <w:t xml:space="preserve">на почту lebedeva-sl@rut-miit.ru </w:t>
      </w:r>
    </w:p>
    <w:p>
      <w:pPr>
        <w:pStyle w:val="user"/>
        <w:bidi w:val="0"/>
        <w:spacing w:lineRule="atLeast" w:line="200"/>
        <w:ind w:hanging="0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user"/>
        <w:bidi w:val="0"/>
        <w:spacing w:lineRule="atLeast" w:line="200"/>
        <w:ind w:hanging="0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pacing w:val="0"/>
          <w:sz w:val="28"/>
          <w:szCs w:val="28"/>
        </w:rPr>
        <w:t>Имя файла «Фамилия_Очет НИР_26»</w:t>
      </w:r>
    </w:p>
    <w:p>
      <w:pPr>
        <w:pStyle w:val="user"/>
        <w:bidi w:val="0"/>
        <w:spacing w:lineRule="atLeast" w:line="200"/>
        <w:ind w:hanging="0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user"/>
        <w:bidi w:val="0"/>
        <w:spacing w:lineRule="atLeast" w:line="200"/>
        <w:ind w:hanging="0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pacing w:val="0"/>
          <w:sz w:val="28"/>
          <w:szCs w:val="28"/>
        </w:rPr>
        <w:t>Имя файла «Фамилия_Презентация Отчет НИР_26»</w:t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Normal"/>
        <w:spacing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/>
    <w:family w:val="swiss"/>
    <w:pitch w:val="variable"/>
  </w:font>
  <w:font w:name="Lucida Sans">
    <w:charset w:val="cc"/>
    <w:family w:val="roman"/>
    <w:pitch w:val="variable"/>
  </w:font>
  <w:font w:name="Times New Roman">
    <w:charset w:val="cc"/>
    <w:family w:val="roman"/>
    <w:pitch w:val="variable"/>
  </w:font>
  <w:font w:name="Calibri">
    <w:charset w:val="cc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c3511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2">
    <w:name w:val="heading 2"/>
    <w:basedOn w:val="Style15"/>
    <w:next w:val="BodyText"/>
    <w:qFormat/>
    <w:pPr>
      <w:spacing w:before="200" w:after="120"/>
      <w:outlineLvl w:val="1"/>
    </w:pPr>
    <w:rPr>
      <w:rFonts w:ascii="Liberation Serif" w:hAnsi="Liberation Serif" w:eastAsia="Segoe UI" w:cs="Tahoma"/>
      <w:b/>
      <w:bCs/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3">
    <w:name w:val="Символ нумерации"/>
    <w:qFormat/>
    <w:rPr/>
  </w:style>
  <w:style w:type="character" w:styleId="Style14">
    <w:name w:val="Маркеры"/>
    <w:qFormat/>
    <w:rPr>
      <w:rFonts w:ascii="OpenSymbol" w:hAnsi="OpenSymbol" w:eastAsia="OpenSymbol" w:cs="OpenSymbol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Базовый (user)"/>
    <w:qFormat/>
    <w:pPr>
      <w:widowControl/>
      <w:bidi w:val="0"/>
      <w:spacing w:lineRule="atLeast" w:line="200" w:before="0" w:after="0"/>
      <w:jc w:val="left"/>
    </w:pPr>
    <w:rPr>
      <w:rFonts w:ascii="Lucida Sans" w:hAnsi="Lucida Sans" w:eastAsia="Tahoma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36"/>
      <w:szCs w:val="24"/>
      <w:u w:val="none"/>
      <w:em w:val="none"/>
      <w:lang w:val="ru-RU" w:eastAsia="en-US" w:bidi="ar-SA"/>
    </w:rPr>
  </w:style>
  <w:style w:type="paragraph" w:styleId="LTGliederung1">
    <w:name w:val="Заголовок цвет~LT~Gliederung 1"/>
    <w:qFormat/>
    <w:pPr>
      <w:widowControl/>
      <w:bidi w:val="0"/>
      <w:spacing w:lineRule="auto" w:line="216" w:before="283" w:after="0"/>
      <w:jc w:val="left"/>
    </w:pPr>
    <w:rPr>
      <w:rFonts w:ascii="Lucida Sans" w:hAnsi="Lucida Sans" w:eastAsia="Tahoma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uiPriority w:val="59"/>
    <w:rsid w:val="002b21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3">
    <w:name w:val="Table Grid"/>
    <w:basedOn w:val="a1"/>
    <w:uiPriority w:val="39"/>
    <w:rsid w:val="002b21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<Relationship Id="rId8" Type="http://schemas.openxmlformats.org/officeDocument/2006/relationships/customXml" Target="../customXml/item2.xml"/><Relationship Id="rId9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355CCA2D9A29904F8D3D44EF0111EE01" ma:contentTypeVersion="4" ma:contentTypeDescription="Создание документа." ma:contentTypeScope="" ma:versionID="48893dd44927e55274d866e23fab1d38">
  <xsd:schema xmlns:xsd="http://www.w3.org/2001/XMLSchema" xmlns:xs="http://www.w3.org/2001/XMLSchema" xmlns:p="http://schemas.microsoft.com/office/2006/metadata/properties" xmlns:ns2="d33e300a-9761-49b8-ab6e-27456144f2e3" targetNamespace="http://schemas.microsoft.com/office/2006/metadata/properties" ma:root="true" ma:fieldsID="ffaac08227f82693524c05e658c05064" ns2:_="">
    <xsd:import namespace="d33e300a-9761-49b8-ab6e-27456144f2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3e300a-9761-49b8-ab6e-27456144f2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1D27665-0655-4424-A52E-30639FFA845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99E1671-D5DE-4273-BC37-2494CEECD13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04BE29-66C9-4B4D-A729-9F52D49C3D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3e300a-9761-49b8-ab6e-27456144f2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Application>LibreOffice/25.2.7.2$Windows_X86_64 LibreOffice_project/5cbfd1ab6520636bb5f7b99185aa69bd7456825d</Application>
  <AppVersion>15.0000</AppVersion>
  <Pages>19</Pages>
  <Words>2218</Words>
  <Characters>16616</Characters>
  <CharactersWithSpaces>18529</CharactersWithSpaces>
  <Paragraphs>235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2026-02-02T10:13:00Z</dcterms:created>
  <dc:creator>Админ</dc:creator>
  <dc:description/>
  <dc:language>ru-RU</dc:language>
  <cp:lastModifiedBy/>
  <cp:lastPrinted>2022-02-11T11:18:00Z</cp:lastPrinted>
  <dcterms:modified xsi:type="dcterms:W3CDTF">2026-03-03T17:10:05Z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0x010100355CCA2D9A29904F8D3D44EF0111EE01</vt:lpwstr>
  </property>
</Properties>
</file>