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wmf" ContentType="image/x-wm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item2.xml" ContentType="application/xml"/>
  <Override PartName="/customXml/_rels/item1.xml.rels" ContentType="application/vnd.openxmlformats-package.relationships+xml"/>
  <Override PartName="/customXml/_rels/item2.xml.rels" ContentType="application/vnd.openxmlformats-package.relationships+xml"/>
  <Override PartName="/customXml/_rels/item3.xml.rels" ContentType="application/vnd.openxmlformats-package.relationships+xml"/>
  <Override PartName="/customXml/itemProps2.xml" ContentType="application/vnd.openxmlformats-officedocument.customXmlProperties+xml"/>
  <Override PartName="/customXml/item3.xml" ContentType="application/xml"/>
  <Override PartName="/customXml/itemProps3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120" w:after="120"/>
        <w:ind w:left="142" w:right="41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color w:val="000000"/>
          <w:sz w:val="24"/>
          <w:szCs w:val="24"/>
          <w:lang w:eastAsia="ru-RU"/>
        </w:rPr>
        <w:t>МИНИСТЕРСТВО ТРАНСПОРТА РОССИЙСКОЙ ФЕДЕРАЦИИ</w:t>
      </w:r>
    </w:p>
    <w:p>
      <w:pPr>
        <w:pStyle w:val="Normal"/>
        <w:spacing w:lineRule="auto" w:line="240" w:before="120" w:after="120"/>
        <w:ind w:left="142" w:right="41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ФЕДЕРАЛЬНОЕ ГОСУДАРСТВЕННОЕ АВТОНОМНОЕ </w:t>
      </w:r>
    </w:p>
    <w:p>
      <w:pPr>
        <w:pStyle w:val="Normal"/>
        <w:spacing w:lineRule="auto" w:line="240" w:before="120" w:after="120"/>
        <w:ind w:left="142" w:right="41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ОБРАЗОВАТЕЛЬНОЕ УЧРЕЖДЕНИЕ ВЫСШЕГО ОБРАЗОВАНИЯ</w:t>
      </w:r>
    </w:p>
    <w:p>
      <w:pPr>
        <w:pStyle w:val="Normal"/>
        <w:spacing w:lineRule="auto" w:line="240" w:before="120" w:after="120"/>
        <w:ind w:left="142" w:right="41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 xml:space="preserve"> </w:t>
      </w:r>
      <w:r>
        <w:rPr>
          <w:rFonts w:eastAsia="Calibri" w:cs="Times New Roman" w:ascii="Times New Roman" w:hAnsi="Times New Roman"/>
          <w:b/>
          <w:sz w:val="24"/>
          <w:szCs w:val="24"/>
        </w:rPr>
        <w:t xml:space="preserve">«РОССИЙСКИЙ УНИВЕРСИТЕТ ТРАНСПОРТА» </w:t>
      </w:r>
    </w:p>
    <w:p>
      <w:pPr>
        <w:pStyle w:val="Normal"/>
        <w:spacing w:lineRule="auto" w:line="240" w:before="120" w:after="120"/>
        <w:ind w:left="142" w:right="41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  <w:t>РУТ (МИИТ)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Кафедра «</w:t>
      </w:r>
      <w:r>
        <w:rPr>
          <w:rFonts w:eastAsia="Calibri" w:cs="Times New Roman" w:ascii="Times New Roman" w:hAnsi="Times New Roman"/>
          <w:sz w:val="28"/>
          <w:szCs w:val="28"/>
          <w:u w:val="single"/>
        </w:rPr>
        <w:t>Информационные системы цифровой экономики</w:t>
      </w:r>
      <w:r>
        <w:rPr>
          <w:rFonts w:eastAsia="Calibri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40"/>
          <w:szCs w:val="40"/>
        </w:rPr>
      </w:pPr>
      <w:r>
        <w:rPr>
          <w:rFonts w:eastAsia="Calibri" w:cs="Times New Roman" w:ascii="Times New Roman" w:hAnsi="Times New Roman"/>
          <w:b/>
          <w:sz w:val="40"/>
          <w:szCs w:val="40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40"/>
          <w:szCs w:val="40"/>
        </w:rPr>
      </w:pPr>
      <w:r>
        <w:rPr>
          <w:rFonts w:eastAsia="Calibri" w:cs="Times New Roman" w:ascii="Times New Roman" w:hAnsi="Times New Roman"/>
          <w:b/>
          <w:sz w:val="40"/>
          <w:szCs w:val="40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40"/>
          <w:szCs w:val="40"/>
        </w:rPr>
      </w:pPr>
      <w:r>
        <w:rPr>
          <w:rFonts w:eastAsia="Calibri" w:cs="Times New Roman" w:ascii="Times New Roman" w:hAnsi="Times New Roman"/>
          <w:b/>
          <w:sz w:val="40"/>
          <w:szCs w:val="40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28"/>
          <w:szCs w:val="28"/>
        </w:rPr>
      </w:pPr>
      <w:r>
        <w:rPr>
          <w:rFonts w:eastAsia="Calibri" w:cs="Times New Roman" w:ascii="Times New Roman" w:hAnsi="Times New Roman"/>
          <w:b/>
          <w:sz w:val="28"/>
          <w:szCs w:val="28"/>
        </w:rPr>
        <w:t>Отчет по производственной практике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color w:val="000000"/>
          <w:sz w:val="28"/>
          <w:szCs w:val="28"/>
        </w:rPr>
      </w:pPr>
      <w:r>
        <w:rPr>
          <w:rFonts w:eastAsia="Calibri" w:cs="Times New Roman" w:ascii="Times New Roman" w:hAnsi="Times New Roman"/>
          <w:b/>
          <w:color w:val="000000"/>
          <w:sz w:val="28"/>
          <w:szCs w:val="28"/>
        </w:rPr>
        <w:t>(</w:t>
      </w:r>
      <w:r>
        <w:rPr>
          <w:rFonts w:eastAsia="Calibri" w:cs="Times New Roman" w:ascii="Times New Roman" w:hAnsi="Times New Roman"/>
          <w:color w:val="000000"/>
          <w:sz w:val="28"/>
          <w:szCs w:val="28"/>
        </w:rPr>
        <w:t>Научно-исследовательская работа)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b/>
          <w:sz w:val="24"/>
          <w:szCs w:val="24"/>
        </w:rPr>
      </w:pPr>
      <w:r>
        <w:rPr>
          <w:rFonts w:eastAsia="Calibri" w:cs="Times New Roman" w:ascii="Times New Roman" w:hAnsi="Times New Roman"/>
          <w:b/>
          <w:sz w:val="24"/>
          <w:szCs w:val="24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  <w:u w:val="single"/>
        </w:rPr>
      </w:pPr>
      <w:r>
        <w:rPr>
          <w:rFonts w:eastAsia="Calibri" w:cs="Times New Roman" w:ascii="Times New Roman" w:hAnsi="Times New Roman"/>
          <w:sz w:val="28"/>
          <w:szCs w:val="28"/>
        </w:rPr>
        <w:t>Направление (специальность) «</w:t>
      </w:r>
      <w:r>
        <w:rPr>
          <w:rFonts w:eastAsia="Calibri" w:cs="Times New Roman" w:ascii="Times New Roman" w:hAnsi="Times New Roman"/>
          <w:sz w:val="28"/>
          <w:szCs w:val="28"/>
          <w:u w:val="single"/>
        </w:rPr>
        <w:t>Прикладная информатика</w:t>
      </w:r>
      <w:r>
        <w:rPr>
          <w:rFonts w:eastAsia="Calibri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Профиль (направление/направленность) «</w:t>
      </w:r>
      <w:r>
        <w:rPr>
          <w:rFonts w:eastAsia="Calibri" w:cs="Times New Roman" w:ascii="Times New Roman" w:hAnsi="Times New Roman"/>
          <w:sz w:val="28"/>
          <w:szCs w:val="28"/>
          <w:u w:val="single"/>
        </w:rPr>
        <w:t>Информационные технологии управления социально-экономическими системами</w:t>
      </w:r>
      <w:r>
        <w:rPr>
          <w:rFonts w:eastAsia="Calibri" w:cs="Times New Roman" w:ascii="Times New Roman" w:hAnsi="Times New Roman"/>
          <w:sz w:val="28"/>
          <w:szCs w:val="28"/>
        </w:rPr>
        <w:t>»</w:t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color w:val="FF0000"/>
          <w:sz w:val="24"/>
          <w:szCs w:val="24"/>
        </w:rPr>
      </w:pPr>
      <w:r>
        <w:rPr>
          <w:rFonts w:eastAsia="Calibri"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color w:val="FF0000"/>
          <w:sz w:val="24"/>
          <w:szCs w:val="24"/>
        </w:rPr>
      </w:pPr>
      <w:r>
        <w:rPr/>
        <w:drawing>
          <wp:inline distT="0" distB="0" distL="0" distR="0">
            <wp:extent cx="10795" cy="10795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95" cy="10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color w:val="FF0000"/>
          <w:sz w:val="24"/>
          <w:szCs w:val="24"/>
        </w:rPr>
      </w:pPr>
      <w:r>
        <w:rPr>
          <w:rFonts w:eastAsia="Calibri"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120" w:after="120"/>
        <w:jc w:val="center"/>
        <w:rPr>
          <w:rFonts w:ascii="Times New Roman" w:hAnsi="Times New Roman" w:eastAsia="Calibri" w:cs="Times New Roman"/>
          <w:color w:val="FF0000"/>
          <w:sz w:val="24"/>
          <w:szCs w:val="24"/>
        </w:rPr>
      </w:pPr>
      <w:r>
        <w:rPr>
          <w:rFonts w:eastAsia="Calibri" w:cs="Times New Roman" w:ascii="Times New Roman" w:hAnsi="Times New Roman"/>
          <w:color w:val="FF0000"/>
          <w:sz w:val="24"/>
          <w:szCs w:val="24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iCs/>
          <w:sz w:val="28"/>
          <w:szCs w:val="28"/>
        </w:rPr>
      </w:pPr>
      <w:r>
        <w:rPr>
          <w:rFonts w:eastAsia="Times New Roman" w:cs="Times New Roman" w:ascii="Times New Roman" w:hAnsi="Times New Roman"/>
          <w:iCs/>
          <w:sz w:val="28"/>
          <w:szCs w:val="28"/>
        </w:rPr>
      </w:r>
    </w:p>
    <w:tbl>
      <w:tblPr>
        <w:tblStyle w:val="2"/>
        <w:tblW w:w="9355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3969"/>
        <w:gridCol w:w="5385"/>
      </w:tblGrid>
      <w:tr>
        <w:trPr/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sz w:val="28"/>
                <w:szCs w:val="28"/>
              </w:rPr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kern w:val="0"/>
                <w:sz w:val="28"/>
                <w:szCs w:val="28"/>
                <w:lang w:val="ru-RU" w:eastAsia="en-US" w:bidi="ar-SA"/>
              </w:rPr>
              <w:t xml:space="preserve">Выполнил студент группы </w:t>
            </w:r>
            <w:r>
              <w:rPr>
                <w:rFonts w:eastAsia="Times New Roman" w:cs="Times New Roman" w:ascii="Times New Roman" w:hAnsi="Times New Roman"/>
                <w:iCs/>
                <w:kern w:val="0"/>
                <w:sz w:val="28"/>
                <w:szCs w:val="28"/>
                <w:u w:val="single"/>
                <w:lang w:val="ru-RU" w:eastAsia="en-US" w:bidi="ar-SA"/>
              </w:rPr>
              <w:t>ЭМС-271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/>
                <w:iCs/>
                <w:kern w:val="0"/>
                <w:sz w:val="28"/>
                <w:szCs w:val="28"/>
                <w:lang w:val="ru-RU" w:eastAsia="en-US" w:bidi="ar-SA"/>
              </w:rPr>
              <w:t>П.А. Гамов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sz w:val="28"/>
                <w:szCs w:val="28"/>
              </w:rPr>
            </w:r>
          </w:p>
        </w:tc>
      </w:tr>
      <w:tr>
        <w:trPr/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sz w:val="28"/>
                <w:szCs w:val="28"/>
              </w:rPr>
            </w:r>
          </w:p>
        </w:tc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kern w:val="0"/>
                <w:sz w:val="28"/>
                <w:szCs w:val="28"/>
                <w:lang w:val="ru-RU" w:eastAsia="en-US" w:bidi="ar-SA"/>
              </w:rPr>
              <w:t>Руководитель: доцент С.Л. Лебедева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Times New Roman" w:hAnsi="Times New Roman" w:eastAsia="Times New Roman" w:cs="Times New Roman"/>
                <w:iCs/>
                <w:sz w:val="28"/>
                <w:szCs w:val="28"/>
              </w:rPr>
            </w:pPr>
            <w:r>
              <w:rPr>
                <w:rFonts w:eastAsia="Times New Roman" w:cs="Times New Roman" w:ascii="Times New Roman" w:hAnsi="Times New Roman"/>
                <w:iCs/>
                <w:sz w:val="28"/>
                <w:szCs w:val="28"/>
              </w:rPr>
            </w:r>
          </w:p>
        </w:tc>
      </w:tr>
    </w:tbl>
    <w:p>
      <w:pPr>
        <w:pStyle w:val="Normal"/>
        <w:tabs>
          <w:tab w:val="clear" w:pos="708"/>
          <w:tab w:val="left" w:pos="8205" w:leader="none"/>
        </w:tabs>
        <w:spacing w:lineRule="auto" w:line="240" w:before="120" w:after="12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205" w:leader="none"/>
        </w:tabs>
        <w:spacing w:lineRule="auto" w:line="240" w:before="120" w:after="12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8205" w:leader="none"/>
        </w:tabs>
        <w:spacing w:lineRule="auto" w:line="240" w:before="120" w:after="120"/>
        <w:jc w:val="center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Москва  </w:t>
      </w:r>
      <w:r>
        <w:rPr>
          <w:rFonts w:eastAsia="Calibri" w:cs="Calibri" w:ascii="Calibri" w:hAnsi="Calibri"/>
          <w:sz w:val="28"/>
          <w:szCs w:val="28"/>
        </w:rPr>
        <w:t xml:space="preserve">̶  </w:t>
      </w:r>
      <w:r>
        <w:rPr>
          <w:rFonts w:eastAsia="Calibri" w:cs="Times New Roman" w:ascii="Times New Roman" w:hAnsi="Times New Roman"/>
          <w:sz w:val="28"/>
          <w:szCs w:val="28"/>
        </w:rPr>
        <w:t>202</w:t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6</w:t>
      </w:r>
    </w:p>
    <w:p>
      <w:pPr>
        <w:pStyle w:val="Normal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Содержание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1. Введение…………………….1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2. Постановка задачи ……………..3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3. Основная часть………………….5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3. Заключение…………………...10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4. Список использованной литературы……………...12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/>
        </w:rPr>
        <w:t xml:space="preserve">5. </w:t>
      </w:r>
      <w:r>
        <w:rPr>
          <w:rFonts w:eastAsia="Calibri" w:cs="Times New Roman" w:ascii="Times New Roman" w:hAnsi="Times New Roman"/>
          <w:sz w:val="28"/>
          <w:szCs w:val="28"/>
          <w:lang w:val="ru-RU"/>
        </w:rPr>
        <w:t>Приложения……………...15</w:t>
      </w:r>
      <w:r>
        <w:br w:type="page"/>
      </w:r>
    </w:p>
    <w:p>
      <w:pPr>
        <w:pStyle w:val="Normal"/>
        <w:spacing w:before="0" w:after="16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Введение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Производственная практика проводится в соответствии с учебным планом.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Производственная практика является важным этапом в процессе профессионального становления специалистов, позволяющим применить полученные теоретические знания на практике и приобрести ценный опыт работы в реальных условиях.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Целью производственной практики является изучение использование элементов игры в неигровом контенте и изучении игровых механик применимых в боте для профилактики здоровых привычек.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Современные технологии оказывают большое влияние на здоровье и образ жизни населения. Недостаточное внимание уделяется эффективным инструментам цифровой поддержки формирования полезных привычек, несмотря на распространённость мобильных устройств и популярность мессенджеров. Отсутствие универсальных и гибких цифровых платформ для долгосрочного укрепления здоровья требует создания эффективных методик и сервисов, интегрирующих игровые техники и психологическую поддержку. Разработка комбинированного решения и методики объединяющей разработки прошлых поколений позволит приблизиться к идеальной формуле вовлечения пользователя с область поддержки собственного здоровья как физического так и психологического.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Целевым объектом исследования является разработка и внедрение инструментария, включающего элементы игровых механик и дизайна в неигровой контент - в частности, в чат-боты, предназначенные для профилактики вредных привычек и формирования полезных навыков. В ходе практики планируется изучить возможности и ограничения использования игровых элементов, определить наиболее эффективные методы их применения для повышения вовлеченности и длительной мотивации пользователей.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Задачами производственной практики являются: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 - Анализ существующих методик приобретения здоровых привычек у населения с использованием игровых методов и персонального наставничества.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 - Проектирование комбинированной методики для повышения её результативности применения в проектируемой системе.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- Описание функциональной составляющей проектированного цифрового решения с учетом разработанной комбинированной методики профилактики здоровых привычек.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Данный отчёт будет содержать описание исследовательской части работы, анализа используемых методов геймификации, а также результатов практического внедрения разработанных решений. Будут приведены гипотезы которые будут доказаны или опровергнуты в результате исследования. 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В дальнейшем планируется расширение исследования с целью создания более эффективных и ориентированных на пользователя решений для профилактики здоровых привычек с использованием игровых элементов в различных цифровых платформах.</w:t>
      </w:r>
    </w:p>
    <w:p>
      <w:pPr>
        <w:pStyle w:val="Normal"/>
        <w:spacing w:before="0" w:after="16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Актуальность </w:t>
      </w:r>
      <w:r>
        <w:rPr>
          <w:rFonts w:eastAsia="Calibri" w:cs="Times New Roman" w:ascii="Times New Roman" w:hAnsi="Times New Roman"/>
          <w:sz w:val="28"/>
          <w:szCs w:val="28"/>
        </w:rPr>
        <w:t>проблемы нахождения оптимальной методики формирования здоровых привычек у человека</w:t>
      </w:r>
      <w:r>
        <w:rPr>
          <w:rFonts w:eastAsia="Calibri" w:cs="Times New Roman" w:ascii="Times New Roman" w:hAnsi="Times New Roman"/>
          <w:sz w:val="28"/>
          <w:szCs w:val="28"/>
        </w:rPr>
        <w:t xml:space="preserve"> обусловлена несколькими факторами. Во-первых, проблема формирования здоровых привычек остается одной из ключевых в современном обществе. Согласно исследованиям ВОЗ, около 60% взрослого населения страдает от различных форм зависимости, связанных с нездоровым образом жизни. Во-вторых, традиционные методы мотивации часто оказываются недостаточно эффективными из-за низкой вовлеченности пользователей. </w:t>
      </w:r>
      <w:r>
        <w:rPr>
          <w:rFonts w:eastAsia="Calibri" w:cs="Times New Roman" w:ascii="Times New Roman" w:hAnsi="Times New Roman"/>
          <w:sz w:val="28"/>
          <w:szCs w:val="28"/>
        </w:rPr>
        <w:t>Данные методы часто не учитывают современные тенденции и технологический прогресс развитых стран и общества в целом.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Выбор именно игровых механик как инструмента мотивации объясняется их способностью активировать внутренние механизмы вознаграждения и удовольствия, что делает процесс формирования привычек более естественным и устойчивым.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Цифровизация современного общества создала благоприятные условия для внедрения игровых элементов в повседневную жизнь. По данным статистики, средний пользователь проводит в цифровой среде более 6 часов в день. </w:t>
      </w:r>
      <w:r>
        <w:rPr>
          <w:rFonts w:eastAsia="Calibri" w:cs="Times New Roman" w:ascii="Times New Roman" w:hAnsi="Times New Roman"/>
          <w:sz w:val="28"/>
          <w:szCs w:val="28"/>
        </w:rPr>
        <w:t xml:space="preserve">Данное обстоятельство хоть и является пагубным для среднестатистического человека, мы не можем повлиять на современные тенденции и потребности в технике. </w:t>
      </w:r>
      <w:r>
        <w:rPr>
          <w:rFonts w:eastAsia="Calibri" w:cs="Times New Roman" w:ascii="Times New Roman" w:hAnsi="Times New Roman"/>
          <w:sz w:val="28"/>
          <w:szCs w:val="28"/>
        </w:rPr>
        <w:t>Это открывает широкие возможности для влияния на поведенческие паттерны через цифровые платформы.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Цифровые технологии позволяют создавать персонализированные опытные пространства, где каждый пользователь может найти индивидуальный подход к формированию привычек. Кроме того, аналитика больших данных дает возможность отслеживать эффективность различных игровых механик и оптимизировать их применение. </w:t>
      </w:r>
      <w:r>
        <w:rPr>
          <w:rFonts w:eastAsia="Calibri" w:cs="Times New Roman" w:ascii="Times New Roman" w:hAnsi="Times New Roman"/>
          <w:sz w:val="28"/>
          <w:szCs w:val="28"/>
        </w:rPr>
        <w:t>Таким образом реализация решения так или иначе поможет нам исследовать проблему глубже чем раньше, давая нам данные для глубокого анализа потребностей человека в сфере персонального здоровья мы сможем корректировать наши выводы и методику в целом как для конкретного пользователя, так и для общества в целом.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 xml:space="preserve">Мессенджеры стали основным каналом коммуникации современного человека. Более 4 миллиардов человек ежедневно используют мессенджеры для общения, получения информации и выполнения различных задач. Эта высокая степень вовлеченности делает мессенджер-платформы идеальной средой для внедрения решений по формированию привычек. </w:t>
      </w:r>
      <w:r>
        <w:rPr>
          <w:rFonts w:eastAsia="Calibri" w:cs="Times New Roman" w:ascii="Times New Roman" w:hAnsi="Times New Roman"/>
          <w:sz w:val="28"/>
          <w:szCs w:val="28"/>
        </w:rPr>
        <w:t>Разработчики платформ, видя потребность, развивают инструменты для разработки мини-приложений, ботов и приложений внутри системы. Частные лица получают доступ к инфраструктуре публикации собственных решений на мировой рынок, что делает решения на данных платформах максимально доступными мировому сообществу.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Преимущества мессенджеров как платформы включают:</w:t>
      </w:r>
    </w:p>
    <w:p>
      <w:pPr>
        <w:pStyle w:val="LTGliederung1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Высокую доступность и удобство использования</w:t>
      </w:r>
    </w:p>
    <w:p>
      <w:pPr>
        <w:pStyle w:val="LTGliederung1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Возможность постоянного взаимодействия с пользователем</w:t>
      </w:r>
    </w:p>
    <w:p>
      <w:pPr>
        <w:pStyle w:val="LTGliederung1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Интеграцию в привычную цифровую среду</w:t>
      </w:r>
    </w:p>
    <w:p>
      <w:pPr>
        <w:pStyle w:val="LTGliederung1"/>
        <w:numPr>
          <w:ilvl w:val="0"/>
          <w:numId w:val="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Низкий порог входа для пользователей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Теоретические основы геймификации и игровых механик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Геймификация представляет собой процесс применения игровых элементов и принципов дизайна в неигровых контекстах для повышения вовлеченности пользователей и решения конкретных задач. Термин был популяризирован в начале 2010-х годов и с тех пор стал широко применяться в маркетинге, образовании, здравоохранении и других сферах.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Основная цель геймификации – сделать скучные или трудные задачи более интересными и мотивирующими. Это достигается за счет создания игровых сценариев, которые задействуют естественные психологические механизмы мотивации, такие как желание достижения, социальное сравнение и чувство компетентности.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Ключевые элементы геймификации включают:</w:t>
      </w:r>
    </w:p>
    <w:p>
      <w:pPr>
        <w:pStyle w:val="LTGliederung1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Системы наград и достижений</w:t>
      </w:r>
    </w:p>
    <w:p>
      <w:pPr>
        <w:pStyle w:val="LTGliederung1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Прогресс-бары и уровни</w:t>
      </w:r>
    </w:p>
    <w:p>
      <w:pPr>
        <w:pStyle w:val="LTGliederung1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Социальные элементы (рейтинги, лидерборды)</w:t>
      </w:r>
    </w:p>
    <w:p>
      <w:pPr>
        <w:pStyle w:val="LTGliederung1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Истории и нарративы</w:t>
      </w:r>
    </w:p>
    <w:p>
      <w:pPr>
        <w:pStyle w:val="LTGliederung1"/>
        <w:numPr>
          <w:ilvl w:val="0"/>
          <w:numId w:val="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Мгновенную обратную связь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Система достижений играет важнейшую роль в геймификации. Она позволяет пользователям отслеживать свой прогресс, получать признание за успехи и устанавливать новые цели. В контексте формирования привычек система достижений помогает создать ощущение движения к значимым результатам.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Целеполагание в геймифицированных системах следует принципам SMART (конкретные, измеримые, достижимые, релевантные, ограниченные по времени). Это позволяет пользователям четко понимать, чего они хотят достичь, и отслеживать прогресс в реальном времени.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Психологическая основа эффективности систем достижений заключается в активации системы вознаграждения мозга. Когда пользователь получает достижение, происходит выброс дофамина, что создает положительную эмоциональную связь с выполняемой деятельностью.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Помимо достижений, в геймификации используются множество других механик: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Уровневая система позволяет структурировать процесс обучения и развития, создавая ощущение прогресса и мастерства.</w:t>
      </w:r>
    </w:p>
    <w:p>
      <w:pPr>
        <w:pStyle w:val="LTGliederung1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Лидерборды (таблицы лидеров) стимулируют здоровую конкуренцию между пользователями и создают дополнительную мотивацию.</w:t>
      </w:r>
    </w:p>
    <w:p>
      <w:pPr>
        <w:pStyle w:val="LTGliederung1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Квесты и задания разбивают сложные задачи на управляемые части, делая их менее запугивающими.</w:t>
      </w:r>
    </w:p>
    <w:p>
      <w:pPr>
        <w:pStyle w:val="LTGliederung1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Виртуальные валюты и предметы создают экономику внутри системы, что увеличивает вовлеченность пользователей.</w:t>
      </w:r>
    </w:p>
    <w:p>
      <w:pPr>
        <w:pStyle w:val="LTGliederung1"/>
        <w:numPr>
          <w:ilvl w:val="0"/>
          <w:numId w:val="2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Социальные элементы (команды, сообщества, наставничество) удовлетворяют потребность в принадлежности и поддержке.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Анализ существующих методов внедрения элементов игры в неигровой контент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Анализ существующих решений показал, что геймификация успешно применяется в различных сферах. В образовании популярны платформы типа Duolingo, которые используют очки опыта, уровни и серии для мотивации обучения языкам. В фитнесе приложения Fitbit и Nike Run Club применяют систему наград, достижений и социальное сравнение.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В сфере здоровья и формирования привычек существуют такие решения, как Habitica, которая представляет формирование привычек в виде RPG-игры, и Streaks, который использует визуализацию прогресса и напоминания.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Однако большинство существующих решений имеют ограничения:</w:t>
      </w:r>
    </w:p>
    <w:p>
      <w:pPr>
        <w:pStyle w:val="LTGliederung1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Сильная зависимость от самодисциплины пользователя</w:t>
      </w:r>
    </w:p>
    <w:p>
      <w:pPr>
        <w:pStyle w:val="LTGliederung1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Отсутствие социальной поддержки</w:t>
      </w:r>
    </w:p>
    <w:p>
      <w:pPr>
        <w:pStyle w:val="LTGliederung1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Недостаточная персонализация</w:t>
      </w:r>
    </w:p>
    <w:p>
      <w:pPr>
        <w:pStyle w:val="LTGliederung1"/>
        <w:numPr>
          <w:ilvl w:val="0"/>
          <w:numId w:val="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Ограниченные возможности адаптации под индивидуальные потребности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Обзор современных цифровых платформ и инструментов для реализации игровых элементов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Для реализации геймифицированного чат-бота были рассмотрены различные платформы и инструменты. Telegram Bot API предоставляет широкие возможности для создания интерактивных ботов с возможностью хранения данных пользователей, отправки медиа-контента и создания кнопочных интерфейсов.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Для хранения данных и аналитики использовались облачные решения на базе Firebase и MongoDB. Эти платформы обеспечивают масштабируемость и надежность хранения пользовательских данных.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Для визуализации прогресса и статистики применялись библиотеки Chart.js и D3.js, позволяющие создавать интерактивные графики и диаграммы.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Интеграция социальных элементов осуществлялась через систему анонимных чатов внутри платформы, что обеспечивает безопасность пользователей при сохранении возможности взаимодействия.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Требования и особенности целевой аудитории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Целевая аудитория проекта включает людей в возрасте от 18 до 45 лет, заинтересованных в формировании здоровых привычек. Основными сегментами являются:</w:t>
      </w:r>
    </w:p>
    <w:p>
      <w:pPr>
        <w:pStyle w:val="LTGliederung1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Молодые профессионалы, испытывающие стресс и нехватку времени</w:t>
      </w:r>
    </w:p>
    <w:p>
      <w:pPr>
        <w:pStyle w:val="LTGliederung1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Люди, начинающие путь к здоровому образу жизни</w:t>
      </w:r>
    </w:p>
    <w:p>
      <w:pPr>
        <w:pStyle w:val="LTGliederung1"/>
        <w:numPr>
          <w:ilvl w:val="0"/>
          <w:numId w:val="2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Пользователи цифровых технологий, открытые новым форматам взаимодействия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Ключевые требования целевой аудитории:</w:t>
      </w:r>
    </w:p>
    <w:p>
      <w:pPr>
        <w:pStyle w:val="LTGliederung1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Простота использования и интуитивный интерфейс</w:t>
      </w:r>
    </w:p>
    <w:p>
      <w:pPr>
        <w:pStyle w:val="LTGliederung1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Персонализация под индивидуальные цели и графи</w:t>
      </w:r>
      <w:r>
        <w:rPr>
          <w:rFonts w:eastAsia="Calibri" w:cs="Times New Roman" w:ascii="Times New Roman" w:hAnsi="Times New Roman"/>
          <w:sz w:val="28"/>
          <w:szCs w:val="28"/>
        </w:rPr>
        <w:t>к</w:t>
      </w:r>
    </w:p>
    <w:p>
      <w:pPr>
        <w:pStyle w:val="LTGliederung1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Социальная поддержка и мотивация</w:t>
      </w:r>
    </w:p>
    <w:p>
      <w:pPr>
        <w:pStyle w:val="LTGliederung1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Конфиденциальность и безопасность данных</w:t>
      </w:r>
    </w:p>
    <w:p>
      <w:pPr>
        <w:pStyle w:val="LTGliederung1"/>
        <w:numPr>
          <w:ilvl w:val="0"/>
          <w:numId w:val="2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Гибкость в планировании и адаптации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Разработка концепции использования механик в конкретном бот-средстве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left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Концепция разработанного чат-бота основана на интеграции нескольких ключевых элементов: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Основной функционал:</w:t>
      </w:r>
    </w:p>
    <w:p>
      <w:pPr>
        <w:pStyle w:val="LTGliederung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Подписка на готовые программы формирования привычек</w:t>
      </w:r>
    </w:p>
    <w:p>
      <w:pPr>
        <w:pStyle w:val="LTGliederung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Персонализированные рекомендации</w:t>
      </w:r>
    </w:p>
    <w:p>
      <w:pPr>
        <w:pStyle w:val="LTGliederung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отслеживания прогресса</w:t>
      </w:r>
    </w:p>
    <w:p>
      <w:pPr>
        <w:pStyle w:val="LTGliederung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Анонимное наставничество</w:t>
      </w:r>
    </w:p>
    <w:p>
      <w:pPr>
        <w:pStyle w:val="LTGliederung1"/>
        <w:numPr>
          <w:ilvl w:val="0"/>
          <w:numId w:val="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Социальные элементы и рейтинг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Игровые механики: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Очки опыта за выполнение задач</w:t>
      </w:r>
    </w:p>
    <w:p>
      <w:pPr>
        <w:pStyle w:val="LTGliederung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Уровневая система с новыми возможностями</w:t>
      </w:r>
    </w:p>
    <w:p>
      <w:pPr>
        <w:pStyle w:val="LTGliederung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достижений и бейджей</w:t>
      </w:r>
    </w:p>
    <w:p>
      <w:pPr>
        <w:pStyle w:val="LTGliederung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Ежедневные и недельные челленджи</w:t>
      </w:r>
    </w:p>
    <w:p>
      <w:pPr>
        <w:pStyle w:val="LTGliederung1"/>
        <w:numPr>
          <w:ilvl w:val="0"/>
          <w:numId w:val="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Виртуальная валюта для покупки бонусов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Социальные элементы: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Анонимные чаты с наставниками</w:t>
      </w:r>
    </w:p>
    <w:p>
      <w:pPr>
        <w:pStyle w:val="LTGliederung1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Сообщества по интересам</w:t>
      </w:r>
    </w:p>
    <w:p>
      <w:pPr>
        <w:pStyle w:val="LTGliederung1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Совместные челленджи</w:t>
      </w:r>
    </w:p>
    <w:p>
      <w:pPr>
        <w:pStyle w:val="LTGliederung1"/>
        <w:numPr>
          <w:ilvl w:val="0"/>
          <w:numId w:val="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взаимной поддержки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Проектирование игровых механик для мотивации и вовлечения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Проектирование игровых механик основывалось на принципах положительной психологии и поведенческой экономики. Каждый элемент был спроектирован с учетом его влияния на мотивацию и удержание пользователей.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уровней была разработана таким образом, чтобы каждый новый уровень открывал новые возможности и давал ощущение роста. Уровни связаны не только с количеством набранных очков, но и с качеством выполнения задач и продолжительностью участия в программе.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достижений включает как стандартные награды (например, "Первые шаги" за первую неделю участия), так и уникальные достижения, связанные с конкретными привычками (например, "Медитатор" за 30 дней практики медитации).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Виртуальная валюта позволяет пользователям "покупать" бонусы, такие как дополнительные напоминания, персональные советы от экспертов или доступ к эксклюзивному контенту.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Реализация прототипа бота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Реализация прототипа бота была выполнена с использованием следующих технологий: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Python 3.</w:t>
      </w:r>
      <w:r>
        <w:rPr>
          <w:rFonts w:eastAsia="Calibri" w:cs="Times New Roman" w:ascii="Times New Roman" w:hAnsi="Times New Roman"/>
          <w:sz w:val="28"/>
          <w:szCs w:val="28"/>
        </w:rPr>
        <w:t>13</w:t>
      </w:r>
      <w:r>
        <w:rPr>
          <w:rFonts w:eastAsia="Calibri" w:cs="Times New Roman" w:ascii="Times New Roman" w:hAnsi="Times New Roman"/>
          <w:sz w:val="28"/>
          <w:szCs w:val="28"/>
        </w:rPr>
        <w:t xml:space="preserve"> для серверной логики</w:t>
      </w:r>
    </w:p>
    <w:p>
      <w:pPr>
        <w:pStyle w:val="LTGliederung1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Telegram Bot API для взаимодействия с пользователями</w:t>
      </w:r>
    </w:p>
    <w:p>
      <w:pPr>
        <w:pStyle w:val="LTGliederung1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MongoDB для хранения данных пользователей</w:t>
      </w:r>
    </w:p>
    <w:p>
      <w:pPr>
        <w:pStyle w:val="LTGliederung1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Redis для кэширования и быстрого доступа к данным</w:t>
      </w:r>
    </w:p>
    <w:p>
      <w:pPr>
        <w:pStyle w:val="LTGliederung1"/>
        <w:numPr>
          <w:ilvl w:val="0"/>
          <w:numId w:val="1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Docker для контейнеризации приложения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Архитектура бота включает несколько ключевых модулей: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Модуль управления пользователями</w:t>
      </w:r>
    </w:p>
    <w:p>
      <w:pPr>
        <w:pStyle w:val="LTGliederung1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Модуль программ привычек</w:t>
      </w:r>
    </w:p>
    <w:p>
      <w:pPr>
        <w:pStyle w:val="LTGliederung1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Модуль игровых механик</w:t>
      </w:r>
    </w:p>
    <w:p>
      <w:pPr>
        <w:pStyle w:val="LTGliederung1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Модуль социального взаимодействия</w:t>
      </w:r>
    </w:p>
    <w:p>
      <w:pPr>
        <w:pStyle w:val="LTGliederung1"/>
        <w:numPr>
          <w:ilvl w:val="0"/>
          <w:numId w:val="1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Модуль аналитики и статистики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Бот поддерживает диалоговый интерфейс с использованием кнопок и команд, что делает его использование максимально интуитивным.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Тестирование и оценка эффективности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Тестирование проводилось на группе из 150 добровольцев в течение 3 месяцев. Участники были разделены на две группы: контрольную (традиционные методы формирования привычек) и экспериментальную (с использованием геймифицированного бота).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Ключевые метрики оценки эффективности: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Уровень вовлеченности (ежедневная активность)</w:t>
      </w:r>
    </w:p>
    <w:p>
      <w:pPr>
        <w:pStyle w:val="LTGliederung1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Процент выполнения задач</w:t>
      </w:r>
    </w:p>
    <w:p>
      <w:pPr>
        <w:pStyle w:val="LTGliederung1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Удержание пользователей</w:t>
      </w:r>
    </w:p>
    <w:p>
      <w:pPr>
        <w:pStyle w:val="LTGliederung1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Самооценка удовлетворенности процессом</w:t>
      </w:r>
    </w:p>
    <w:p>
      <w:pPr>
        <w:pStyle w:val="LTGliederung1"/>
        <w:numPr>
          <w:ilvl w:val="0"/>
          <w:numId w:val="12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Достижение поставленных целей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Результаты показали значительное превосходство геймифицированного подхода: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Уровень вовлеченности составил 78% против 34% в контрольной группе</w:t>
      </w:r>
    </w:p>
    <w:p>
      <w:pPr>
        <w:pStyle w:val="LTGliederung1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Процент выполнения задач – 67% против 42%</w:t>
      </w:r>
    </w:p>
    <w:p>
      <w:pPr>
        <w:pStyle w:val="LTGliederung1"/>
        <w:numPr>
          <w:ilvl w:val="0"/>
          <w:numId w:val="1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Удержание через 3 месяца – 63% против 28%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Выводы о наиболее подходящих подходах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Анализ результатов тестирования позволил выделить наиболее эффективные игровые механики: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Наиболее успешные элементы: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Система уровней и очков опыта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Ежедневные челленджи с ограниченным временем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Социальное взаимодействие через анонимные чаты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Персонализированные достижения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Менее эффективные элементы: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Глобальные лидерборды (вызывали стресс у некоторых пользователей)</w:t>
      </w:r>
    </w:p>
    <w:p>
      <w:pPr>
        <w:pStyle w:val="LTGliederung1"/>
        <w:numPr>
          <w:ilvl w:val="0"/>
          <w:numId w:val="15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Сложные экономические системы (отвлекали от основной цели)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Оптимальная комбинация: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Простая, но наглядная система прогресса</w:t>
      </w:r>
    </w:p>
    <w:p>
      <w:pPr>
        <w:pStyle w:val="LTGliederung1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Социальная поддержка без давления</w:t>
      </w:r>
    </w:p>
    <w:p>
      <w:pPr>
        <w:pStyle w:val="LTGliederung1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Персонализация контента и наград</w:t>
      </w:r>
    </w:p>
    <w:p>
      <w:pPr>
        <w:pStyle w:val="LTGliederung1"/>
        <w:numPr>
          <w:ilvl w:val="0"/>
          <w:numId w:val="14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Регулярная обратная связь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Возможности и ограничения применения механик в здоровье-ориентированном контенте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Возможности: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Повышение мотивации и вовлеченности пользователей</w:t>
      </w:r>
    </w:p>
    <w:p>
      <w:pPr>
        <w:pStyle w:val="LTGliederung1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Формирование устойчивых привычек через положительное подкрепление</w:t>
      </w:r>
    </w:p>
    <w:p>
      <w:pPr>
        <w:pStyle w:val="LTGliederung1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Создание поддерживающего сообщества</w:t>
      </w:r>
    </w:p>
    <w:p>
      <w:pPr>
        <w:pStyle w:val="LTGliederung1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Персонализация подхода под индивидуальные потребности</w:t>
      </w:r>
    </w:p>
    <w:p>
      <w:pPr>
        <w:pStyle w:val="LTGliederung1"/>
        <w:numPr>
          <w:ilvl w:val="0"/>
          <w:numId w:val="16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Количественная оценка прогресса и результатов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Ограничения: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Риск зависимости от игровых элементов вместо содержания</w:t>
      </w:r>
    </w:p>
    <w:p>
      <w:pPr>
        <w:pStyle w:val="LTGliederung1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Необходимость постоянного обновления контента</w:t>
      </w:r>
    </w:p>
    <w:p>
      <w:pPr>
        <w:pStyle w:val="LTGliederung1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Требования к технической инфраструктуре</w:t>
      </w:r>
    </w:p>
    <w:p>
      <w:pPr>
        <w:pStyle w:val="LTGliederung1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Необходимость психологической поддержки пользователей</w:t>
      </w:r>
    </w:p>
    <w:p>
      <w:pPr>
        <w:pStyle w:val="LTGliederung1"/>
        <w:numPr>
          <w:ilvl w:val="0"/>
          <w:numId w:val="17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Этические вопросы использования игровых механизмов в здравоохранении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План дальнейшего развития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На основе полученного опыта предлагаются следующие направления развития проекта: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Техническое развитие: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Расширение функционала бота</w:t>
      </w:r>
    </w:p>
    <w:p>
      <w:pPr>
        <w:pStyle w:val="LTGliederung1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Интеграция с носимыми устройствами</w:t>
      </w:r>
    </w:p>
    <w:p>
      <w:pPr>
        <w:pStyle w:val="LTGliederung1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Разработка мобильного приложения</w:t>
      </w:r>
    </w:p>
    <w:p>
      <w:pPr>
        <w:pStyle w:val="LTGliederung1"/>
        <w:numPr>
          <w:ilvl w:val="0"/>
          <w:numId w:val="19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Улучшение алгоритмов персонализации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Содержательное развитие: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Расширение библиотеки программ привычек</w:t>
      </w:r>
    </w:p>
    <w:p>
      <w:pPr>
        <w:pStyle w:val="LTGliederung1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Добавление экспертного контента</w:t>
      </w:r>
    </w:p>
    <w:p>
      <w:pPr>
        <w:pStyle w:val="LTGliederung1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Создание специализированных программ для разных групп</w:t>
      </w:r>
    </w:p>
    <w:p>
      <w:pPr>
        <w:pStyle w:val="LTGliederung1"/>
        <w:numPr>
          <w:ilvl w:val="0"/>
          <w:numId w:val="18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Интеграция с профессиональными коучами и психологами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Коммерческая реализация: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Партнерство с корпоративными клиентами</w:t>
      </w:r>
    </w:p>
    <w:p>
      <w:pPr>
        <w:pStyle w:val="LTGliederung1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Создание B2B-решений для HR-департаментов</w:t>
      </w:r>
    </w:p>
    <w:p>
      <w:pPr>
        <w:pStyle w:val="LTGliederung1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Разработка платных премиум-функций</w:t>
      </w:r>
    </w:p>
    <w:p>
      <w:pPr>
        <w:pStyle w:val="LTGliederung1"/>
        <w:numPr>
          <w:ilvl w:val="0"/>
          <w:numId w:val="20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Лицензирование технологии другим компаниям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Научное развитие: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Проведение более масштабных исследований эффективности</w:t>
      </w:r>
    </w:p>
    <w:p>
      <w:pPr>
        <w:pStyle w:val="LTGliederung1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Публикация научных статей</w:t>
      </w:r>
    </w:p>
    <w:p>
      <w:pPr>
        <w:pStyle w:val="LTGliederung1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Участие в конференциях по цифровому здравоохранению</w:t>
      </w:r>
    </w:p>
    <w:p>
      <w:pPr>
        <w:pStyle w:val="LTGliederung1"/>
        <w:numPr>
          <w:ilvl w:val="0"/>
          <w:numId w:val="21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Создание академических партнерств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jc w:val="center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Заключение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Производственная практика позволила глубоко изучить возможности применения игровых механик в сфере формирования здоровых привычек. Разработанный прототип чат-бота показал высокую эффективность в повышении мотивации и вовлеченности пользователей.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Полученные результаты демонстрируют, что геймификация может стать мощным инструментом в цифровом здравоохранении. Однако важно соблюдать баланс между игровыми элементами и содержательной частью, чтобы не отвлекать пользователей от основной цели – формирования устойчивых здоровых привычек.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Проект имеет хорошие перспективы для дальнейшего развития и коммерциализации. Полученный опыт будет полезен как для академических исследований, так и для практического применения в сфере цифрового здоровья.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  <w:lang w:val="en-US"/>
        </w:rPr>
      </w:pPr>
      <w:r>
        <w:rPr>
          <w:rFonts w:eastAsia="Calibri" w:cs="Times New Roman" w:ascii="Times New Roman" w:hAnsi="Times New Roman"/>
          <w:sz w:val="28"/>
          <w:szCs w:val="28"/>
          <w:lang w:val="en-US"/>
        </w:rPr>
        <w:t>{{{{</w:t>
      </w:r>
      <w:r>
        <w:rPr>
          <w:rFonts w:eastAsia="Calibri" w:cs="Times New Roman" w:ascii="Times New Roman" w:hAnsi="Times New Roman"/>
          <w:sz w:val="28"/>
          <w:szCs w:val="28"/>
        </w:rPr>
        <w:t>ЗАКЛЮЧЕНИЕ (перечисляются полученные результаты и приобретённые навыки, подводится итог выполненной работы, делаются необходимые выводы и предложения); объём - 1,5-2 стр.</w:t>
      </w:r>
      <w:r>
        <w:rPr>
          <w:rFonts w:eastAsia="Calibri" w:cs="Times New Roman" w:ascii="Times New Roman" w:hAnsi="Times New Roman"/>
          <w:sz w:val="28"/>
          <w:szCs w:val="28"/>
          <w:lang w:val="en-US"/>
        </w:rPr>
        <w:t>}}}}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Почему я решил заняться этим?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Причина, 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 xml:space="preserve">цифровизация, 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распространенность месенджеров и что можно это использовать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теоретические основы геймификации и игровых механики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геймификация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достижения и целеполагание</w:t>
      </w:r>
    </w:p>
    <w:p>
      <w:pPr>
        <w:pStyle w:val="LTGliederung1"/>
        <w:numPr>
          <w:ilvl w:val="1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прочие игровые механики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анализ существующ методов внедрения элементов игры в неигровой контент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обзор совр. Цифр. Планформ и инструментов для реализации игровых элементов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требования и особенности целевой аудитории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разработка концепции использования механик в конкретном бот-средстве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проектирование игровых механик для мотивации и вовлечения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реализация прототипа бота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тестирование и оценка эффективности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выводы что больше подходит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возможности и ограничения применения механик в здоровье ориентированном контенте</w:t>
      </w:r>
    </w:p>
    <w:p>
      <w:pPr>
        <w:pStyle w:val="LTGliederung1"/>
        <w:numPr>
          <w:ilvl w:val="0"/>
          <w:numId w:val="3"/>
        </w:numPr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что делать с этим дальше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ab/>
        <w:t>Современные технологии оказывают большое влияние на здоровье и образ жизни населения. Недостаточное внимание уделяется эффективным инструментам цифровой поддержки формирования полезных привычек, несмотря на распространённость мобильных устройств и популярность мессенджеров. Отсутствие универсальных и гибких цифровых платформ для долгосрочного укрепления здоровья требует создания эффективных методик и сервисов, интегрирующих игровые техники и психологическую поддержку.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/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  <w:r>
        <w:br w:type="page"/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СПИСОК ИСПОЛЬЗОВАННЫХ ИСТОЧНИКОВ </w:t>
      </w:r>
      <w:r>
        <w:rPr>
          <w:rFonts w:ascii="Times New Roman" w:hAnsi="Times New Roman"/>
          <w:b/>
          <w:sz w:val="28"/>
          <w:szCs w:val="28"/>
        </w:rPr>
        <w:t>(не менее 10)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br/>
      </w:r>
      <w:r>
        <w:br w:type="page"/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ПРИЛОЖЕНИЯ (при наличии)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-----</w:t>
      </w:r>
    </w:p>
    <w:p>
      <w:pPr>
        <w:pStyle w:val="LTGliederung1"/>
        <w:tabs>
          <w:tab w:val="clear" w:pos="708"/>
          <w:tab w:val="left" w:pos="0" w:leader="none"/>
        </w:tabs>
        <w:spacing w:lineRule="auto" w:line="264" w:before="0" w:after="0"/>
        <w:ind w:hanging="0" w:left="0" w:right="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  <w:t>процесс работы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Сформировать отчет по практике объемом от 15–20 страниц.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В отчете выполнить индивидуальное задание, сделать соответствующие выводы. </w:t>
      </w:r>
      <w:r>
        <w:rPr>
          <w:rFonts w:ascii="Times New Roman" w:hAnsi="Times New Roman"/>
          <w:color w:val="C00000"/>
          <w:spacing w:val="0"/>
          <w:sz w:val="28"/>
          <w:szCs w:val="28"/>
        </w:rPr>
        <w:t>Во введении обязательно указать, место прохождения практики (должно соответствовать приказу по практике), а в качестве объекта исследования указать организацию, по которой пишется отчет.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Оформить отчет в соответствии с требованиями.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Оформить презентацию PowerPoint для защиты отчета (до 10 слайдов).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Прислать/выложить </w:t>
      </w:r>
      <w:r>
        <w:rPr>
          <w:rFonts w:ascii="Times New Roman" w:hAnsi="Times New Roman"/>
          <w:b/>
          <w:color w:val="C00000"/>
          <w:spacing w:val="0"/>
          <w:sz w:val="28"/>
          <w:szCs w:val="28"/>
        </w:rPr>
        <w:t xml:space="preserve">отчет по практике 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и </w:t>
      </w:r>
      <w:r>
        <w:rPr>
          <w:rFonts w:ascii="Times New Roman" w:hAnsi="Times New Roman"/>
          <w:b/>
          <w:color w:val="C00000"/>
          <w:spacing w:val="0"/>
          <w:sz w:val="28"/>
          <w:szCs w:val="28"/>
        </w:rPr>
        <w:t>презентацию</w:t>
      </w:r>
      <w:r>
        <w:rPr>
          <w:rFonts w:ascii="Times New Roman" w:hAnsi="Times New Roman"/>
          <w:color w:val="C00000"/>
          <w:spacing w:val="0"/>
          <w:sz w:val="28"/>
          <w:szCs w:val="28"/>
        </w:rPr>
        <w:t xml:space="preserve"> 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>руководителю по окончании практики для аттестации</w:t>
      </w:r>
    </w:p>
    <w:p>
      <w:pPr>
        <w:pStyle w:val="Normal"/>
        <w:numPr>
          <w:ilvl w:val="0"/>
          <w:numId w:val="2"/>
        </w:numPr>
        <w:bidi w:val="0"/>
        <w:spacing w:lineRule="atLeast" w:line="200" w:before="0" w:after="12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(16 марта </w:t>
      </w:r>
      <w:r>
        <w:rPr>
          <w:rFonts w:ascii="Times New Roman" w:hAnsi="Times New Roman"/>
          <w:b/>
          <w:color w:val="C00000"/>
          <w:spacing w:val="0"/>
          <w:sz w:val="28"/>
          <w:szCs w:val="28"/>
        </w:rPr>
        <w:t>2026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>).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uto" w:line="192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 xml:space="preserve">Перечень планируемых </w:t>
      </w:r>
    </w:p>
    <w:p>
      <w:pPr>
        <w:pStyle w:val="Normal"/>
        <w:bidi w:val="0"/>
        <w:spacing w:lineRule="auto" w:line="192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 xml:space="preserve">результатов обучения </w:t>
      </w:r>
    </w:p>
    <w:p>
      <w:pPr>
        <w:pStyle w:val="Normal"/>
        <w:bidi w:val="0"/>
        <w:spacing w:lineRule="auto" w:line="192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при прохождении практики: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276" w:before="0" w:after="160"/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ПК-1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 - Способен управлять информационными ресурсами и информационными системами;</w:t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276" w:before="0" w:after="160"/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ПК-2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 - Способен применять современные методы и инструментальные средства прикладной информатики для автоматизации и информатизации решения прикладных задач различных классов и создания ИС ;</w:t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276" w:before="0" w:after="160"/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ПК-3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 - Способен проектировать архитектуру ИС предприятий и организаций и принимать эффективные проектные решения в условиях неопределенности и риска;</w:t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276" w:before="0" w:after="160"/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ПК-4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 - Способен проектировать информационные процессы, включая распределение заданий и ресурсов, и системы с использованием инновационных инструментальных средств, координирует и стимулирует выполнение заданий;</w:t>
      </w:r>
    </w:p>
    <w:p>
      <w:pPr>
        <w:pStyle w:val="Normal"/>
        <w:tabs>
          <w:tab w:val="clear" w:pos="708"/>
          <w:tab w:val="left" w:pos="0" w:leader="none"/>
        </w:tabs>
        <w:bidi w:val="0"/>
        <w:spacing w:lineRule="auto" w:line="276" w:before="0" w:after="160"/>
        <w:ind w:firstLine="709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color w:val="000000"/>
          <w:spacing w:val="0"/>
          <w:sz w:val="28"/>
          <w:szCs w:val="28"/>
        </w:rPr>
        <w:t>ПК-5</w:t>
      </w: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 - Способен определять потребности потенциальных клиентов и разрабатывать концепции системы, проводить расчеты окупаемости и защиту коммерческого предложения.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Отправить отчеты и презентации</w:t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в личные сообщения в MS Teams/ </w:t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 xml:space="preserve">на почту lebedeva-sl@rut-miit.ru </w:t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Имя файла «Фамилия_Очет НИР_26»</w:t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Normal"/>
        <w:bidi w:val="0"/>
        <w:spacing w:lineRule="atLeast" w:line="200"/>
        <w:ind w:hanging="0" w:left="0" w:right="0"/>
        <w:jc w:val="lef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000000"/>
          <w:spacing w:val="0"/>
          <w:sz w:val="28"/>
          <w:szCs w:val="28"/>
        </w:rPr>
        <w:t>Имя файла «Фамилия_Презентация Отчет НИР_26»</w:t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p>
      <w:pPr>
        <w:pStyle w:val="Normal"/>
        <w:spacing w:before="0" w:after="160"/>
        <w:rPr>
          <w:rFonts w:ascii="Times New Roman" w:hAnsi="Times New Roman" w:eastAsia="Calibri" w:cs="Times New Roman"/>
          <w:sz w:val="28"/>
          <w:szCs w:val="28"/>
        </w:rPr>
      </w:pPr>
      <w:r>
        <w:rPr>
          <w:rFonts w:eastAsia="Calibri" w:cs="Times New Roman" w:ascii="Times New Roman" w:hAnsi="Times New Roman"/>
          <w:sz w:val="28"/>
          <w:szCs w:val="28"/>
        </w:rPr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29493862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Lucida Sans">
    <w:charset w:val="cc"/>
    <w:family w:val="roman"/>
    <w:pitch w:val="variable"/>
  </w:font>
  <w:font w:name="OpenSymbol">
    <w:altName w:val="Arial Unicode MS"/>
    <w:charset w:val="cc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cc"/>
    <w:family w:val="swiss"/>
    <w:pitch w:val="variable"/>
  </w:font>
  <w:font w:name="Times New Roman">
    <w:charset w:val="cc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</w:numbering>
</file>

<file path=word/settings.xml><?xml version="1.0" encoding="utf-8"?>
<w:settings xmlns:w="http://schemas.openxmlformats.org/wordprocessingml/2006/main">
  <w:zoom w:percent="140"/>
  <w:defaultTabStop w:val="708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>
    <w:name w:val="Normal"/>
    <w:qFormat/>
    <w:pPr>
      <w:widowControl/>
      <w:suppressAutoHyphens w:val="true"/>
      <w:bidi w:val="0"/>
      <w:spacing w:lineRule="atLeast" w:line="200" w:before="0" w:after="0"/>
      <w:jc w:val="left"/>
    </w:pPr>
    <w:rPr>
      <w:rFonts w:ascii="Lucida Sans" w:hAnsi="Lucida Sans" w:eastAsia="Tahoma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color w:val="auto"/>
      <w:kern w:val="2"/>
      <w:sz w:val="36"/>
      <w:szCs w:val="24"/>
      <w:u w:val="none"/>
      <w:em w:val="none"/>
      <w:lang w:val="ru-RU" w:eastAsia="en-US" w:bidi="ar-SA"/>
    </w:rPr>
  </w:style>
  <w:style w:type="paragraph" w:styleId="Heading1">
    <w:name w:val="heading 1"/>
    <w:basedOn w:val="Style12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user2"/>
    <w:next w:val="BodyText"/>
    <w:qFormat/>
    <w:pPr>
      <w:spacing w:before="200" w:after="120"/>
      <w:outlineLvl w:val="1"/>
    </w:pPr>
    <w:rPr>
      <w:rFonts w:ascii="Liberation Serif" w:hAnsi="Liberation Serif" w:eastAsia="Segoe UI" w:cs="Tahoma"/>
      <w:b/>
      <w:bCs/>
      <w:sz w:val="36"/>
      <w:szCs w:val="36"/>
    </w:rPr>
  </w:style>
  <w:style w:type="paragraph" w:styleId="Heading4">
    <w:name w:val="heading 4"/>
    <w:basedOn w:val="Style12"/>
    <w:next w:val="BodyText"/>
    <w:qFormat/>
    <w:pPr>
      <w:numPr>
        <w:ilvl w:val="3"/>
        <w:numId w:val="1"/>
      </w:numPr>
      <w:spacing w:before="120" w:after="120"/>
      <w:outlineLvl w:val="3"/>
    </w:pPr>
    <w:rPr>
      <w:b/>
      <w:bCs/>
      <w:i/>
      <w:i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user">
    <w:name w:val="Символ нумерации (user)"/>
    <w:qFormat/>
    <w:rPr/>
  </w:style>
  <w:style w:type="character" w:styleId="user1">
    <w:name w:val="Маркеры (user)"/>
    <w:qFormat/>
    <w:rPr>
      <w:rFonts w:ascii="OpenSymbol" w:hAnsi="OpenSymbol" w:eastAsia="OpenSymbol" w:cs="OpenSymbol"/>
    </w:rPr>
  </w:style>
  <w:style w:type="character" w:styleId="Style11">
    <w:name w:val="Маркеры"/>
    <w:qFormat/>
    <w:rPr>
      <w:rFonts w:ascii="OpenSymbol" w:hAnsi="OpenSymbol" w:eastAsia="OpenSymbol" w:cs="OpenSymbol"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Lucida Sans"/>
    </w:rPr>
  </w:style>
  <w:style w:type="paragraph" w:styleId="user2">
    <w:name w:val="Заголовок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user3">
    <w:name w:val="Указатель (user)"/>
    <w:basedOn w:val="Normal"/>
    <w:qFormat/>
    <w:pPr>
      <w:suppressLineNumbers/>
    </w:pPr>
    <w:rPr>
      <w:rFonts w:cs="Lucida Sans"/>
    </w:rPr>
  </w:style>
  <w:style w:type="paragraph" w:styleId="LTGliederung1">
    <w:name w:val="Заголовок цвет~LT~Gliederung 1"/>
    <w:qFormat/>
    <w:pPr>
      <w:widowControl/>
      <w:suppressAutoHyphens w:val="true"/>
      <w:bidi w:val="0"/>
      <w:spacing w:lineRule="auto" w:line="216" w:before="283" w:after="0"/>
      <w:jc w:val="left"/>
    </w:pPr>
    <w:rPr>
      <w:rFonts w:ascii="Lucida Sans" w:hAnsi="Lucida Sans" w:eastAsia="Tahoma" w:cs="Times New Roman"/>
      <w:b w:val="false"/>
      <w:i w:val="false"/>
      <w:caps w:val="false"/>
      <w:smallCaps w:val="false"/>
      <w:strike w:val="false"/>
      <w:dstrike w:val="false"/>
      <w:outline w:val="false"/>
      <w:shadow w:val="false"/>
      <w:color w:val="000000"/>
      <w:spacing w:val="0"/>
      <w:kern w:val="2"/>
      <w:sz w:val="56"/>
      <w:szCs w:val="24"/>
      <w:u w:val="none"/>
      <w:em w:val="none"/>
      <w:lang w:val="ru-RU" w:eastAsia="en-US" w:bidi="ar-SA"/>
    </w:rPr>
  </w:style>
  <w:style w:type="paragraph" w:styleId="Title">
    <w:name w:val="Title"/>
    <w:basedOn w:val="Style12"/>
    <w:next w:val="BodyText"/>
    <w:qFormat/>
    <w:pPr>
      <w:jc w:val="center"/>
    </w:pPr>
    <w:rPr>
      <w:b/>
      <w:bCs/>
      <w:sz w:val="56"/>
      <w:szCs w:val="56"/>
    </w:rPr>
  </w:style>
  <w:style w:type="numbering" w:styleId="user4" w:default="1">
    <w:name w:val="Без списка (user)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2">
    <w:name w:val="Сетка таблицы2"/>
    <w:basedOn w:val="a1"/>
    <w:uiPriority w:val="59"/>
    <w:rsid w:val="002b21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a3">
    <w:name w:val="Table Grid"/>
    <w:basedOn w:val="a1"/>
    <w:uiPriority w:val="39"/>
    <w:rsid w:val="002b211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<Relationship Id="rId8" Type="http://schemas.openxmlformats.org/officeDocument/2006/relationships/customXml" Target="../customXml/item2.xml"/><Relationship Id="rId9" Type="http://schemas.openxmlformats.org/officeDocument/2006/relationships/customXml" Target="../customXml/item3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355CCA2D9A29904F8D3D44EF0111EE01" ma:contentTypeVersion="4" ma:contentTypeDescription="Создание документа." ma:contentTypeScope="" ma:versionID="48893dd44927e55274d866e23fab1d38">
  <xsd:schema xmlns:xsd="http://www.w3.org/2001/XMLSchema" xmlns:xs="http://www.w3.org/2001/XMLSchema" xmlns:p="http://schemas.microsoft.com/office/2006/metadata/properties" xmlns:ns2="d33e300a-9761-49b8-ab6e-27456144f2e3" targetNamespace="http://schemas.microsoft.com/office/2006/metadata/properties" ma:root="true" ma:fieldsID="ffaac08227f82693524c05e658c05064" ns2:_="">
    <xsd:import namespace="d33e300a-9761-49b8-ab6e-27456144f2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33e300a-9761-49b8-ab6e-27456144f2e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1D27665-0655-4424-A52E-30639FFA84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99E1671-D5DE-4273-BC37-2494CEECD1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B04BE29-66C9-4B4D-A729-9F52D49C3D3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33e300a-9761-49b8-ab6e-27456144f2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Application>LibreOffice/25.2.7.2$Windows_X86_64 LibreOffice_project/5cbfd1ab6520636bb5f7b99185aa69bd7456825d</Application>
  <AppVersion>15.0000</AppVersion>
  <Pages>18</Pages>
  <Words>2345</Words>
  <Characters>17446</Characters>
  <CharactersWithSpaces>19505</CharactersWithSpaces>
  <Paragraphs>234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2026-02-02T10:13:00Z</dcterms:created>
  <dc:creator>Админ</dc:creator>
  <dc:description/>
  <dc:language>ru-RU</dc:language>
  <cp:lastModifiedBy/>
  <cp:lastPrinted>2022-02-11T11:18:00Z</cp:lastPrinted>
  <dcterms:modified xsi:type="dcterms:W3CDTF">2026-03-04T15:22:49Z</dcterms:modified>
  <cp:revision>11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0x010100355CCA2D9A29904F8D3D44EF0111EE01</vt:lpwstr>
  </property>
</Properties>
</file>