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E5C58"/>
          <w:spacing w:val="40"/>
          <w:sz w:val="15"/>
          <w:szCs w:val="15"/>
        </w:rPr>
        <w:t xml:space="preserve">PRAXIS  ·  PX-034  ·  REVISED PROPOSAL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4191A"/>
          <w:sz w:val="44"/>
          <w:szCs w:val="44"/>
        </w:rPr>
        <w:t xml:space="preserve">Conflict-Aware CTI Routing</w:t>
      </w:r>
    </w:p>
    <w:p>
      <w:pPr>
        <w:spacing w:after="160" w:line="300"/>
      </w:pPr>
      <w:r>
        <w:rPr>
          <w:rFonts w:ascii="Cambria" w:cs="Cambria" w:eastAsia="Cambria" w:hAnsi="Cambria"/>
          <w:i/>
          <w:iCs/>
          <w:color w:val="4A5354"/>
          <w:sz w:val="23"/>
          <w:szCs w:val="23"/>
        </w:rPr>
        <w:t xml:space="preserve">Re-anchored on CTIConnect and CONFLICTS. Retrieval in cyber threat intelligence sometimes makes answers worse; this proposal asks whether a cheap detector can tell when, before the model answers.</w:t>
      </w:r>
    </w:p>
    <w:p>
      <w:pPr>
        <w:spacing w:after="60"/>
      </w:pPr>
      <w:r>
        <w:rPr>
          <w:color w:val="4A5354"/>
          <w:sz w:val="18"/>
          <w:szCs w:val="18"/>
        </w:rPr>
        <w:t xml:space="preserve">Supersedes: PX-034 CTI Source-Conflict Evidence Gate (2026-06-30)   ·   Drafted 2026-08-26   ·   Status: pre-registration draft, not frozen</w:t>
      </w:r>
    </w:p>
    <w:p>
      <w:pPr>
        <w:pBdr>
          <w:bottom w:val="single" w:color="DFE3E0" w:sz="6" w:space="6"/>
        </w:pBdr>
        <w:spacing w:after="160" w:before="60"/>
      </w:pP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01 · ANCHORS</w:t>
      </w:r>
    </w:p>
    <w:p>
      <w:pPr>
        <w:pStyle w:val="Heading1"/>
        <w:spacing w:after="160" w:before="60"/>
      </w:pPr>
      <w:r>
        <w:t xml:space="preserve">Two papers, two open doors</w:t>
      </w:r>
    </w:p>
    <w:p>
      <w:pPr>
        <w:pStyle w:val="Heading3"/>
        <w:spacing w:after="80" w:before="160"/>
      </w:pPr>
      <w:r>
        <w:t xml:space="preserve">Domain anchor — CTIConnect</w:t>
      </w:r>
    </w:p>
    <w:p>
      <w:pPr>
        <w:spacing w:after="110" w:line="260"/>
      </w:pPr>
      <w:r>
        <w:rPr>
          <w:color w:val="4A5354"/>
          <w:sz w:val="18"/>
          <w:szCs w:val="18"/>
        </w:rPr>
        <w:t xml:space="preserve">Cheng, Y., Liu, Y., Li, C., Song, D., &amp; Gao, P. (2026). CTIConnect: A Benchmark for Retrieval-Augmented LLMs over Heterogeneous Cyber Threat Intelligence. KDD '26. arXiv:2510.11974v2.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Establishes: </w:t>
      </w:r>
      <w:r>
        <w:rPr>
          <w:color w:val="14191A"/>
          <w:sz w:val="21"/>
          <w:szCs w:val="21"/>
        </w:rPr>
        <w:t xml:space="preserve">1,860 expert-verified QA pairs over five CTI sources and nine tasks. A </w:t>
      </w:r>
      <w:r>
        <w:rPr>
          <w:i/>
          <w:iCs/>
          <w:color w:val="14191A"/>
          <w:sz w:val="21"/>
          <w:szCs w:val="21"/>
        </w:rPr>
        <w:t xml:space="preserve">cross-source semantic gap</w:t>
      </w:r>
      <w:r>
        <w:rPr>
          <w:color w:val="14191A"/>
          <w:sz w:val="21"/>
          <w:szCs w:val="21"/>
        </w:rPr>
        <w:t xml:space="preserve"> that varies by task — query-to-gold similarity gap of 0.06 for entity linking, 0.31 for attribution, 0.43 for synthesis. Critically, vanilla RAG can fall </w:t>
      </w:r>
      <w:r>
        <w:rPr>
          <w:i/>
          <w:iCs/>
          <w:color w:val="14191A"/>
          <w:sz w:val="21"/>
          <w:szCs w:val="21"/>
        </w:rPr>
        <w:t xml:space="preserve">below</w:t>
      </w:r>
      <w:r>
        <w:rPr>
          <w:color w:val="14191A"/>
          <w:sz w:val="21"/>
          <w:szCs w:val="21"/>
        </w:rPr>
        <w:t xml:space="preserve"> closed-book: GPT-5 entity attribution drops .83 → .74, Gemini-2.5-Pro .63 → .56, because one wrong retrieved taxonomy entry becomes a wrong answer element.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Leaves open: </w:t>
      </w:r>
      <w:r>
        <w:rPr>
          <w:color w:val="14191A"/>
          <w:sz w:val="21"/>
          <w:szCs w:val="21"/>
        </w:rPr>
        <w:t xml:space="preserve">the paper closes with security platforms that “dynamically route analyst queries to task-appropriate retrieval strategies” as future work. It builds strategies and measures them; it never builds the router that chooses among them at query time.</w:t>
      </w:r>
    </w:p>
    <w:p>
      <w:pPr>
        <w:pStyle w:val="Heading3"/>
        <w:spacing w:after="80" w:before="160"/>
      </w:pPr>
      <w:r>
        <w:t xml:space="preserve">Method anchor — CONFLICTS</w:t>
      </w:r>
    </w:p>
    <w:p>
      <w:pPr>
        <w:spacing w:after="110" w:line="260"/>
      </w:pPr>
      <w:r>
        <w:rPr>
          <w:color w:val="4A5354"/>
          <w:sz w:val="18"/>
          <w:szCs w:val="18"/>
        </w:rPr>
        <w:t xml:space="preserve">Cattan, A., Jacovi, A., Ram, O., Herzig, J., Aharoni, R., Goldshtein, S., Ofek, E., Szpektor, I., &amp; Caciularu, A. (2025). DRAGged into Conflicts: Detecting and Addressing Conflicting Sources in Search-Augmented LLMs. arXiv:2506.08500v2.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Establishes: </w:t>
      </w:r>
      <w:r>
        <w:rPr>
          <w:color w:val="14191A"/>
          <w:sz w:val="21"/>
          <w:szCs w:val="21"/>
        </w:rPr>
        <w:t xml:space="preserve">a five-type conflict taxonomy — no conflict, complementary information, conflicting opinions, outdated information, misinformation — each paired with an </w:t>
      </w:r>
      <w:r>
        <w:rPr>
          <w:i/>
          <w:iCs/>
          <w:color w:val="14191A"/>
          <w:sz w:val="21"/>
          <w:szCs w:val="21"/>
        </w:rPr>
        <w:t xml:space="preserve">expected model behavior</w:t>
      </w:r>
      <w:r>
        <w:rPr>
          <w:color w:val="14191A"/>
          <w:sz w:val="21"/>
          <w:szCs w:val="21"/>
        </w:rPr>
        <w:t xml:space="preserve">, over 458 expert-annotated instances. Knowing the true conflict type is worth about </w:t>
      </w:r>
      <w:r>
        <w:rPr>
          <w:b/>
          <w:bCs/>
          <w:color w:val="14191A"/>
          <w:sz w:val="21"/>
          <w:szCs w:val="21"/>
        </w:rPr>
        <w:t xml:space="preserve">+24 points</w:t>
      </w:r>
      <w:r>
        <w:rPr>
          <w:color w:val="14191A"/>
          <w:sz w:val="21"/>
          <w:szCs w:val="21"/>
        </w:rPr>
        <w:t xml:space="preserve"> of expected-behavior adherence on average; predicting it from a pipeline recovers only </w:t>
      </w:r>
      <w:r>
        <w:rPr>
          <w:b/>
          <w:bCs/>
          <w:color w:val="14191A"/>
          <w:sz w:val="21"/>
          <w:szCs w:val="21"/>
        </w:rPr>
        <w:t xml:space="preserve">+9</w:t>
      </w:r>
      <w:r>
        <w:rPr>
          <w:color w:val="14191A"/>
          <w:sz w:val="21"/>
          <w:szCs w:val="21"/>
        </w:rPr>
        <w:t xml:space="preserve">. Models predict the type poorly: best accuracy 65.3% (Gemini 2.5 Flash), GPT-4o 59.2%, Qwen2.5-72B 53.1%.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Leaves open: </w:t>
      </w:r>
      <w:r>
        <w:rPr>
          <w:color w:val="14191A"/>
          <w:sz w:val="21"/>
          <w:szCs w:val="21"/>
        </w:rPr>
        <w:t xml:space="preserve">the paper is general-web only, explicitly excludes harmful content, and names as future work “handling irrelevant sources due to imperfect retrieval… or addressing queries with safety concerns,” and integration “into practical RAG systems.”</w:t>
      </w:r>
    </w:p>
    <w:tbl>
      <w:tblPr>
        <w:tblW w:type="dxa" w:w="10080"/>
        <w:tblBorders>
          <w:top w:val="single" w:color="DFE3E0" w:sz="2"/>
          <w:left w:val="single" w:color="0E5C58" w:sz="18"/>
          <w:bottom w:val="single" w:color="DFE3E0" w:sz="2"/>
          <w:right w:val="single" w:color="DFE3E0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2F5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E5C58"/>
                <w:spacing w:val="30"/>
                <w:sz w:val="15"/>
                <w:szCs w:val="15"/>
              </w:rPr>
              <w:t xml:space="preserve">THE GAP BETWEEN THEM</w:t>
            </w:r>
          </w:p>
          <w:p>
            <w:pPr>
              <w:spacing w:line="280"/>
            </w:pPr>
            <w:r>
              <w:rPr>
                <w:color w:val="14191A"/>
                <w:sz w:val="21"/>
                <w:szCs w:val="21"/>
              </w:rPr>
              <w:t xml:space="preserve">CTIConnect proves retrieval-induced harm is real in CTI and asks for a router. CONFLICTS proves conflict type is worth a large, quantified gain and that models cannot currently predict it. </w:t>
            </w:r>
            <w:r>
              <w:rPr>
                <w:b/>
                <w:bCs/>
                <w:color w:val="14191A"/>
                <w:sz w:val="21"/>
                <w:szCs w:val="21"/>
              </w:rPr>
              <w:t xml:space="preserve">Neither builds a conflict-type detector for a safety-critical domain, and neither treats abstention as an available action.</w:t>
            </w:r>
            <w:r>
              <w:rPr>
                <w:color w:val="14191A"/>
                <w:sz w:val="21"/>
                <w:szCs w:val="21"/>
              </w:rPr>
              <w:t xml:space="preserve"> PX-034 sits exactly in that intersection.</w:t>
            </w:r>
          </w:p>
        </w:tc>
      </w:tr>
    </w:tbl>
    <w:p>
      <w:pPr>
        <w:spacing w:after="120"/>
      </w:pP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02 · HYPOTHESIS</w:t>
      </w:r>
    </w:p>
    <w:p>
      <w:pPr>
        <w:pStyle w:val="Heading1"/>
        <w:spacing w:after="160" w:before="60"/>
      </w:pPr>
      <w:r>
        <w:t xml:space="preserve">What we claim</w:t>
      </w:r>
    </w:p>
    <w:tbl>
      <w:tblPr>
        <w:tblW w:type="dxa" w:w="10080"/>
        <w:tblBorders>
          <w:top w:val="single" w:color="DFE3E0" w:sz="2"/>
          <w:left w:val="single" w:color="0E5C58" w:sz="18"/>
          <w:bottom w:val="single" w:color="DFE3E0" w:sz="2"/>
          <w:right w:val="single" w:color="DFE3E0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2F5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E5C58"/>
                <w:spacing w:val="30"/>
                <w:sz w:val="15"/>
                <w:szCs w:val="15"/>
              </w:rPr>
              <w:t xml:space="preserve">H</w:t>
            </w:r>
          </w:p>
          <w:p>
            <w:pPr>
              <w:spacing w:line="280"/>
            </w:pPr>
            <w:r>
              <w:rPr>
                <w:color w:val="14191A"/>
                <w:sz w:val="21"/>
                <w:szCs w:val="21"/>
              </w:rPr>
              <w:t xml:space="preserve">In heterogeneous CTI retrieval, the support state of retrieved evidence — decisive, complementary, conflicting, stale, or absent — is predictable from evidence structure alone, without the candidate answer and without an additional LLM call; and routing on that prediction recovers a meaningful share of the oracle-conditioning gain that CONFLICTS quantifies, while preventing the retrieval-induced degradation that CTIConnect measures, at matched coverage.</w:t>
            </w:r>
          </w:p>
        </w:tc>
      </w:tr>
    </w:tbl>
    <w:p>
      <w:pPr>
        <w:spacing w:after="140"/>
      </w:pPr>
    </w:p>
    <w:p>
      <w:pPr>
        <w:spacing w:after="120" w:line="280"/>
        <w:ind w:left="340" w:hanging="340"/>
      </w:pPr>
      <w:r>
        <w:rPr>
          <w:b/>
          <w:bCs/>
          <w:color w:val="0E5C58"/>
          <w:sz w:val="20"/>
          <w:szCs w:val="20"/>
        </w:rPr>
        <w:t xml:space="preserve">H1  </w:t>
      </w:r>
      <w:r>
        <w:rPr>
          <w:color w:val="14191A"/>
          <w:sz w:val="21"/>
          <w:szCs w:val="21"/>
        </w:rPr>
        <w:t xml:space="preserve">Conflict is a distinct state from absence. Conflicting-evidence queries behave measurably differently from unsupported-evidence queries, rather than collapsing into one “unreliable” class.</w:t>
      </w:r>
    </w:p>
    <w:p>
      <w:pPr>
        <w:spacing w:after="120" w:line="280"/>
        <w:ind w:left="340" w:hanging="340"/>
      </w:pPr>
      <w:r>
        <w:rPr>
          <w:b/>
          <w:bCs/>
          <w:color w:val="0E5C58"/>
          <w:sz w:val="20"/>
          <w:szCs w:val="20"/>
        </w:rPr>
        <w:t xml:space="preserve">H2  </w:t>
      </w:r>
      <w:r>
        <w:rPr>
          <w:color w:val="14191A"/>
          <w:sz w:val="21"/>
          <w:szCs w:val="21"/>
        </w:rPr>
        <w:t xml:space="preserve">The signal is structural. A detector reading only the question and the retrieved evidence — no candidate answers, no gold labels — separates the states above chance and above LLM self-prediction.</w:t>
      </w:r>
    </w:p>
    <w:p>
      <w:pPr>
        <w:spacing w:after="120" w:line="280"/>
        <w:ind w:left="340" w:hanging="340"/>
      </w:pPr>
      <w:r>
        <w:rPr>
          <w:b/>
          <w:bCs/>
          <w:color w:val="0E5C58"/>
          <w:sz w:val="20"/>
          <w:szCs w:val="20"/>
        </w:rPr>
        <w:t xml:space="preserve">H3  </w:t>
      </w:r>
      <w:r>
        <w:rPr>
          <w:color w:val="14191A"/>
          <w:sz w:val="21"/>
          <w:szCs w:val="21"/>
        </w:rPr>
        <w:t xml:space="preserve">Routing pays. A pipeline that acts on the predicted state beats always-retrieve and never-retrieve at matched coverage, per task category.</w:t>
      </w:r>
    </w:p>
    <w:p>
      <w:pPr>
        <w:spacing w:after="120" w:line="280"/>
        <w:ind w:left="340" w:hanging="340"/>
      </w:pPr>
      <w:r>
        <w:rPr>
          <w:b/>
          <w:bCs/>
          <w:color w:val="0E5C58"/>
          <w:sz w:val="20"/>
          <w:szCs w:val="20"/>
        </w:rPr>
        <w:t xml:space="preserve">H4  </w:t>
      </w:r>
      <w:r>
        <w:rPr>
          <w:color w:val="14191A"/>
          <w:sz w:val="21"/>
          <w:szCs w:val="21"/>
        </w:rPr>
        <w:t xml:space="preserve">Routing prevents harm. Predicted state identifies the cases where retrieval degrades performance below closed-book, and diverting them recovers the loss.</w:t>
      </w:r>
    </w:p>
    <w:p>
      <w:pPr>
        <w:spacing w:after="120" w:line="280"/>
        <w:ind w:left="340" w:hanging="340"/>
      </w:pPr>
      <w:r>
        <w:rPr>
          <w:b/>
          <w:bCs/>
          <w:color w:val="0E5C58"/>
          <w:sz w:val="20"/>
          <w:szCs w:val="20"/>
        </w:rPr>
        <w:t xml:space="preserve">H5  </w:t>
      </w:r>
      <w:r>
        <w:rPr>
          <w:color w:val="14191A"/>
          <w:sz w:val="21"/>
          <w:szCs w:val="21"/>
        </w:rPr>
        <w:t xml:space="preserve">Cheap beats expensive. A structural detector reaches competitive accuracy at materially lower cost per query than LLM-judge conflict detection, and helps weaker models most.</w:t>
      </w:r>
    </w:p>
    <w:p>
      <w:pPr>
        <w:spacing w:after="140" w:line="280"/>
      </w:pPr>
      <w:r>
        <w:rPr>
          <w:color w:val="4A5354"/>
          <w:sz w:val="18"/>
          <w:szCs w:val="18"/>
        </w:rPr>
        <w:t xml:space="preserve">Each sub-hypothesis is separately falsifiable. H2 is the load-bearing one: if the signal does not survive removal of the candidate answers, the project stops there.</w:t>
      </w: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03 · QUESTIONS</w:t>
      </w:r>
    </w:p>
    <w:p>
      <w:pPr>
        <w:pStyle w:val="Heading1"/>
        <w:spacing w:after="160" w:before="60"/>
      </w:pPr>
      <w:r>
        <w:t xml:space="preserve">Research questions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RQ1  </w:t>
      </w:r>
      <w:r>
        <w:rPr>
          <w:b/>
          <w:bCs/>
          <w:color w:val="14191A"/>
          <w:sz w:val="22"/>
          <w:szCs w:val="22"/>
        </w:rPr>
        <w:t xml:space="preserve">Does the CONFLICTS taxonomy transfer to CTI evidence?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The five types were derived from general web search results. CTI evidence has different failure shapes — entity aliasing across vendors, taxonomy version drift, one-hop attribution errors. Does the taxonomy cover CTI conflicts, does it need CTI-specific types, and what is the type distribution over CTIConnect queries?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CONFLICTS §2   ·   Output: annotated CTI conflict subset + coverage rate   ·   Fails if: an “other” bucket exceeds a declared share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RQ2  </w:t>
      </w:r>
      <w:r>
        <w:rPr>
          <w:b/>
          <w:bCs/>
          <w:color w:val="14191A"/>
          <w:sz w:val="22"/>
          <w:szCs w:val="22"/>
        </w:rPr>
        <w:t xml:space="preserve">Can conflict state be predicted without the candidate answer?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The original PX-034 router scored each answer option against evidence, so it partly read the answer key. This asks whether a detector using only question and evidence structure — retrieval-score geometry, source agreement, entity resolution conflicts, publication dates — reaches usable accuracy. The reference point is CONFLICTS' own ceiling of 65.3% for LLM type prediction.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CONFLICTS Task 1   ·   Metric: macro-F1 vs LLM self-prediction   ·   Fails if: no better than the majority-class baseline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RQ3  </w:t>
      </w:r>
      <w:r>
        <w:rPr>
          <w:b/>
          <w:bCs/>
          <w:color w:val="14191A"/>
          <w:sz w:val="22"/>
          <w:szCs w:val="22"/>
        </w:rPr>
        <w:t xml:space="preserve">Does routing on predicted state beat uniform strategies?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CTIConnect shows the best retrieval strategy differs by task category — Extract-then-Retrieve for entity linking, CSKG-guided for synthesis, Decompose-then-Retrieve for attribution — and that generic improvements like reranking and IRCoT close only 1–5% of the gap. Does query-time routing among these strategies, plus abstention, beat any single fixed strategy at equal coverage?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CTIConnect §4.3.4 + future work   ·   Metric: risk–coverage, AURC   ·   Fails if: no strategy beats always-DS at matched coverage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RQ4  </w:t>
      </w:r>
      <w:r>
        <w:rPr>
          <w:b/>
          <w:bCs/>
          <w:color w:val="14191A"/>
          <w:sz w:val="22"/>
          <w:szCs w:val="22"/>
        </w:rPr>
        <w:t xml:space="preserve">Does it catch retrieval-induced harm?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Two independent observations of the same phenomenon: CTIConnect finds vanilla RAG below closed-book on entity attribution, and PX-003 found ATT&amp;CK evidence harming non-ATT&amp;CK questions by 15.0% and 17.5% across two model families. What share of these degradation cases does the detector flag before the answer is generated?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CTIConnect Table III · PX-003 Gate E   ·   Metric: harm-prevention rate, misroute rate   ·   Fails if: prevention below a pre-set floor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RQ5  </w:t>
      </w:r>
      <w:r>
        <w:rPr>
          <w:b/>
          <w:bCs/>
          <w:color w:val="14191A"/>
          <w:sz w:val="22"/>
          <w:szCs w:val="22"/>
        </w:rPr>
        <w:t xml:space="preserve">How much of the oracle gap does prediction recover?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CONFLICTS quantifies the headroom precisely: gold conflict type is worth +24 points of expected-behavior adherence, and their two-step pipeline recovers +9. Does a domain-specific structural detector recover more of that gap in CTI than a general prompted pipeline does on the web?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CONFLICTS Results 2–3   ·   Metric: fraction of (Oracle − Vanilla) recovered   ·   Fails if: below the published pipeline gain</w:t>
      </w:r>
    </w:p>
    <w:p>
      <w:pPr>
        <w:spacing w:after="70" w:before="200"/>
      </w:pPr>
      <w:r>
        <w:rPr>
          <w:b/>
          <w:bCs/>
          <w:color w:val="0E5C58"/>
          <w:sz w:val="19"/>
          <w:szCs w:val="19"/>
        </w:rPr>
        <w:t xml:space="preserve">RQ6  </w:t>
      </w:r>
      <w:r>
        <w:rPr>
          <w:b/>
          <w:bCs/>
          <w:color w:val="14191A"/>
          <w:sz w:val="22"/>
          <w:szCs w:val="22"/>
        </w:rPr>
        <w:t xml:space="preserve">Who benefits — and is it worth the cost?</w:t>
      </w:r>
    </w:p>
    <w:p>
      <w:pPr>
        <w:spacing w:after="70" w:line="280"/>
        <w:ind w:left="280"/>
      </w:pPr>
      <w:r>
        <w:rPr>
          <w:color w:val="14191A"/>
          <w:sz w:val="21"/>
          <w:szCs w:val="21"/>
        </w:rPr>
        <w:t xml:space="preserve">CTIConnect reports a 28-point evidence-utilization gap between strong and weak model tiers on correct evidence, and a collapse to 18% for weak models on incorrect evidence versus 42% for strong ones. It also finds domain-specific retrieval helps weak models more (+36.1%) than strong (+25.2%). If routing follows that pattern, the deployment case is for resource-constrained analysts, not frontier models — and it must be shown at lower cost per query than LLM-judge detection.</w:t>
      </w:r>
    </w:p>
    <w:p>
      <w:pPr>
        <w:spacing w:after="130"/>
        <w:ind w:left="280"/>
      </w:pPr>
      <w:r>
        <w:rPr>
          <w:color w:val="7C8688"/>
          <w:sz w:val="17"/>
          <w:szCs w:val="17"/>
        </w:rPr>
        <w:t xml:space="preserve">Anchor: CTIConnect §4.3.2   ·   Metric: gain by model tier; tokens and latency per query   ·   Fails if: gains confined to one tier with no cost advantage</w:t>
      </w: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04 · SUBSTRATE</w:t>
      </w:r>
    </w:p>
    <w:p>
      <w:pPr>
        <w:pStyle w:val="Heading1"/>
        <w:spacing w:after="160" w:before="60"/>
      </w:pPr>
      <w:r>
        <w:t xml:space="preserve">Dataset decision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Primary: CTIConnect</w:t>
      </w:r>
      <w:r>
        <w:rPr>
          <w:color w:val="14191A"/>
          <w:sz w:val="21"/>
          <w:szCs w:val="21"/>
        </w:rPr>
        <w:t xml:space="preserve"> — 1,860 QA pairs, five heterogeneous sources, nine tasks, with per-task temporal splits spanning 2008–2025. This is the substrate change the anchors force. In CTI-MCQ, “conflict” was two answer options scoring similarly under a lexical scorer; in CTIConnect, conflict is two vendor reports naming the same actor differently, or a CWE mapping that changed. The construct becomes real rather than an artifact of the scoring function.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Secondary: CTI-MCQ, all 2,500 rows</w:t>
      </w:r>
      <w:r>
        <w:rPr>
          <w:color w:val="14191A"/>
          <w:sz w:val="21"/>
          <w:szCs w:val="21"/>
        </w:rPr>
        <w:t xml:space="preserve"> — retained purely as the transfer check that connects this work to PX-003, using the frozen 1,578 ATT&amp;CK / 922 non-ATT&amp;CK strata to test RQ4's off-domain half. The 500 rows used in the earlier experiment are quarantined from evaluation.</w:t>
      </w:r>
    </w:p>
    <w:p>
      <w:pPr>
        <w:spacing w:after="140" w:line="280"/>
      </w:pPr>
      <w:r>
        <w:rPr>
          <w:b/>
          <w:bCs/>
          <w:color w:val="14191A"/>
          <w:sz w:val="21"/>
          <w:szCs w:val="21"/>
        </w:rPr>
        <w:t xml:space="preserve">Conflict labels: CONFLICTS protocol, CTI-adapted</w:t>
      </w:r>
      <w:r>
        <w:rPr>
          <w:color w:val="14191A"/>
          <w:sz w:val="21"/>
          <w:szCs w:val="21"/>
        </w:rPr>
        <w:t xml:space="preserve"> — two independent annotators, disagreement reconciliation, third-annotator review, on a subset sized to support macro-F1 with usable intervals. This is the main new annotation cost and the main schedule risk.</w:t>
      </w: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05 · DESIGN</w:t>
      </w:r>
    </w:p>
    <w:p>
      <w:pPr>
        <w:pStyle w:val="Heading1"/>
        <w:spacing w:after="160" w:before="60"/>
      </w:pPr>
      <w:r>
        <w:t xml:space="preserve">Arms, splits, and freeze</w:t>
      </w:r>
    </w:p>
    <w:tbl>
      <w:tblPr>
        <w:tblW w:type="dxa" w:w="10080"/>
        <w:tblBorders>
          <w:top w:val="single" w:color="DFE3E0" w:sz="2"/>
          <w:left w:val="single" w:color="DFE3E0" w:sz="2"/>
          <w:bottom w:val="single" w:color="DFE3E0" w:sz="2"/>
          <w:right w:val="single" w:color="DFE3E0" w:sz="2"/>
          <w:insideH w:val="single" w:color="DFE3E0" w:sz="2"/>
          <w:insideV w:val="single" w:color="DFE3E0" w:sz="2"/>
        </w:tblBorders>
      </w:tblPr>
      <w:tblGrid>
        <w:gridCol w:w="2300"/>
        <w:gridCol w:w="4600"/>
        <w:gridCol w:w="3180"/>
      </w:tblGrid>
      <w:tr>
        <w:trPr>
          <w:cantSplit/>
          <w:tblHeader/>
        </w:trPr>
        <w:tc>
          <w:tcPr>
            <w:tcW w:type="dxa" w:w="230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Arm</w:t>
            </w:r>
          </w:p>
        </w:tc>
        <w:tc>
          <w:tcPr>
            <w:tcW w:type="dxa" w:w="460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318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Closed-book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No retrieval; parametric knowledge only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Floor, and the bar retrieval must clear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Vanilla RAG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Always retrieve, single fixed strategy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Primary baseline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Always domain-specific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CTIConnect's per-category strategy, applied uniformly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Strong baseline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LLM self-prediction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Model predicts conflict type, then answers (CONFLICTS pipeline)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Competing detector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Structural router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Option-blind detector predicts state, then routes or abstains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Oracle state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Gold conflict type supplied</w:t>
            </w:r>
          </w:p>
        </w:tc>
        <w:tc>
          <w:tcPr>
            <w:tcW w:type="dxa" w:w="3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Declared upper bound, never a claim</w:t>
            </w:r>
          </w:p>
        </w:tc>
      </w:tr>
    </w:tbl>
    <w:p>
      <w:pPr>
        <w:spacing w:after="200" w:before="80"/>
      </w:pPr>
      <w:r>
        <w:rPr>
          <w:i/>
          <w:iCs/>
          <w:color w:val="7C8688"/>
          <w:sz w:val="17"/>
          <w:szCs w:val="17"/>
        </w:rPr>
        <w:t xml:space="preserve">Comparison arms. The first four follow CONFLICTS' prompting ladder; the last two are the CTI-specific contribution.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Splits. </w:t>
      </w:r>
      <w:r>
        <w:rPr>
          <w:color w:val="14191A"/>
          <w:sz w:val="21"/>
          <w:szCs w:val="21"/>
        </w:rPr>
        <w:t xml:space="preserve">Thresholds and any learned detector fit on a development split only; all reported numbers come from held-out data. Temporal split reported separately, using CTIConnect's existing 2008–2025 structure.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Freeze. </w:t>
      </w:r>
      <w:r>
        <w:rPr>
          <w:color w:val="14191A"/>
          <w:sz w:val="21"/>
          <w:szCs w:val="21"/>
        </w:rPr>
        <w:t xml:space="preserve">Protocol, thresholds, arm definitions, gate rules, and failure conditions hashed before any held-out run — the PX-057 procedure, which PX-034 skipped.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Models. </w:t>
      </w:r>
      <w:r>
        <w:rPr>
          <w:color w:val="14191A"/>
          <w:sz w:val="21"/>
          <w:szCs w:val="21"/>
        </w:rPr>
        <w:t xml:space="preserve">At least one weak-tier and one strong-tier open model, per CTIConnect's tier finding; cross-family replication required for any positive claim.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Ablations. </w:t>
      </w:r>
      <w:r>
        <w:rPr>
          <w:color w:val="14191A"/>
          <w:sz w:val="21"/>
          <w:szCs w:val="21"/>
        </w:rPr>
        <w:t xml:space="preserve">Option-aware versus option-blind detector; each structural feature group removed in turn; router with abstention disabled, to separate routing value from abstention value.</w:t>
      </w: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06 · GATES</w:t>
      </w:r>
    </w:p>
    <w:p>
      <w:pPr>
        <w:pStyle w:val="Heading1"/>
        <w:spacing w:after="160" w:before="60"/>
      </w:pPr>
      <w:r>
        <w:t xml:space="preserve">Preregistered decision rules</w:t>
      </w:r>
    </w:p>
    <w:tbl>
      <w:tblPr>
        <w:tblW w:type="dxa" w:w="10080"/>
        <w:tblBorders>
          <w:top w:val="single" w:color="DFE3E0" w:sz="2"/>
          <w:left w:val="single" w:color="DFE3E0" w:sz="2"/>
          <w:bottom w:val="single" w:color="DFE3E0" w:sz="2"/>
          <w:right w:val="single" w:color="DFE3E0" w:sz="2"/>
          <w:insideH w:val="single" w:color="DFE3E0" w:sz="2"/>
          <w:insideV w:val="single" w:color="DFE3E0" w:sz="2"/>
        </w:tblBorders>
      </w:tblPr>
      <w:tblGrid>
        <w:gridCol w:w="760"/>
        <w:gridCol w:w="4000"/>
        <w:gridCol w:w="1200"/>
        <w:gridCol w:w="4120"/>
      </w:tblGrid>
      <w:tr>
        <w:trPr>
          <w:cantSplit/>
          <w:tblHeader/>
        </w:trPr>
        <w:tc>
          <w:tcPr>
            <w:tcW w:type="dxa" w:w="76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Gate</w:t>
            </w:r>
          </w:p>
        </w:tc>
        <w:tc>
          <w:tcPr>
            <w:tcW w:type="dxa" w:w="400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Rule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Tests</w:t>
            </w:r>
          </w:p>
        </w:tc>
        <w:tc>
          <w:tcPr>
            <w:tcW w:type="dxa" w:w="4120"/>
            <w:shd w:fill="F2F5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7C8688"/>
                <w:spacing w:val="20"/>
                <w:sz w:val="16"/>
                <w:szCs w:val="16"/>
              </w:rPr>
              <w:t xml:space="preserve">Consequence if failed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A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Taxonomy coverage: “other” share below TBD on the annotated CTI subset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RQ1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Extend taxonomy explicitly; do not silently rebucket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B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Option-blind detector macro-F1 exceeds majority-class baseline, cross-model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RQ2, H2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STOP — no thesis; publish as a negative result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C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Routed AURC beats vanilla RAG and always-domain-specific, both tiers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RQ3, H3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Demote to detection-only study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D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Harm-prevention rate on CB &gt; VR cases exceeds TBD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RQ4, H4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Report as partial; no deployment claim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E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Oracle-gap recovery exceeds the published pipeline gain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RQ5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Positive but non-competitive; state plainly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F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Cost per routed query below LLM-judge detection at equal accuracy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RQ6, H5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Keep accuracy claim, drop efficiency claim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Safety: no arm increases invalid or unsupported output rate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all</w:t>
            </w:r>
          </w:p>
        </w:tc>
        <w:tc>
          <w:tcPr>
            <w:tcW w:type="dxa" w:w="4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50"/>
            </w:pPr>
            <w:r>
              <w:rPr>
                <w:color w:val="14191A"/>
                <w:sz w:val="19"/>
                <w:szCs w:val="19"/>
              </w:rPr>
              <w:t xml:space="preserve">STOP — blocking</w:t>
            </w:r>
          </w:p>
        </w:tc>
      </w:tr>
    </w:tbl>
    <w:p>
      <w:pPr>
        <w:spacing w:after="200" w:before="80"/>
      </w:pPr>
      <w:r>
        <w:rPr>
          <w:i/>
          <w:iCs/>
          <w:color w:val="7C8688"/>
          <w:sz w:val="17"/>
          <w:szCs w:val="17"/>
        </w:rPr>
        <w:t xml:space="preserve">Thresholds marked TBD are set on the development split and frozen before any held-out evaluation. A gate that fails is reported, not removed.</w:t>
      </w:r>
    </w:p>
    <w:p>
      <w:pPr>
        <w:spacing w:after="60" w:before="260"/>
      </w:pPr>
      <w:r>
        <w:rPr>
          <w:b/>
          <w:bCs/>
          <w:color w:val="0E5C58"/>
          <w:spacing w:val="30"/>
          <w:sz w:val="15"/>
          <w:szCs w:val="15"/>
        </w:rPr>
        <w:t xml:space="preserve">07 · BOUNDARIES</w:t>
      </w:r>
    </w:p>
    <w:p>
      <w:pPr>
        <w:pStyle w:val="Heading1"/>
        <w:spacing w:after="160" w:before="60"/>
      </w:pPr>
      <w:r>
        <w:t xml:space="preserve">What this does not claim, and what could sink it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Not a general conflict-detection method. </w:t>
      </w:r>
      <w:r>
        <w:rPr>
          <w:color w:val="14191A"/>
          <w:sz w:val="21"/>
          <w:szCs w:val="21"/>
        </w:rPr>
        <w:t xml:space="preserve">ConflictRAG (arXiv:2605.17301) already reports 88.7% conflict-detection F1 with a lightweight classifier on general benchmarks. The claim here is domain-specific, abstention-first, and cost-bounded — a deconfliction pass against ConflictRAG and the 2026 conflict-RAG cluster is required before compute is spent.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Not a deployable CTI system. </w:t>
      </w:r>
      <w:r>
        <w:rPr>
          <w:color w:val="14191A"/>
          <w:sz w:val="21"/>
          <w:szCs w:val="21"/>
        </w:rPr>
        <w:t xml:space="preserve">Benchmark QA is not analyst workflow. Two benchmarks and a bounded model set do not establish production robustness.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Annotation is the schedule risk. </w:t>
      </w:r>
      <w:r>
        <w:rPr>
          <w:color w:val="14191A"/>
          <w:sz w:val="21"/>
          <w:szCs w:val="21"/>
        </w:rPr>
        <w:t xml:space="preserve">CONFLICTS needed three-stage expert annotation for 458 instances; a CTI equivalent needs security expertise, not just linguistic expertise, and the label quality caps every downstream number.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The oracle is a ceiling, never a result. </w:t>
      </w:r>
      <w:r>
        <w:rPr>
          <w:color w:val="14191A"/>
          <w:sz w:val="21"/>
          <w:szCs w:val="21"/>
        </w:rPr>
        <w:t xml:space="preserve">Both anchors report oracle conditions; both label them as upper bounds. Any figure from the oracle arm is reported as headroom.</w:t>
      </w:r>
    </w:p>
    <w:p>
      <w:pPr>
        <w:pStyle w:val="ListParagraph"/>
        <w:numPr>
          <w:ilvl w:val="0"/>
          <w:numId w:val="2"/>
        </w:numPr>
        <w:spacing w:after="110" w:line="280"/>
        <w:ind w:left="360" w:hanging="220"/>
      </w:pPr>
      <w:r>
        <w:rPr>
          <w:b/>
          <w:bCs/>
          <w:color w:val="14191A"/>
          <w:sz w:val="21"/>
          <w:szCs w:val="21"/>
        </w:rPr>
        <w:t xml:space="preserve">Nothing carries over from the June run. </w:t>
      </w:r>
      <w:r>
        <w:rPr>
          <w:color w:val="14191A"/>
          <w:sz w:val="21"/>
          <w:szCs w:val="21"/>
        </w:rPr>
        <w:t xml:space="preserve">Its thresholds, its bucket counts, and its decisive-slice comparison are superseded, not reused as evidence.</w:t>
      </w:r>
    </w:p>
    <w:p>
      <w:pPr>
        <w:pBdr>
          <w:bottom w:val="single" w:color="DFE3E0" w:sz="6" w:space="6"/>
        </w:pBdr>
        <w:spacing w:after="160" w:before="60"/>
      </w:pPr>
    </w:p>
    <w:p>
      <w:pPr>
        <w:spacing w:after="100" w:before="120"/>
      </w:pPr>
      <w:r>
        <w:rPr>
          <w:rFonts w:ascii="Cambria" w:cs="Cambria" w:eastAsia="Cambria" w:hAnsi="Cambria"/>
          <w:b/>
          <w:bCs/>
          <w:color w:val="14191A"/>
          <w:sz w:val="22"/>
          <w:szCs w:val="22"/>
        </w:rPr>
        <w:t xml:space="preserve">References</w:t>
      </w:r>
    </w:p>
    <w:p>
      <w:pPr>
        <w:spacing w:after="90" w:line="260"/>
      </w:pPr>
      <w:r>
        <w:rPr>
          <w:color w:val="4A5354"/>
          <w:sz w:val="18"/>
          <w:szCs w:val="18"/>
        </w:rPr>
        <w:t xml:space="preserve">Cattan, A., Jacovi, A., Ram, O., Herzig, J., Aharoni, R., Goldshtein, S., Ofek, E., Szpektor, I., &amp; Caciularu, A. (2025). DRAGged into Conflicts: Detecting and Addressing Conflicting Sources in Search-Augmented LLMs. arXiv:2506.08500v2. https://arxiv.org/abs/2506.08500</w:t>
      </w:r>
    </w:p>
    <w:p>
      <w:pPr>
        <w:spacing w:after="90" w:line="260"/>
      </w:pPr>
      <w:r>
        <w:rPr>
          <w:color w:val="4A5354"/>
          <w:sz w:val="18"/>
          <w:szCs w:val="18"/>
        </w:rPr>
        <w:t xml:space="preserve">Cheng, Y., Liu, Y., Li, C., Song, D., &amp; Gao, P. (2026). CTIConnect: A Benchmark for Retrieval-Augmented LLMs over Heterogeneous Cyber Threat Intelligence. Proceedings of KDD '26. arXiv:2510.11974v2. https://arxiv.org/abs/2510.11974</w:t>
      </w:r>
    </w:p>
    <w:p>
      <w:pPr>
        <w:spacing w:after="150" w:line="260"/>
      </w:pPr>
      <w:r>
        <w:rPr>
          <w:color w:val="4A5354"/>
          <w:sz w:val="18"/>
          <w:szCs w:val="18"/>
        </w:rPr>
        <w:t xml:space="preserve">Wang, C., Li, Y., Liu, Y., &amp; Shu, Y. (2026). ConflictRAG: Detecting and Resolving Knowledge Conflicts in Retrieval Augmented Generation. arXiv:2605.17301. https://arxiv.org/abs/2605.17301</w:t>
      </w:r>
    </w:p>
    <w:p>
      <w:pPr>
        <w:spacing w:line="260"/>
      </w:pPr>
      <w:r>
        <w:rPr>
          <w:color w:val="4A5354"/>
          <w:sz w:val="18"/>
          <w:szCs w:val="18"/>
        </w:rPr>
        <w:t xml:space="preserve">Prior work superseded: PX-034 CTI Source-Conflict Evidence Gate (2026-06-30) and its merge into PX-003. Figures cited from the anchors are drawn from the published PDFs; PX-003 figures from the consolidated evidence report of 2026-08-16.</w:t>
      </w:r>
    </w:p>
    <w:sectPr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9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</w:pPr>
    <w:rPr>
      <w:rFonts w:ascii="Cambria" w:cs="Cambria" w:eastAsia="Cambria" w:hAnsi="Cambria"/>
      <w:b/>
      <w:bCs/>
      <w:color w:val="1419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mbria" w:cs="Cambria" w:eastAsia="Cambria" w:hAnsi="Cambria"/>
      <w:b/>
      <w:bCs/>
      <w:color w:val="1419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rFonts w:ascii="Cambria" w:cs="Cambria" w:eastAsia="Cambria" w:hAnsi="Cambria"/>
      <w:b/>
      <w:bCs/>
      <w:color w:val="1419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2026-08-27T18:45:50.928Z</dcterms:created>
  <dcterms:modified xsi:type="dcterms:W3CDTF">2026-08-27T18:45:50.929Z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