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90" w:before="0" w:line="264" w:lineRule="auto"/>
      </w:pPr>
      <w:r>
        <w:rPr>
          <w:rFonts w:ascii="Consolas" w:cs="Consolas" w:eastAsia="Consolas" w:hAnsi="Consolas"/>
          <w:b/>
          <w:bCs/>
          <w:i w:val="false"/>
          <w:iCs w:val="false"/>
          <w:caps/>
          <w:color w:val="6B7478"/>
          <w:spacing w:val="18"/>
          <w:sz w:val="15"/>
          <w:szCs w:val="15"/>
        </w:rPr>
        <w:t xml:space="preserve">Praxis proposal · Hypothesis H2</w:t>
      </w:r>
    </w:p>
    <w:p>
      <w:pPr>
        <w:spacing w:after="160" w:line="300" w:lineRule="auto"/>
      </w:pPr>
      <w:r>
        <w:rPr>
          <w:rFonts w:ascii="Georgia" w:cs="Georgia" w:eastAsia="Georgia" w:hAnsi="Georgia"/>
          <w:b/>
          <w:bCs/>
          <w:i w:val="false"/>
          <w:iCs w:val="false"/>
          <w:caps w:val="false"/>
          <w:color w:val="141918"/>
          <w:sz w:val="44"/>
          <w:szCs w:val="44"/>
        </w:rPr>
        <w:t xml:space="preserve">Does the model beat the rules?</w:t>
      </w:r>
    </w:p>
    <w:p>
      <w:pPr>
        <w:keepNext w:val="false"/>
        <w:spacing w:after="260" w:before="0" w:line="300" w:lineRule="auto"/>
      </w:pPr>
      <w:r>
        <w:rPr>
          <w:rFonts w:ascii="Georgia" w:cs="Georgia" w:eastAsia="Georgia" w:hAnsi="Georgia"/>
          <w:b w:val="false"/>
          <w:bCs w:val="false"/>
          <w:i w:val="false"/>
          <w:iCs w:val="false"/>
          <w:caps w:val="false"/>
          <w:color w:val="3C4547"/>
          <w:sz w:val="23"/>
          <w:szCs w:val="23"/>
        </w:rPr>
        <w:t xml:space="preserve">A baseline-referenced re-evaluation of hybrid alert triage in adaptive insider-threat detection — asking whether the learned anomaly score earns its keep, or whether a handful of static rules were doing the work all along.</w:t>
      </w:r>
    </w:p>
    <w:p>
      <w:pPr>
        <w:keepNext w:val="false"/>
        <w:spacing w:after="60" w:before="0" w:line="264" w:lineRule="auto"/>
      </w:pPr>
      <w:r>
        <w:rPr>
          <w:rFonts w:ascii="Consolas" w:cs="Consolas" w:eastAsia="Consolas" w:hAnsi="Consolas"/>
          <w:b w:val="false"/>
          <w:bCs w:val="false"/>
          <w:i w:val="false"/>
          <w:iCs w:val="false"/>
          <w:caps w:val="false"/>
          <w:color w:val="6B7478"/>
          <w:sz w:val="17"/>
          <w:szCs w:val="17"/>
        </w:rPr>
        <w:t xml:space="preserve">Prepared for </w:t>
      </w:r>
      <w:r>
        <w:rPr>
          <w:rFonts w:ascii="Consolas" w:cs="Consolas" w:eastAsia="Consolas" w:hAnsi="Consolas"/>
          <w:b/>
          <w:bCs/>
          <w:i w:val="false"/>
          <w:iCs w:val="false"/>
          <w:caps w:val="false"/>
          <w:color w:val="141918"/>
          <w:sz w:val="17"/>
          <w:szCs w:val="17"/>
        </w:rPr>
        <w:t xml:space="preserve">Marcos</w:t>
      </w:r>
      <w:r>
        <w:rPr>
          <w:rFonts w:ascii="Consolas" w:cs="Consolas" w:eastAsia="Consolas" w:hAnsi="Consolas"/>
          <w:b w:val="false"/>
          <w:bCs w:val="false"/>
          <w:i w:val="false"/>
          <w:iCs w:val="false"/>
          <w:caps w:val="false"/>
          <w:color w:val="6B7478"/>
          <w:sz w:val="17"/>
          <w:szCs w:val="17"/>
        </w:rPr>
        <w:t xml:space="preserve">   ·   Base paper </w:t>
      </w:r>
      <w:r>
        <w:rPr>
          <w:rFonts w:ascii="Consolas" w:cs="Consolas" w:eastAsia="Consolas" w:hAnsi="Consolas"/>
          <w:b/>
          <w:bCs/>
          <w:i w:val="false"/>
          <w:iCs w:val="false"/>
          <w:caps w:val="false"/>
          <w:color w:val="141918"/>
          <w:sz w:val="17"/>
          <w:szCs w:val="17"/>
        </w:rPr>
        <w:t xml:space="preserve">P2 · Namsey et al., IC-AIDA 2026</w:t>
      </w:r>
    </w:p>
    <w:p>
      <w:pPr>
        <w:keepNext w:val="false"/>
        <w:spacing w:after="300" w:before="0" w:line="264" w:lineRule="auto"/>
      </w:pPr>
      <w:r>
        <w:rPr>
          <w:rFonts w:ascii="Consolas" w:cs="Consolas" w:eastAsia="Consolas" w:hAnsi="Consolas"/>
          <w:b w:val="false"/>
          <w:bCs w:val="false"/>
          <w:i w:val="false"/>
          <w:iCs w:val="false"/>
          <w:caps w:val="false"/>
          <w:color w:val="6B7478"/>
          <w:sz w:val="17"/>
          <w:szCs w:val="17"/>
        </w:rPr>
        <w:t xml:space="preserve">Benchmark </w:t>
      </w:r>
      <w:r>
        <w:rPr>
          <w:rFonts w:ascii="Consolas" w:cs="Consolas" w:eastAsia="Consolas" w:hAnsi="Consolas"/>
          <w:b/>
          <w:bCs/>
          <w:i w:val="false"/>
          <w:iCs w:val="false"/>
          <w:caps w:val="false"/>
          <w:color w:val="141918"/>
          <w:sz w:val="17"/>
          <w:szCs w:val="17"/>
        </w:rPr>
        <w:t xml:space="preserve">CERT r4.2</w:t>
      </w:r>
      <w:r>
        <w:rPr>
          <w:rFonts w:ascii="Consolas" w:cs="Consolas" w:eastAsia="Consolas" w:hAnsi="Consolas"/>
          <w:b w:val="false"/>
          <w:bCs w:val="false"/>
          <w:i w:val="false"/>
          <w:iCs w:val="false"/>
          <w:caps w:val="false"/>
          <w:color w:val="6B7478"/>
          <w:sz w:val="17"/>
          <w:szCs w:val="17"/>
        </w:rPr>
        <w:t xml:space="preserve">   ·   Scope </w:t>
      </w:r>
      <w:r>
        <w:rPr>
          <w:rFonts w:ascii="Consolas" w:cs="Consolas" w:eastAsia="Consolas" w:hAnsi="Consolas"/>
          <w:b/>
          <w:bCs/>
          <w:i w:val="false"/>
          <w:iCs w:val="false"/>
          <w:caps w:val="false"/>
          <w:color w:val="141918"/>
          <w:sz w:val="17"/>
          <w:szCs w:val="17"/>
        </w:rPr>
        <w:t xml:space="preserve">public data · computational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7BFB5" w:sz="4"/>
              <w:left w:val="single" w:color="D2D7CE" w:sz="4"/>
              <w:bottom w:val="single" w:color="B7BFB5" w:sz="4"/>
              <w:right w:val="single" w:color="D2D7CE" w:sz="4"/>
            </w:tcBorders>
            <w:shd w:fill="FFFFFF" w:color="auto" w:val="clear"/>
            <w:tcMar>
              <w:top w:type="dxa" w:w="100"/>
              <w:left w:type="dxa" w:w="130"/>
              <w:bottom w:type="dxa" w:w="100"/>
              <w:right w:type="dxa" w:w="130"/>
            </w:tcMar>
          </w:tcPr>
          <w:p>
            <w:pPr>
              <w:keepNext w:val="false"/>
              <w:spacing w:after="60" w:before="0" w:line="264" w:lineRule="auto"/>
            </w:pPr>
            <w:r>
              <w:rPr>
                <w:rFonts w:ascii="Consolas" w:cs="Consolas" w:eastAsia="Consolas" w:hAnsi="Consolas"/>
                <w:b/>
                <w:bCs/>
                <w:i w:val="false"/>
                <w:iCs w:val="false"/>
                <w:caps/>
                <w:color w:val="6B7478"/>
                <w:spacing w:val="12"/>
                <w:sz w:val="14"/>
                <w:szCs w:val="14"/>
              </w:rPr>
              <w:t xml:space="preserve">P2 top-1% precision</w:t>
            </w:r>
          </w:p>
          <w:p>
            <w:pPr>
              <w:keepNext w:val="false"/>
              <w:spacing w:after="60" w:before="0" w:line="264" w:lineRule="auto"/>
            </w:pPr>
            <w:r>
              <w:rPr>
                <w:rFonts w:ascii="Georgia" w:cs="Georgia" w:eastAsia="Georgia" w:hAnsi="Georgia"/>
                <w:b/>
                <w:bCs/>
                <w:i w:val="false"/>
                <w:iCs w:val="false"/>
                <w:caps w:val="false"/>
                <w:color w:val="1F5F6B"/>
                <w:sz w:val="34"/>
                <w:szCs w:val="34"/>
              </w:rPr>
              <w:t xml:space="preserve">100%</w:t>
            </w:r>
          </w:p>
          <w:p>
            <w:pPr>
              <w:keepNext w:val="false"/>
              <w:spacing w:after="0" w:before="0" w:line="264" w:lineRule="auto"/>
            </w:pPr>
            <w:r>
              <w:rPr>
                <w:rFonts w:ascii="Calibri" w:cs="Calibri" w:eastAsia="Calibri" w:hAnsi="Calibri"/>
                <w:b w:val="false"/>
                <w:bCs w:val="false"/>
                <w:i w:val="false"/>
                <w:iCs w:val="false"/>
                <w:caps w:val="false"/>
                <w:color w:val="6B7478"/>
                <w:sz w:val="17"/>
                <w:szCs w:val="17"/>
              </w:rPr>
              <w:t xml:space="preserve">Hybrid ranking, w = 0.7</w:t>
            </w:r>
          </w:p>
        </w:tc>
        <w:tc>
          <w:tcPr>
            <w:tcW w:type="dxa" w:w="2340"/>
            <w:tcBorders>
              <w:top w:val="single" w:color="B7BFB5" w:sz="4"/>
              <w:left w:val="single" w:color="D2D7CE" w:sz="4"/>
              <w:bottom w:val="single" w:color="B7BFB5" w:sz="4"/>
              <w:right w:val="single" w:color="D2D7CE" w:sz="4"/>
            </w:tcBorders>
            <w:shd w:fill="FFFFFF" w:color="auto" w:val="clear"/>
            <w:tcMar>
              <w:top w:type="dxa" w:w="100"/>
              <w:left w:type="dxa" w:w="130"/>
              <w:bottom w:type="dxa" w:w="100"/>
              <w:right w:type="dxa" w:w="130"/>
            </w:tcMar>
          </w:tcPr>
          <w:p>
            <w:pPr>
              <w:keepNext w:val="false"/>
              <w:spacing w:after="60" w:before="0" w:line="264" w:lineRule="auto"/>
            </w:pPr>
            <w:r>
              <w:rPr>
                <w:rFonts w:ascii="Consolas" w:cs="Consolas" w:eastAsia="Consolas" w:hAnsi="Consolas"/>
                <w:b/>
                <w:bCs/>
                <w:i w:val="false"/>
                <w:iCs w:val="false"/>
                <w:caps/>
                <w:color w:val="6B7478"/>
                <w:spacing w:val="12"/>
                <w:sz w:val="14"/>
                <w:szCs w:val="14"/>
              </w:rPr>
              <w:t xml:space="preserve">Model-only</w:t>
            </w:r>
          </w:p>
          <w:p>
            <w:pPr>
              <w:keepNext w:val="false"/>
              <w:spacing w:after="60" w:before="0" w:line="264" w:lineRule="auto"/>
            </w:pPr>
            <w:r>
              <w:rPr>
                <w:rFonts w:ascii="Georgia" w:cs="Georgia" w:eastAsia="Georgia" w:hAnsi="Georgia"/>
                <w:b/>
                <w:bCs/>
                <w:i w:val="false"/>
                <w:iCs w:val="false"/>
                <w:caps w:val="false"/>
                <w:color w:val="141918"/>
                <w:sz w:val="34"/>
                <w:szCs w:val="34"/>
              </w:rPr>
              <w:t xml:space="preserve">38.9%</w:t>
            </w:r>
          </w:p>
          <w:p>
            <w:pPr>
              <w:keepNext w:val="false"/>
              <w:spacing w:after="0" w:before="0" w:line="264" w:lineRule="auto"/>
            </w:pPr>
            <w:r>
              <w:rPr>
                <w:rFonts w:ascii="Calibri" w:cs="Calibri" w:eastAsia="Calibri" w:hAnsi="Calibri"/>
                <w:b w:val="false"/>
                <w:bCs w:val="false"/>
                <w:i w:val="false"/>
                <w:iCs w:val="false"/>
                <w:caps w:val="false"/>
                <w:color w:val="6B7478"/>
                <w:sz w:val="17"/>
                <w:szCs w:val="17"/>
              </w:rPr>
              <w:t xml:space="preserve">Same band, anomaly score alone</w:t>
            </w:r>
          </w:p>
        </w:tc>
        <w:tc>
          <w:tcPr>
            <w:tcW w:type="dxa" w:w="2340"/>
            <w:tcBorders>
              <w:top w:val="single" w:color="B7BFB5" w:sz="4"/>
              <w:left w:val="single" w:color="D2D7CE" w:sz="4"/>
              <w:bottom w:val="single" w:color="B7BFB5" w:sz="4"/>
              <w:right w:val="single" w:color="D2D7CE" w:sz="4"/>
            </w:tcBorders>
            <w:shd w:fill="FFFFFF" w:color="auto" w:val="clear"/>
            <w:tcMar>
              <w:top w:type="dxa" w:w="100"/>
              <w:left w:type="dxa" w:w="130"/>
              <w:bottom w:type="dxa" w:w="100"/>
              <w:right w:type="dxa" w:w="130"/>
            </w:tcMar>
          </w:tcPr>
          <w:p>
            <w:pPr>
              <w:keepNext w:val="false"/>
              <w:spacing w:after="60" w:before="0" w:line="264" w:lineRule="auto"/>
            </w:pPr>
            <w:r>
              <w:rPr>
                <w:rFonts w:ascii="Consolas" w:cs="Consolas" w:eastAsia="Consolas" w:hAnsi="Consolas"/>
                <w:b/>
                <w:bCs/>
                <w:i w:val="false"/>
                <w:iCs w:val="false"/>
                <w:caps/>
                <w:color w:val="6B7478"/>
                <w:spacing w:val="12"/>
                <w:sz w:val="14"/>
                <w:szCs w:val="14"/>
              </w:rPr>
              <w:t xml:space="preserve">Rules-only</w:t>
            </w:r>
          </w:p>
          <w:p>
            <w:pPr>
              <w:keepNext w:val="false"/>
              <w:spacing w:after="60" w:before="0" w:line="264" w:lineRule="auto"/>
            </w:pPr>
            <w:r>
              <w:rPr>
                <w:rFonts w:ascii="Georgia" w:cs="Georgia" w:eastAsia="Georgia" w:hAnsi="Georgia"/>
                <w:b/>
                <w:bCs/>
                <w:i w:val="false"/>
                <w:iCs w:val="false"/>
                <w:caps w:val="false"/>
                <w:color w:val="99432A"/>
                <w:sz w:val="34"/>
                <w:szCs w:val="34"/>
              </w:rPr>
              <w:t xml:space="preserve">—</w:t>
            </w:r>
          </w:p>
          <w:p>
            <w:pPr>
              <w:keepNext w:val="false"/>
              <w:spacing w:after="0" w:before="0" w:line="264" w:lineRule="auto"/>
            </w:pPr>
            <w:r>
              <w:rPr>
                <w:rFonts w:ascii="Calibri" w:cs="Calibri" w:eastAsia="Calibri" w:hAnsi="Calibri"/>
                <w:b w:val="false"/>
                <w:bCs w:val="false"/>
                <w:i w:val="false"/>
                <w:iCs w:val="false"/>
                <w:caps w:val="false"/>
                <w:color w:val="6B7478"/>
                <w:sz w:val="17"/>
                <w:szCs w:val="17"/>
              </w:rPr>
              <w:t xml:space="preserve">Never measured. This is the study.</w:t>
            </w:r>
          </w:p>
        </w:tc>
        <w:tc>
          <w:tcPr>
            <w:tcW w:type="dxa" w:w="2340"/>
            <w:tcBorders>
              <w:top w:val="single" w:color="B7BFB5" w:sz="4"/>
              <w:left w:val="single" w:color="D2D7CE" w:sz="4"/>
              <w:bottom w:val="single" w:color="B7BFB5" w:sz="4"/>
              <w:right w:val="single" w:color="D2D7CE" w:sz="4"/>
            </w:tcBorders>
            <w:shd w:fill="FFFFFF" w:color="auto" w:val="clear"/>
            <w:tcMar>
              <w:top w:type="dxa" w:w="100"/>
              <w:left w:type="dxa" w:w="130"/>
              <w:bottom w:type="dxa" w:w="100"/>
              <w:right w:type="dxa" w:w="130"/>
            </w:tcMar>
          </w:tcPr>
          <w:p>
            <w:pPr>
              <w:keepNext w:val="false"/>
              <w:spacing w:after="60" w:before="0" w:line="264" w:lineRule="auto"/>
            </w:pPr>
            <w:r>
              <w:rPr>
                <w:rFonts w:ascii="Consolas" w:cs="Consolas" w:eastAsia="Consolas" w:hAnsi="Consolas"/>
                <w:b/>
                <w:bCs/>
                <w:i w:val="false"/>
                <w:iCs w:val="false"/>
                <w:caps/>
                <w:color w:val="6B7478"/>
                <w:spacing w:val="12"/>
                <w:sz w:val="14"/>
                <w:szCs w:val="14"/>
              </w:rPr>
              <w:t xml:space="preserve">Alerts in that band</w:t>
            </w:r>
          </w:p>
          <w:p>
            <w:pPr>
              <w:keepNext w:val="false"/>
              <w:spacing w:after="60" w:before="0" w:line="264" w:lineRule="auto"/>
            </w:pPr>
            <w:r>
              <w:rPr>
                <w:rFonts w:ascii="Georgia" w:cs="Georgia" w:eastAsia="Georgia" w:hAnsi="Georgia"/>
                <w:b/>
                <w:bCs/>
                <w:i w:val="false"/>
                <w:iCs w:val="false"/>
                <w:caps w:val="false"/>
                <w:color w:val="141918"/>
                <w:sz w:val="34"/>
                <w:szCs w:val="34"/>
              </w:rPr>
              <w:t xml:space="preserve">18</w:t>
            </w:r>
          </w:p>
          <w:p>
            <w:pPr>
              <w:keepNext w:val="false"/>
              <w:spacing w:after="0" w:before="0" w:line="264" w:lineRule="auto"/>
            </w:pPr>
            <w:r>
              <w:rPr>
                <w:rFonts w:ascii="Calibri" w:cs="Calibri" w:eastAsia="Calibri" w:hAnsi="Calibri"/>
                <w:b w:val="false"/>
                <w:bCs w:val="false"/>
                <w:i w:val="false"/>
                <w:iCs w:val="false"/>
                <w:caps w:val="false"/>
                <w:color w:val="6B7478"/>
                <w:sz w:val="17"/>
                <w:szCs w:val="17"/>
              </w:rPr>
              <w:t xml:space="preserve">of a 1,842-alert queue, one seed</w:t>
            </w:r>
          </w:p>
        </w:tc>
      </w:tr>
    </w:tbl>
    <w:p>
      <w:pPr>
        <w:keepNext w:val="false"/>
        <w:spacing w:after="320" w:before="0" w:line="264" w:lineRule="auto"/>
      </w:pPr>
      <w:r>
        <w:rPr>
          <w:rFonts w:ascii="Calibri" w:cs="Calibri" w:eastAsia="Calibri" w:hAnsi="Calibri"/>
          <w:b w:val="false"/>
          <w:bCs w:val="false"/>
          <w:i w:val="false"/>
          <w:iCs w:val="false"/>
          <w:caps w:val="false"/>
          <w:color w:val="3C4547"/>
          <w:sz w:val="21"/>
          <w:szCs w:val="21"/>
        </w:rPr>
        <w:t xml:space="preserve"/>
      </w:r>
    </w:p>
    <w:p>
      <w:pPr>
        <w:keepNext w:val="false"/>
        <w:spacing w:after="90" w:before="0" w:line="264" w:lineRule="auto"/>
      </w:pPr>
      <w:r>
        <w:rPr>
          <w:rFonts w:ascii="Consolas" w:cs="Consolas" w:eastAsia="Consolas" w:hAnsi="Consolas"/>
          <w:b/>
          <w:bCs/>
          <w:i w:val="false"/>
          <w:iCs w:val="false"/>
          <w:caps/>
          <w:color w:val="6B7478"/>
          <w:spacing w:val="18"/>
          <w:sz w:val="15"/>
          <w:szCs w:val="15"/>
        </w:rPr>
        <w:t xml:space="preserve">Contents</w:t>
      </w:r>
    </w:p>
    <w:p>
      <w:pPr>
        <w:keepNext w:val="false"/>
        <w:spacing w:after="40" w:before="0" w:line="264" w:lineRule="auto"/>
      </w:pPr>
      <w:r>
        <w:rPr>
          <w:rFonts w:ascii="Consolas" w:cs="Consolas" w:eastAsia="Consolas" w:hAnsi="Consolas"/>
          <w:b w:val="false"/>
          <w:bCs w:val="false"/>
          <w:i w:val="false"/>
          <w:iCs w:val="false"/>
          <w:caps w:val="false"/>
          <w:color w:val="6B7478"/>
          <w:sz w:val="19"/>
          <w:szCs w:val="19"/>
        </w:rPr>
        <w:t xml:space="preserve"> 1   </w:t>
      </w:r>
      <w:r>
        <w:rPr>
          <w:rFonts w:ascii="Calibri" w:cs="Calibri" w:eastAsia="Calibri" w:hAnsi="Calibri"/>
          <w:b w:val="false"/>
          <w:bCs w:val="false"/>
          <w:i w:val="false"/>
          <w:iCs w:val="false"/>
          <w:caps w:val="false"/>
          <w:color w:val="3C4547"/>
          <w:sz w:val="20"/>
          <w:szCs w:val="20"/>
        </w:rPr>
        <w:t xml:space="preserve">Problem statement</w:t>
      </w:r>
    </w:p>
    <w:p>
      <w:pPr>
        <w:keepNext w:val="false"/>
        <w:spacing w:after="40" w:before="0" w:line="264" w:lineRule="auto"/>
      </w:pPr>
      <w:r>
        <w:rPr>
          <w:rFonts w:ascii="Consolas" w:cs="Consolas" w:eastAsia="Consolas" w:hAnsi="Consolas"/>
          <w:b w:val="false"/>
          <w:bCs w:val="false"/>
          <w:i w:val="false"/>
          <w:iCs w:val="false"/>
          <w:caps w:val="false"/>
          <w:color w:val="6B7478"/>
          <w:sz w:val="19"/>
          <w:szCs w:val="19"/>
        </w:rPr>
        <w:t xml:space="preserve"> 2   </w:t>
      </w:r>
      <w:r>
        <w:rPr>
          <w:rFonts w:ascii="Calibri" w:cs="Calibri" w:eastAsia="Calibri" w:hAnsi="Calibri"/>
          <w:b w:val="false"/>
          <w:bCs w:val="false"/>
          <w:i w:val="false"/>
          <w:iCs w:val="false"/>
          <w:caps w:val="false"/>
          <w:color w:val="3C4547"/>
          <w:sz w:val="20"/>
          <w:szCs w:val="20"/>
        </w:rPr>
        <w:t xml:space="preserve">Purpose and the missing comparator</w:t>
      </w:r>
    </w:p>
    <w:p>
      <w:pPr>
        <w:keepNext w:val="false"/>
        <w:spacing w:after="40" w:before="0" w:line="264" w:lineRule="auto"/>
      </w:pPr>
      <w:r>
        <w:rPr>
          <w:rFonts w:ascii="Consolas" w:cs="Consolas" w:eastAsia="Consolas" w:hAnsi="Consolas"/>
          <w:b w:val="false"/>
          <w:bCs w:val="false"/>
          <w:i w:val="false"/>
          <w:iCs w:val="false"/>
          <w:caps w:val="false"/>
          <w:color w:val="6B7478"/>
          <w:sz w:val="19"/>
          <w:szCs w:val="19"/>
        </w:rPr>
        <w:t xml:space="preserve"> 3   </w:t>
      </w:r>
      <w:r>
        <w:rPr>
          <w:rFonts w:ascii="Calibri" w:cs="Calibri" w:eastAsia="Calibri" w:hAnsi="Calibri"/>
          <w:b w:val="false"/>
          <w:bCs w:val="false"/>
          <w:i w:val="false"/>
          <w:iCs w:val="false"/>
          <w:caps w:val="false"/>
          <w:color w:val="3C4547"/>
          <w:sz w:val="20"/>
          <w:szCs w:val="20"/>
        </w:rPr>
        <w:t xml:space="preserve">Research questions</w:t>
      </w:r>
    </w:p>
    <w:p>
      <w:pPr>
        <w:keepNext w:val="false"/>
        <w:spacing w:after="40" w:before="0" w:line="264" w:lineRule="auto"/>
      </w:pPr>
      <w:r>
        <w:rPr>
          <w:rFonts w:ascii="Consolas" w:cs="Consolas" w:eastAsia="Consolas" w:hAnsi="Consolas"/>
          <w:b w:val="false"/>
          <w:bCs w:val="false"/>
          <w:i w:val="false"/>
          <w:iCs w:val="false"/>
          <w:caps w:val="false"/>
          <w:color w:val="6B7478"/>
          <w:sz w:val="19"/>
          <w:szCs w:val="19"/>
        </w:rPr>
        <w:t xml:space="preserve"> 4   </w:t>
      </w:r>
      <w:r>
        <w:rPr>
          <w:rFonts w:ascii="Calibri" w:cs="Calibri" w:eastAsia="Calibri" w:hAnsi="Calibri"/>
          <w:b w:val="false"/>
          <w:bCs w:val="false"/>
          <w:i w:val="false"/>
          <w:iCs w:val="false"/>
          <w:caps w:val="false"/>
          <w:color w:val="3C4547"/>
          <w:sz w:val="20"/>
          <w:szCs w:val="20"/>
        </w:rPr>
        <w:t xml:space="preserve">Hypotheses</w:t>
      </w:r>
    </w:p>
    <w:p>
      <w:pPr>
        <w:keepNext w:val="false"/>
        <w:spacing w:after="40" w:before="0" w:line="264" w:lineRule="auto"/>
      </w:pPr>
      <w:r>
        <w:rPr>
          <w:rFonts w:ascii="Consolas" w:cs="Consolas" w:eastAsia="Consolas" w:hAnsi="Consolas"/>
          <w:b w:val="false"/>
          <w:bCs w:val="false"/>
          <w:i w:val="false"/>
          <w:iCs w:val="false"/>
          <w:caps w:val="false"/>
          <w:color w:val="6B7478"/>
          <w:sz w:val="19"/>
          <w:szCs w:val="19"/>
        </w:rPr>
        <w:t xml:space="preserve"> 5   </w:t>
      </w:r>
      <w:r>
        <w:rPr>
          <w:rFonts w:ascii="Calibri" w:cs="Calibri" w:eastAsia="Calibri" w:hAnsi="Calibri"/>
          <w:b w:val="false"/>
          <w:bCs w:val="false"/>
          <w:i w:val="false"/>
          <w:iCs w:val="false"/>
          <w:caps w:val="false"/>
          <w:color w:val="3C4547"/>
          <w:sz w:val="20"/>
          <w:szCs w:val="20"/>
        </w:rPr>
        <w:t xml:space="preserve">Comparators</w:t>
      </w:r>
    </w:p>
    <w:p>
      <w:pPr>
        <w:keepNext w:val="false"/>
        <w:spacing w:after="40" w:before="0" w:line="264" w:lineRule="auto"/>
      </w:pPr>
      <w:r>
        <w:rPr>
          <w:rFonts w:ascii="Consolas" w:cs="Consolas" w:eastAsia="Consolas" w:hAnsi="Consolas"/>
          <w:b w:val="false"/>
          <w:bCs w:val="false"/>
          <w:i w:val="false"/>
          <w:iCs w:val="false"/>
          <w:caps w:val="false"/>
          <w:color w:val="6B7478"/>
          <w:sz w:val="19"/>
          <w:szCs w:val="19"/>
        </w:rPr>
        <w:t xml:space="preserve"> 6   </w:t>
      </w:r>
      <w:r>
        <w:rPr>
          <w:rFonts w:ascii="Calibri" w:cs="Calibri" w:eastAsia="Calibri" w:hAnsi="Calibri"/>
          <w:b w:val="false"/>
          <w:bCs w:val="false"/>
          <w:i w:val="false"/>
          <w:iCs w:val="false"/>
          <w:caps w:val="false"/>
          <w:color w:val="3C4547"/>
          <w:sz w:val="20"/>
          <w:szCs w:val="20"/>
        </w:rPr>
        <w:t xml:space="preserve">Metrics and endpoints</w:t>
      </w:r>
    </w:p>
    <w:p>
      <w:pPr>
        <w:keepNext w:val="false"/>
        <w:spacing w:after="40" w:before="0" w:line="264" w:lineRule="auto"/>
      </w:pPr>
      <w:r>
        <w:rPr>
          <w:rFonts w:ascii="Consolas" w:cs="Consolas" w:eastAsia="Consolas" w:hAnsi="Consolas"/>
          <w:b w:val="false"/>
          <w:bCs w:val="false"/>
          <w:i w:val="false"/>
          <w:iCs w:val="false"/>
          <w:caps w:val="false"/>
          <w:color w:val="6B7478"/>
          <w:sz w:val="19"/>
          <w:szCs w:val="19"/>
        </w:rPr>
        <w:t xml:space="preserve"> 7   </w:t>
      </w:r>
      <w:r>
        <w:rPr>
          <w:rFonts w:ascii="Calibri" w:cs="Calibri" w:eastAsia="Calibri" w:hAnsi="Calibri"/>
          <w:b w:val="false"/>
          <w:bCs w:val="false"/>
          <w:i w:val="false"/>
          <w:iCs w:val="false"/>
          <w:caps w:val="false"/>
          <w:color w:val="3C4547"/>
          <w:sz w:val="20"/>
          <w:szCs w:val="20"/>
        </w:rPr>
        <w:t xml:space="preserve">Analysis plan</w:t>
      </w:r>
    </w:p>
    <w:p>
      <w:pPr>
        <w:keepNext w:val="false"/>
        <w:spacing w:after="40" w:before="0" w:line="264" w:lineRule="auto"/>
      </w:pPr>
      <w:r>
        <w:rPr>
          <w:rFonts w:ascii="Consolas" w:cs="Consolas" w:eastAsia="Consolas" w:hAnsi="Consolas"/>
          <w:b w:val="false"/>
          <w:bCs w:val="false"/>
          <w:i w:val="false"/>
          <w:iCs w:val="false"/>
          <w:caps w:val="false"/>
          <w:color w:val="6B7478"/>
          <w:sz w:val="19"/>
          <w:szCs w:val="19"/>
        </w:rPr>
        <w:t xml:space="preserve"> 8   </w:t>
      </w:r>
      <w:r>
        <w:rPr>
          <w:rFonts w:ascii="Calibri" w:cs="Calibri" w:eastAsia="Calibri" w:hAnsi="Calibri"/>
          <w:b w:val="false"/>
          <w:bCs w:val="false"/>
          <w:i w:val="false"/>
          <w:iCs w:val="false"/>
          <w:caps w:val="false"/>
          <w:color w:val="3C4547"/>
          <w:sz w:val="20"/>
          <w:szCs w:val="20"/>
        </w:rPr>
        <w:t xml:space="preserve">Threats to validity</w:t>
      </w:r>
    </w:p>
    <w:p>
      <w:pPr>
        <w:keepNext w:val="false"/>
        <w:spacing w:after="40" w:before="0" w:line="264" w:lineRule="auto"/>
      </w:pPr>
      <w:r>
        <w:rPr>
          <w:rFonts w:ascii="Consolas" w:cs="Consolas" w:eastAsia="Consolas" w:hAnsi="Consolas"/>
          <w:b w:val="false"/>
          <w:bCs w:val="false"/>
          <w:i w:val="false"/>
          <w:iCs w:val="false"/>
          <w:caps w:val="false"/>
          <w:color w:val="6B7478"/>
          <w:sz w:val="19"/>
          <w:szCs w:val="19"/>
        </w:rPr>
        <w:t xml:space="preserve"> 9   </w:t>
      </w:r>
      <w:r>
        <w:rPr>
          <w:rFonts w:ascii="Calibri" w:cs="Calibri" w:eastAsia="Calibri" w:hAnsi="Calibri"/>
          <w:b w:val="false"/>
          <w:bCs w:val="false"/>
          <w:i w:val="false"/>
          <w:iCs w:val="false"/>
          <w:caps w:val="false"/>
          <w:color w:val="3C4547"/>
          <w:sz w:val="20"/>
          <w:szCs w:val="20"/>
        </w:rPr>
        <w:t xml:space="preserve">Contribution</w:t>
      </w:r>
    </w:p>
    <w:p>
      <w:pPr>
        <w:keepNext w:val="false"/>
        <w:spacing w:after="40" w:before="0" w:line="264" w:lineRule="auto"/>
      </w:pPr>
      <w:r>
        <w:rPr>
          <w:rFonts w:ascii="Consolas" w:cs="Consolas" w:eastAsia="Consolas" w:hAnsi="Consolas"/>
          <w:b w:val="false"/>
          <w:bCs w:val="false"/>
          <w:i w:val="false"/>
          <w:iCs w:val="false"/>
          <w:caps w:val="false"/>
          <w:color w:val="6B7478"/>
          <w:sz w:val="19"/>
          <w:szCs w:val="19"/>
        </w:rPr>
        <w:t xml:space="preserve">10   </w:t>
      </w:r>
      <w:r>
        <w:rPr>
          <w:rFonts w:ascii="Calibri" w:cs="Calibri" w:eastAsia="Calibri" w:hAnsi="Calibri"/>
          <w:b w:val="false"/>
          <w:bCs w:val="false"/>
          <w:i w:val="false"/>
          <w:iCs w:val="false"/>
          <w:caps w:val="false"/>
          <w:color w:val="3C4547"/>
          <w:sz w:val="20"/>
          <w:szCs w:val="20"/>
        </w:rPr>
        <w:t xml:space="preserve">Phases</w:t>
      </w:r>
    </w:p>
    <w:p>
      <w:pPr>
        <w:keepNext w:val="false"/>
        <w:spacing w:after="40" w:before="0" w:line="264" w:lineRule="auto"/>
      </w:pPr>
      <w:r>
        <w:rPr>
          <w:rFonts w:ascii="Consolas" w:cs="Consolas" w:eastAsia="Consolas" w:hAnsi="Consolas"/>
          <w:b w:val="false"/>
          <w:bCs w:val="false"/>
          <w:i w:val="false"/>
          <w:iCs w:val="false"/>
          <w:caps w:val="false"/>
          <w:color w:val="6B7478"/>
          <w:sz w:val="19"/>
          <w:szCs w:val="19"/>
        </w:rPr>
        <w:t xml:space="preserve">11   </w:t>
      </w:r>
      <w:r>
        <w:rPr>
          <w:rFonts w:ascii="Calibri" w:cs="Calibri" w:eastAsia="Calibri" w:hAnsi="Calibri"/>
          <w:b w:val="false"/>
          <w:bCs w:val="false"/>
          <w:i w:val="false"/>
          <w:iCs w:val="false"/>
          <w:caps w:val="false"/>
          <w:color w:val="3C4547"/>
          <w:sz w:val="20"/>
          <w:szCs w:val="20"/>
        </w:rPr>
        <w:t xml:space="preserve">Open decisions</w:t>
      </w:r>
    </w:p>
    <w:p>
      <w:r>
        <w:br w:type="page"/>
      </w:r>
    </w:p>
    <w:p>
      <w:pPr>
        <w:pStyle w:val="Heading1"/>
        <w:keepNext/>
        <w:pBdr>
          <w:top w:val="single" w:color="141918" w:sz="10" w:space="10"/>
        </w:pBdr>
        <w:spacing w:after="40" w:before="420"/>
      </w:pPr>
      <w:r>
        <w:rPr>
          <w:rFonts w:ascii="Consolas" w:cs="Consolas" w:eastAsia="Consolas" w:hAnsi="Consolas"/>
          <w:b/>
          <w:bCs/>
          <w:i w:val="false"/>
          <w:iCs w:val="false"/>
          <w:caps w:val="false"/>
          <w:color w:val="1F5F6B"/>
          <w:sz w:val="22"/>
          <w:szCs w:val="22"/>
        </w:rPr>
        <w:t xml:space="preserve">§ 1   </w:t>
      </w:r>
      <w:r>
        <w:rPr>
          <w:rFonts w:ascii="Georgia" w:cs="Georgia" w:eastAsia="Georgia" w:hAnsi="Georgia"/>
          <w:b/>
          <w:bCs/>
          <w:i w:val="false"/>
          <w:iCs w:val="false"/>
          <w:caps w:val="false"/>
          <w:color w:val="141918"/>
          <w:sz w:val="27"/>
          <w:szCs w:val="27"/>
        </w:rPr>
        <w:t xml:space="preserve">Problem statement</w:t>
      </w:r>
    </w:p>
    <w:p>
      <w:pPr>
        <w:keepNext w:val="false"/>
        <w:spacing w:after="160" w:before="0" w:line="264" w:lineRule="auto"/>
      </w:pPr>
      <w:r>
        <w:rPr>
          <w:rFonts w:ascii="Calibri" w:cs="Calibri" w:eastAsia="Calibri" w:hAnsi="Calibri"/>
          <w:b w:val="false"/>
          <w:bCs w:val="false"/>
          <w:i w:val="false"/>
          <w:iCs w:val="false"/>
          <w:caps w:val="false"/>
          <w:color w:val="3C4547"/>
          <w:sz w:val="21"/>
          <w:szCs w:val="21"/>
        </w:rPr>
        <w:t xml:space="preserve">The base paper's flagship operational result is that hybrid re-ranking — a convex blend of the Isolation Forest anomaly score and a weighted sum of deterministic rule flags — lifts precision in the top 1% of the alert queue from 38.89% to 100%, and that this concentration of true positives is what makes the pipeline viable for a security operations centre.</w:t>
      </w:r>
    </w:p>
    <w:p>
      <w:pPr>
        <w:keepNext w:val="false"/>
        <w:spacing w:after="160" w:before="0" w:line="264" w:lineRule="auto"/>
      </w:pPr>
      <w:r>
        <w:rPr>
          <w:rFonts w:ascii="Calibri" w:cs="Calibri" w:eastAsia="Calibri" w:hAnsi="Calibri"/>
          <w:b w:val="false"/>
          <w:bCs w:val="false"/>
          <w:i w:val="false"/>
          <w:iCs w:val="false"/>
          <w:caps w:val="false"/>
          <w:color w:val="3C4547"/>
          <w:sz w:val="21"/>
          <w:szCs w:val="21"/>
        </w:rPr>
        <w:t xml:space="preserve">That figure rests on a narrow footing. The band contains </w:t>
      </w:r>
      <w:r>
        <w:rPr>
          <w:rFonts w:ascii="Calibri" w:cs="Calibri" w:eastAsia="Calibri" w:hAnsi="Calibri"/>
          <w:b/>
          <w:bCs/>
          <w:i w:val="false"/>
          <w:iCs w:val="false"/>
          <w:caps w:val="false"/>
          <w:color w:val="141918"/>
          <w:sz w:val="21"/>
          <w:szCs w:val="21"/>
        </w:rPr>
        <w:t xml:space="preserve">18 alerts</w:t>
      </w:r>
      <w:r>
        <w:rPr>
          <w:rFonts w:ascii="Calibri" w:cs="Calibri" w:eastAsia="Calibri" w:hAnsi="Calibri"/>
          <w:b w:val="false"/>
          <w:bCs w:val="false"/>
          <w:i w:val="false"/>
          <w:iCs w:val="false"/>
          <w:caps w:val="false"/>
          <w:color w:val="3C4547"/>
          <w:sz w:val="21"/>
          <w:szCs w:val="21"/>
        </w:rPr>
        <w:t xml:space="preserve"> drawn from a queue of 1,842 (1,763 false positives plus 79 true positives after adaptive retraining). The blend weight </w:t>
      </w:r>
      <w:r>
        <w:rPr>
          <w:rFonts w:ascii="Consolas" w:cs="Consolas" w:eastAsia="Consolas" w:hAnsi="Consolas"/>
          <w:b w:val="false"/>
          <w:bCs w:val="false"/>
          <w:i w:val="false"/>
          <w:iCs w:val="false"/>
          <w:caps w:val="false"/>
          <w:color w:val="1F5F6B"/>
          <w:sz w:val="19"/>
          <w:szCs w:val="19"/>
        </w:rPr>
        <w:t xml:space="preserve">w = 0.7</w:t>
      </w:r>
      <w:r>
        <w:rPr>
          <w:rFonts w:ascii="Calibri" w:cs="Calibri" w:eastAsia="Calibri" w:hAnsi="Calibri"/>
          <w:b w:val="false"/>
          <w:bCs w:val="false"/>
          <w:i w:val="false"/>
          <w:iCs w:val="false"/>
          <w:caps w:val="false"/>
          <w:color w:val="3C4547"/>
          <w:sz w:val="21"/>
          <w:szCs w:val="21"/>
        </w:rPr>
        <w:t xml:space="preserve"> is hand-set and never swept. Isolation Forest is stochastic and only one seed is reported. No confidence interval accompanies any of it.</w:t>
      </w:r>
    </w:p>
    <w:p>
      <w:pPr>
        <w:keepNext w:val="false"/>
        <w:spacing w:after="160" w:before="0" w:line="264" w:lineRule="auto"/>
      </w:pPr>
      <w:r>
        <w:rPr>
          <w:rFonts w:ascii="Calibri" w:cs="Calibri" w:eastAsia="Calibri" w:hAnsi="Calibri"/>
          <w:b w:val="false"/>
          <w:bCs w:val="false"/>
          <w:i w:val="false"/>
          <w:iCs w:val="false"/>
          <w:caps w:val="false"/>
          <w:color w:val="3C4547"/>
          <w:sz w:val="21"/>
          <w:szCs w:val="21"/>
        </w:rPr>
        <w:t xml:space="preserve">The deeper problem is a missing comparator. The rule component is built from binary flags — </w:t>
      </w:r>
      <w:r>
        <w:rPr>
          <w:rFonts w:ascii="Consolas" w:cs="Consolas" w:eastAsia="Consolas" w:hAnsi="Consolas"/>
          <w:b w:val="false"/>
          <w:bCs w:val="false"/>
          <w:i w:val="false"/>
          <w:iCs w:val="false"/>
          <w:caps w:val="false"/>
          <w:color w:val="1F5F6B"/>
          <w:sz w:val="19"/>
          <w:szCs w:val="19"/>
        </w:rPr>
        <w:t xml:space="preserve">wikileaks_flag</w:t>
      </w:r>
      <w:r>
        <w:rPr>
          <w:rFonts w:ascii="Calibri" w:cs="Calibri" w:eastAsia="Calibri" w:hAnsi="Calibri"/>
          <w:b w:val="false"/>
          <w:bCs w:val="false"/>
          <w:i w:val="false"/>
          <w:iCs w:val="false"/>
          <w:caps w:val="false"/>
          <w:color w:val="3C4547"/>
          <w:sz w:val="21"/>
          <w:szCs w:val="21"/>
        </w:rPr>
        <w:t xml:space="preserve">, </w:t>
      </w:r>
      <w:r>
        <w:rPr>
          <w:rFonts w:ascii="Consolas" w:cs="Consolas" w:eastAsia="Consolas" w:hAnsi="Consolas"/>
          <w:b w:val="false"/>
          <w:bCs w:val="false"/>
          <w:i w:val="false"/>
          <w:iCs w:val="false"/>
          <w:caps w:val="false"/>
          <w:color w:val="1F5F6B"/>
          <w:sz w:val="19"/>
          <w:szCs w:val="19"/>
        </w:rPr>
        <w:t xml:space="preserve">offhour_usb_flag</w:t>
      </w:r>
      <w:r>
        <w:rPr>
          <w:rFonts w:ascii="Calibri" w:cs="Calibri" w:eastAsia="Calibri" w:hAnsi="Calibri"/>
          <w:b w:val="false"/>
          <w:bCs w:val="false"/>
          <w:i w:val="false"/>
          <w:iCs w:val="false"/>
          <w:caps w:val="false"/>
          <w:color w:val="3C4547"/>
          <w:sz w:val="21"/>
          <w:szCs w:val="21"/>
        </w:rPr>
        <w:t xml:space="preserve">, </w:t>
      </w:r>
      <w:r>
        <w:rPr>
          <w:rFonts w:ascii="Consolas" w:cs="Consolas" w:eastAsia="Consolas" w:hAnsi="Consolas"/>
          <w:b w:val="false"/>
          <w:bCs w:val="false"/>
          <w:i w:val="false"/>
          <w:iCs w:val="false"/>
          <w:caps w:val="false"/>
          <w:color w:val="1F5F6B"/>
          <w:sz w:val="19"/>
          <w:szCs w:val="19"/>
        </w:rPr>
        <w:t xml:space="preserve">afterhours_usb_connects</w:t>
      </w:r>
      <w:r>
        <w:rPr>
          <w:rFonts w:ascii="Calibri" w:cs="Calibri" w:eastAsia="Calibri" w:hAnsi="Calibri"/>
          <w:b w:val="false"/>
          <w:bCs w:val="false"/>
          <w:i w:val="false"/>
          <w:iCs w:val="false"/>
          <w:caps w:val="false"/>
          <w:color w:val="3C4547"/>
          <w:sz w:val="21"/>
          <w:szCs w:val="21"/>
        </w:rPr>
        <w:t xml:space="preserve"> — that the authors state were “specifically tailored to this threat model.” In CERT r4.2's data-exfiltration scenario, access to WikiLeaks is close to a signature of the labelled attack. The paper never ranks the queue by those rules alone. Consequently </w:t>
      </w:r>
      <w:r>
        <w:rPr>
          <w:rFonts w:ascii="Calibri" w:cs="Calibri" w:eastAsia="Calibri" w:hAnsi="Calibri"/>
          <w:b/>
          <w:bCs/>
          <w:i w:val="false"/>
          <w:iCs w:val="false"/>
          <w:caps w:val="false"/>
          <w:color w:val="141918"/>
          <w:sz w:val="21"/>
          <w:szCs w:val="21"/>
        </w:rPr>
        <w:t xml:space="preserve">the contribution of the learned anomaly score to the headline result is unknown</w:t>
      </w:r>
      <w:r>
        <w:rPr>
          <w:rFonts w:ascii="Calibri" w:cs="Calibri" w:eastAsia="Calibri" w:hAnsi="Calibri"/>
          <w:b w:val="false"/>
          <w:bCs w:val="false"/>
          <w:i w:val="false"/>
          <w:iCs w:val="false"/>
          <w:caps w:val="false"/>
          <w:color w:val="3C4547"/>
          <w:sz w:val="21"/>
          <w:szCs w:val="21"/>
        </w:rPr>
        <w:t xml:space="preserve">, and it is entirely possible that the rules are carrying the result while the Isolation Forest rides along.</w:t>
      </w:r>
    </w:p>
    <w:p>
      <w:pPr>
        <w:keepNext w:val="false"/>
        <w:spacing w:after="160" w:before="0" w:line="264" w:lineRule="auto"/>
      </w:pPr>
      <w:r>
        <w:rPr>
          <w:rFonts w:ascii="Calibri" w:cs="Calibri" w:eastAsia="Calibri" w:hAnsi="Calibri"/>
          <w:b w:val="false"/>
          <w:bCs w:val="false"/>
          <w:i w:val="false"/>
          <w:iCs w:val="false"/>
          <w:caps w:val="false"/>
          <w:color w:val="3C4547"/>
          <w:sz w:val="21"/>
          <w:szCs w:val="21"/>
        </w:rPr>
        <w:t xml:space="preserve">This matters because the machinery imposes the cost. Per-user z-score baselines, per-user percentile thresholds, monthly retraining, drift management and weight tuning are all attributable to the learned component. If a static rule sheet reaches the same top-band precision, that cost buys nothing where it was claimed to matter most.</w:t>
      </w:r>
    </w:p>
    <w:p>
      <w:pPr>
        <w:pStyle w:val="Heading1"/>
        <w:keepNext/>
        <w:pBdr>
          <w:top w:val="single" w:color="141918" w:sz="10" w:space="10"/>
        </w:pBdr>
        <w:spacing w:after="40" w:before="420"/>
      </w:pPr>
      <w:r>
        <w:rPr>
          <w:rFonts w:ascii="Consolas" w:cs="Consolas" w:eastAsia="Consolas" w:hAnsi="Consolas"/>
          <w:b/>
          <w:bCs/>
          <w:i w:val="false"/>
          <w:iCs w:val="false"/>
          <w:caps w:val="false"/>
          <w:color w:val="1F5F6B"/>
          <w:sz w:val="22"/>
          <w:szCs w:val="22"/>
        </w:rPr>
        <w:t xml:space="preserve">§ 2   </w:t>
      </w:r>
      <w:r>
        <w:rPr>
          <w:rFonts w:ascii="Georgia" w:cs="Georgia" w:eastAsia="Georgia" w:hAnsi="Georgia"/>
          <w:b/>
          <w:bCs/>
          <w:i w:val="false"/>
          <w:iCs w:val="false"/>
          <w:caps w:val="false"/>
          <w:color w:val="141918"/>
          <w:sz w:val="27"/>
          <w:szCs w:val="27"/>
        </w:rPr>
        <w:t xml:space="preserve">Purpose, and the comparator nobody ran</w:t>
      </w:r>
    </w:p>
    <w:p>
      <w:pPr>
        <w:keepNext w:val="false"/>
        <w:spacing w:after="160" w:before="0" w:line="264" w:lineRule="auto"/>
      </w:pPr>
      <w:r>
        <w:rPr>
          <w:rFonts w:ascii="Calibri" w:cs="Calibri" w:eastAsia="Calibri" w:hAnsi="Calibri"/>
          <w:b w:val="false"/>
          <w:bCs w:val="false"/>
          <w:i w:val="false"/>
          <w:iCs w:val="false"/>
          <w:caps w:val="false"/>
          <w:color w:val="3C4547"/>
          <w:sz w:val="21"/>
          <w:szCs w:val="21"/>
        </w:rPr>
        <w:t xml:space="preserve">The purpose of this study is to determine, under the base paper's own protocol, data and metrics, whether the learned anomaly score adds statistically and operationally meaningful triage value over a rules-only ranker — and to characterise how that answer depends on the blend weight, on a single near-diagnostic flag, and on the threat scenario.</w:t>
      </w:r>
    </w:p>
    <w:p>
      <w:pPr>
        <w:keepNext w:val="false"/>
        <w:spacing w:after="160" w:before="0" w:line="264" w:lineRule="auto"/>
      </w:pPr>
      <w:r>
        <w:rPr>
          <w:rFonts w:ascii="Calibri" w:cs="Calibri" w:eastAsia="Calibri" w:hAnsi="Calibri"/>
          <w:b w:val="false"/>
          <w:bCs w:val="false"/>
          <w:i w:val="false"/>
          <w:iCs w:val="false"/>
          <w:caps w:val="false"/>
          <w:color w:val="3C4547"/>
          <w:sz w:val="21"/>
          <w:szCs w:val="21"/>
        </w:rPr>
        <w:t xml:space="preserve">Building the comparator correctly is the study's central methodological problem, because there are two different rules-only baselines and they answer different questions.</w:t>
      </w:r>
    </w:p>
    <w:p>
      <w:pPr>
        <w:keepNext w:val="false"/>
        <w:spacing w:after="60" w:before="0" w:line="264" w:lineRule="auto"/>
      </w:pPr>
      <w:r>
        <w:rPr>
          <w:rFonts w:ascii="Calibri" w:cs="Calibri" w:eastAsia="Calibri" w:hAnsi="Calibri"/>
          <w:b w:val="false"/>
          <w:bCs w:val="false"/>
          <w:i w:val="false"/>
          <w:iCs w:val="false"/>
          <w:caps w:val="false"/>
          <w:color w:val="3C4547"/>
          <w:sz w:val="21"/>
          <w:szCs w:val="21"/>
        </w:rPr>
        <w:t xml:space="preserve"/>
      </w:r>
    </w:p>
    <w:p>
      <w:pPr>
        <w:spacing w:after="100" w:line="240" w:lineRule="auto"/>
      </w:pPr>
      <w:r>
        <w:drawing>
          <wp:inline distT="0" distB="0" distL="0" distR="0">
            <wp:extent cx="5905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152650"/>
                    </a:xfrm>
                    <a:prstGeom prst="rect">
                      <a:avLst/>
                    </a:prstGeom>
                  </pic:spPr>
                </pic:pic>
              </a:graphicData>
            </a:graphic>
          </wp:inline>
        </w:drawing>
      </w:r>
    </w:p>
    <w:p>
      <w:pPr>
        <w:keepNext w:val="false"/>
        <w:spacing w:after="260" w:before="0" w:line="264" w:lineRule="auto"/>
      </w:pPr>
      <w:r>
        <w:rPr>
          <w:rFonts w:ascii="Calibri" w:cs="Calibri" w:eastAsia="Calibri" w:hAnsi="Calibri"/>
          <w:b/>
          <w:bCs/>
          <w:i w:val="false"/>
          <w:iCs w:val="false"/>
          <w:caps w:val="false"/>
          <w:color w:val="141918"/>
          <w:sz w:val="18"/>
          <w:szCs w:val="18"/>
        </w:rPr>
        <w:t xml:space="preserve">Figure 1. </w:t>
      </w:r>
      <w:r>
        <w:rPr>
          <w:rFonts w:ascii="Calibri" w:cs="Calibri" w:eastAsia="Calibri" w:hAnsi="Calibri"/>
          <w:b w:val="false"/>
          <w:bCs w:val="false"/>
          <w:i w:val="false"/>
          <w:iCs w:val="false"/>
          <w:caps w:val="false"/>
          <w:color w:val="6B7478"/>
          <w:sz w:val="18"/>
          <w:szCs w:val="18"/>
        </w:rPr>
        <w:t xml:space="preserve">The pool-conditioning problem. In design A the rules never get to choose which user-days are candidates — they only reorder a queue the Isolation Forest already selected, which structurally favours the model. Design B lets each system select and rank its own candidates, then compares them at an equal alert budget. Only B can answer whether the learned component is needed at all; A answers the narrower question of whether it helps rank what has already been detected. Both are reported.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2D7CE" w:sz="4"/>
              <w:left w:val="single" w:color="6E5A0F" w:sz="18"/>
              <w:bottom w:val="single" w:color="D2D7CE" w:sz="4"/>
              <w:right w:val="single" w:color="D2D7CE" w:sz="4"/>
            </w:tcBorders>
            <w:tcMar>
              <w:top w:type="dxa" w:w="160"/>
              <w:left w:type="dxa" w:w="200"/>
              <w:bottom w:type="dxa" w:w="160"/>
              <w:right w:type="dxa" w:w="200"/>
            </w:tcMar>
          </w:tcPr>
          <w:p>
            <w:pPr>
              <w:keepNext w:val="false"/>
              <w:spacing w:after="80" w:before="0" w:line="264" w:lineRule="auto"/>
            </w:pPr>
            <w:r>
              <w:rPr>
                <w:rFonts w:ascii="Consolas" w:cs="Consolas" w:eastAsia="Consolas" w:hAnsi="Consolas"/>
                <w:b/>
                <w:bCs/>
                <w:i w:val="false"/>
                <w:iCs w:val="false"/>
                <w:caps/>
                <w:color w:val="6E5A0F"/>
                <w:spacing w:val="14"/>
                <w:sz w:val="15"/>
                <w:szCs w:val="15"/>
              </w:rPr>
              <w:t xml:space="preserve">Steelman the baseline</w:t>
            </w:r>
          </w:p>
          <w:p>
            <w:pPr>
              <w:keepNext w:val="false"/>
              <w:spacing w:after="0" w:before="0" w:line="264" w:lineRule="auto"/>
            </w:pPr>
            <w:r>
              <w:rPr>
                <w:rFonts w:ascii="Calibri" w:cs="Calibri" w:eastAsia="Calibri" w:hAnsi="Calibri"/>
                <w:b w:val="false"/>
                <w:bCs w:val="false"/>
                <w:i w:val="false"/>
                <w:iCs w:val="false"/>
                <w:caps w:val="false"/>
                <w:color w:val="3C4547"/>
                <w:sz w:val="20"/>
                <w:szCs w:val="20"/>
              </w:rPr>
              <w:t xml:space="preserve">The base paper never publishes its rule weights. Reconstructing a deliberately weak rule sheet is the easiest way to manufacture a positive result, and a committee will look for exactly that. The rules-only comparator is therefore tuned to its best achievable configuration on the training partition — a grid search over flag weights — before any comparison is run. If the hybrid still wins against a well-tuned baseline, the finding survives the obvious objection.</w:t>
            </w:r>
          </w:p>
        </w:tc>
      </w:tr>
    </w:tbl>
    <w:p>
      <w:pPr>
        <w:pStyle w:val="Heading1"/>
        <w:keepNext/>
        <w:pBdr>
          <w:top w:val="single" w:color="141918" w:sz="10" w:space="10"/>
        </w:pBdr>
        <w:spacing w:after="40" w:before="420"/>
      </w:pPr>
      <w:r>
        <w:rPr>
          <w:rFonts w:ascii="Consolas" w:cs="Consolas" w:eastAsia="Consolas" w:hAnsi="Consolas"/>
          <w:b/>
          <w:bCs/>
          <w:i w:val="false"/>
          <w:iCs w:val="false"/>
          <w:caps w:val="false"/>
          <w:color w:val="1F5F6B"/>
          <w:sz w:val="22"/>
          <w:szCs w:val="22"/>
        </w:rPr>
        <w:t xml:space="preserve">§ 3   </w:t>
      </w:r>
      <w:r>
        <w:rPr>
          <w:rFonts w:ascii="Georgia" w:cs="Georgia" w:eastAsia="Georgia" w:hAnsi="Georgia"/>
          <w:b/>
          <w:bCs/>
          <w:i w:val="false"/>
          <w:iCs w:val="false"/>
          <w:caps w:val="false"/>
          <w:color w:val="141918"/>
          <w:sz w:val="27"/>
          <w:szCs w:val="27"/>
        </w:rPr>
        <w:t xml:space="preserve">Research questions</w:t>
      </w:r>
    </w:p>
    <w:p>
      <w:pPr>
        <w:keepNext w:val="false"/>
        <w:spacing w:after="160" w:before="0" w:line="264" w:lineRule="auto"/>
      </w:pPr>
      <w:r>
        <w:rPr>
          <w:rFonts w:ascii="Calibri" w:cs="Calibri" w:eastAsia="Calibri" w:hAnsi="Calibri"/>
          <w:b w:val="false"/>
          <w:bCs w:val="false"/>
          <w:i w:val="false"/>
          <w:iCs w:val="false"/>
          <w:caps w:val="false"/>
          <w:color w:val="3C4547"/>
          <w:sz w:val="21"/>
          <w:szCs w:val="21"/>
        </w:rPr>
        <w:t xml:space="preserve">One reproduction question establishes the foundation; four substantive questions test the claim from different directions; one replication question bounds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2D7CE" w:sz="4"/>
              <w:left w:val="single" w:color="B7BFB5" w:sz="18"/>
              <w:bottom w:val="single" w:color="D2D7CE" w:sz="4"/>
              <w:right w:val="single" w:color="D2D7CE" w:sz="4"/>
            </w:tcBorders>
            <w:tcMar>
              <w:top w:type="dxa" w:w="160"/>
              <w:left w:type="dxa" w:w="200"/>
              <w:bottom w:type="dxa" w:w="160"/>
              <w:right w:type="dxa" w:w="200"/>
            </w:tcMar>
          </w:tcPr>
          <w:p>
            <w:pPr>
              <w:keepNext w:val="false"/>
              <w:spacing w:after="70" w:before="0" w:line="264" w:lineRule="auto"/>
            </w:pPr>
            <w:r>
              <w:rPr>
                <w:rFonts w:ascii="Consolas" w:cs="Consolas" w:eastAsia="Consolas" w:hAnsi="Consolas"/>
                <w:b/>
                <w:bCs/>
                <w:i w:val="false"/>
                <w:iCs w:val="false"/>
                <w:caps w:val="false"/>
                <w:color w:val="1F5F6B"/>
                <w:spacing w:val="14"/>
                <w:sz w:val="16"/>
                <w:szCs w:val="16"/>
              </w:rPr>
              <w:t xml:space="preserve">RQ0</w:t>
            </w:r>
            <w:r>
              <w:rPr>
                <w:rFonts w:ascii="Consolas" w:cs="Consolas" w:eastAsia="Consolas" w:hAnsi="Consolas"/>
                <w:b w:val="false"/>
                <w:bCs w:val="false"/>
                <w:i w:val="false"/>
                <w:iCs w:val="false"/>
                <w:caps/>
                <w:color w:val="6B7478"/>
                <w:spacing w:val="12"/>
                <w:sz w:val="15"/>
                <w:szCs w:val="15"/>
              </w:rPr>
              <w:t xml:space="preserve">   · reproduction</w:t>
            </w:r>
          </w:p>
          <w:p>
            <w:pPr>
              <w:keepNext w:val="false"/>
              <w:spacing w:after="100" w:before="0" w:line="264" w:lineRule="auto"/>
            </w:pPr>
            <w:r>
              <w:rPr>
                <w:rFonts w:ascii="Georgia" w:cs="Georgia" w:eastAsia="Georgia" w:hAnsi="Georgia"/>
                <w:b w:val="false"/>
                <w:bCs w:val="false"/>
                <w:i w:val="false"/>
                <w:iCs w:val="false"/>
                <w:caps w:val="false"/>
                <w:color w:val="141918"/>
                <w:sz w:val="22"/>
                <w:szCs w:val="22"/>
              </w:rPr>
              <w:t xml:space="preserve">To what extent are P2's reported triage results reproducible under its stated protocol, and how sensitive are they to the implementation choices P2 leaves unspecified — random seed, rule-flag weights and score-tie handling?</w:t>
            </w:r>
          </w:p>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Everything downstream assumes the pipeline can be rebuilt. This question also quantifies for the first time how much of the 100% figure is stable and how much is one lucky seed and an arbitrary tie order.</w:t>
            </w:r>
          </w:p>
        </w:tc>
      </w:tr>
    </w:tbl>
    <w:p>
      <w:pPr>
        <w:keepNext w:val="false"/>
        <w:spacing w:after="120" w:before="0" w:line="264" w:lineRule="auto"/>
      </w:pPr>
      <w:r>
        <w:rPr>
          <w:rFonts w:ascii="Calibri" w:cs="Calibri" w:eastAsia="Calibri" w:hAnsi="Calibri"/>
          <w:b w:val="false"/>
          <w:bCs w:val="false"/>
          <w:i w:val="false"/>
          <w:iCs w:val="false"/>
          <w:caps w:val="false"/>
          <w:color w:val="3C4547"/>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2D7CE" w:sz="4"/>
              <w:left w:val="single" w:color="1F5F6B" w:sz="18"/>
              <w:bottom w:val="single" w:color="D2D7CE" w:sz="4"/>
              <w:right w:val="single" w:color="D2D7CE" w:sz="4"/>
            </w:tcBorders>
            <w:tcMar>
              <w:top w:type="dxa" w:w="160"/>
              <w:left w:type="dxa" w:w="200"/>
              <w:bottom w:type="dxa" w:w="160"/>
              <w:right w:type="dxa" w:w="200"/>
            </w:tcMar>
          </w:tcPr>
          <w:p>
            <w:pPr>
              <w:keepNext w:val="false"/>
              <w:spacing w:after="70" w:before="0" w:line="264" w:lineRule="auto"/>
            </w:pPr>
            <w:r>
              <w:rPr>
                <w:rFonts w:ascii="Consolas" w:cs="Consolas" w:eastAsia="Consolas" w:hAnsi="Consolas"/>
                <w:b/>
                <w:bCs/>
                <w:i w:val="false"/>
                <w:iCs w:val="false"/>
                <w:caps w:val="false"/>
                <w:color w:val="1F5F6B"/>
                <w:spacing w:val="14"/>
                <w:sz w:val="16"/>
                <w:szCs w:val="16"/>
              </w:rPr>
              <w:t xml:space="preserve">RQ1</w:t>
            </w:r>
            <w:r>
              <w:rPr>
                <w:rFonts w:ascii="Consolas" w:cs="Consolas" w:eastAsia="Consolas" w:hAnsi="Consolas"/>
                <w:b w:val="false"/>
                <w:bCs w:val="false"/>
                <w:i w:val="false"/>
                <w:iCs w:val="false"/>
                <w:caps/>
                <w:color w:val="6B7478"/>
                <w:spacing w:val="12"/>
                <w:sz w:val="15"/>
                <w:szCs w:val="15"/>
              </w:rPr>
              <w:t xml:space="preserve">   · primary</w:t>
            </w:r>
          </w:p>
          <w:p>
            <w:pPr>
              <w:keepNext w:val="false"/>
              <w:spacing w:after="100" w:before="0" w:line="264" w:lineRule="auto"/>
            </w:pPr>
            <w:r>
              <w:rPr>
                <w:rFonts w:ascii="Georgia" w:cs="Georgia" w:eastAsia="Georgia" w:hAnsi="Georgia"/>
                <w:b w:val="false"/>
                <w:bCs w:val="false"/>
                <w:i w:val="false"/>
                <w:iCs w:val="false"/>
                <w:caps w:val="false"/>
                <w:color w:val="141918"/>
                <w:sz w:val="22"/>
                <w:szCs w:val="22"/>
              </w:rPr>
              <w:t xml:space="preserve">Within the alert pool the Isolation Forest generates, does hybrid re-ranking outperform a rules-only re-ranking of that same pool on top-band precision and alert-budget recall?</w:t>
            </w:r>
          </w:p>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The narrow, direct reading of P2's Table VI with the missing column filled in. This is the head-to-head the paper should have reported.</w:t>
            </w:r>
          </w:p>
        </w:tc>
      </w:tr>
    </w:tbl>
    <w:p>
      <w:pPr>
        <w:keepNext w:val="false"/>
        <w:spacing w:after="120" w:before="0" w:line="264" w:lineRule="auto"/>
      </w:pPr>
      <w:r>
        <w:rPr>
          <w:rFonts w:ascii="Calibri" w:cs="Calibri" w:eastAsia="Calibri" w:hAnsi="Calibri"/>
          <w:b w:val="false"/>
          <w:bCs w:val="false"/>
          <w:i w:val="false"/>
          <w:iCs w:val="false"/>
          <w:caps w:val="false"/>
          <w:color w:val="3C4547"/>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2D7CE" w:sz="4"/>
              <w:left w:val="single" w:color="1F5F6B" w:sz="18"/>
              <w:bottom w:val="single" w:color="D2D7CE" w:sz="4"/>
              <w:right w:val="single" w:color="D2D7CE" w:sz="4"/>
            </w:tcBorders>
            <w:tcMar>
              <w:top w:type="dxa" w:w="160"/>
              <w:left w:type="dxa" w:w="200"/>
              <w:bottom w:type="dxa" w:w="160"/>
              <w:right w:type="dxa" w:w="200"/>
            </w:tcMar>
          </w:tcPr>
          <w:p>
            <w:pPr>
              <w:keepNext w:val="false"/>
              <w:spacing w:after="70" w:before="0" w:line="264" w:lineRule="auto"/>
            </w:pPr>
            <w:r>
              <w:rPr>
                <w:rFonts w:ascii="Consolas" w:cs="Consolas" w:eastAsia="Consolas" w:hAnsi="Consolas"/>
                <w:b/>
                <w:bCs/>
                <w:i w:val="false"/>
                <w:iCs w:val="false"/>
                <w:caps w:val="false"/>
                <w:color w:val="1F5F6B"/>
                <w:spacing w:val="14"/>
                <w:sz w:val="16"/>
                <w:szCs w:val="16"/>
              </w:rPr>
              <w:t xml:space="preserve">RQ2</w:t>
            </w:r>
            <w:r>
              <w:rPr>
                <w:rFonts w:ascii="Consolas" w:cs="Consolas" w:eastAsia="Consolas" w:hAnsi="Consolas"/>
                <w:b w:val="false"/>
                <w:bCs w:val="false"/>
                <w:i w:val="false"/>
                <w:iCs w:val="false"/>
                <w:caps/>
                <w:color w:val="6B7478"/>
                <w:spacing w:val="12"/>
                <w:sz w:val="15"/>
                <w:szCs w:val="15"/>
              </w:rPr>
              <w:t xml:space="preserve">   · primary</w:t>
            </w:r>
          </w:p>
          <w:p>
            <w:pPr>
              <w:keepNext w:val="false"/>
              <w:spacing w:after="100" w:before="0" w:line="264" w:lineRule="auto"/>
            </w:pPr>
            <w:r>
              <w:rPr>
                <w:rFonts w:ascii="Georgia" w:cs="Georgia" w:eastAsia="Georgia" w:hAnsi="Georgia"/>
                <w:b w:val="false"/>
                <w:bCs w:val="false"/>
                <w:i w:val="false"/>
                <w:iCs w:val="false"/>
                <w:caps w:val="false"/>
                <w:color w:val="141918"/>
                <w:sz w:val="22"/>
                <w:szCs w:val="22"/>
              </w:rPr>
              <w:t xml:space="preserve">When the rules are permitted to select their own candidate pool — operating as a standalone detector-and-ranker rather than a re-ranker — does the full pipeline still outperform them at a matched alert budget?</w:t>
            </w:r>
          </w:p>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The consequential version of the question. A SOC choosing between architectures is not choosing how to reorder the model's output; it is choosing whether to run the model at all.</w:t>
            </w:r>
          </w:p>
        </w:tc>
      </w:tr>
    </w:tbl>
    <w:p>
      <w:pPr>
        <w:keepNext w:val="false"/>
        <w:spacing w:after="120" w:before="0" w:line="264" w:lineRule="auto"/>
      </w:pPr>
      <w:r>
        <w:rPr>
          <w:rFonts w:ascii="Calibri" w:cs="Calibri" w:eastAsia="Calibri" w:hAnsi="Calibri"/>
          <w:b w:val="false"/>
          <w:bCs w:val="false"/>
          <w:i w:val="false"/>
          <w:iCs w:val="false"/>
          <w:caps w:val="false"/>
          <w:color w:val="3C4547"/>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2D7CE" w:sz="4"/>
              <w:left w:val="single" w:color="B7BFB5" w:sz="18"/>
              <w:bottom w:val="single" w:color="D2D7CE" w:sz="4"/>
              <w:right w:val="single" w:color="D2D7CE" w:sz="4"/>
            </w:tcBorders>
            <w:tcMar>
              <w:top w:type="dxa" w:w="160"/>
              <w:left w:type="dxa" w:w="200"/>
              <w:bottom w:type="dxa" w:w="160"/>
              <w:right w:type="dxa" w:w="200"/>
            </w:tcMar>
          </w:tcPr>
          <w:p>
            <w:pPr>
              <w:keepNext w:val="false"/>
              <w:spacing w:after="70" w:before="0" w:line="264" w:lineRule="auto"/>
            </w:pPr>
            <w:r>
              <w:rPr>
                <w:rFonts w:ascii="Consolas" w:cs="Consolas" w:eastAsia="Consolas" w:hAnsi="Consolas"/>
                <w:b/>
                <w:bCs/>
                <w:i w:val="false"/>
                <w:iCs w:val="false"/>
                <w:caps w:val="false"/>
                <w:color w:val="1F5F6B"/>
                <w:spacing w:val="14"/>
                <w:sz w:val="16"/>
                <w:szCs w:val="16"/>
              </w:rPr>
              <w:t xml:space="preserve">RQ3</w:t>
            </w:r>
            <w:r>
              <w:rPr>
                <w:rFonts w:ascii="Consolas" w:cs="Consolas" w:eastAsia="Consolas" w:hAnsi="Consolas"/>
                <w:b w:val="false"/>
                <w:bCs w:val="false"/>
                <w:i w:val="false"/>
                <w:iCs w:val="false"/>
                <w:caps/>
                <w:color w:val="6B7478"/>
                <w:spacing w:val="12"/>
                <w:sz w:val="15"/>
                <w:szCs w:val="15"/>
              </w:rPr>
              <w:t xml:space="preserve">   · robustness</w:t>
            </w:r>
          </w:p>
          <w:p>
            <w:pPr>
              <w:keepNext w:val="false"/>
              <w:spacing w:after="100" w:before="0" w:line="264" w:lineRule="auto"/>
            </w:pPr>
            <w:r>
              <w:rPr>
                <w:rFonts w:ascii="Georgia" w:cs="Georgia" w:eastAsia="Georgia" w:hAnsi="Georgia"/>
                <w:b w:val="false"/>
                <w:bCs w:val="false"/>
                <w:i w:val="false"/>
                <w:iCs w:val="false"/>
                <w:caps w:val="false"/>
                <w:color w:val="141918"/>
                <w:sz w:val="22"/>
                <w:szCs w:val="22"/>
              </w:rPr>
              <w:t xml:space="preserve">Is any hybrid advantage stable across the full range of the blend weight w, and where does P2's hand-set w = 0.7 sit relative to the empirical optimum?</w:t>
            </w:r>
          </w:p>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If the advantage appears only as w approaches rule-dominance, the “hybrid” result is a rules result with extra steps. If w = 0.7 turns out to be far from optimal, the reported number understates or overstates the architecture for reasons unrelated to its merit.</w:t>
            </w:r>
          </w:p>
        </w:tc>
      </w:tr>
    </w:tbl>
    <w:p>
      <w:pPr>
        <w:keepNext w:val="false"/>
        <w:spacing w:after="120" w:before="0" w:line="264" w:lineRule="auto"/>
      </w:pPr>
      <w:r>
        <w:rPr>
          <w:rFonts w:ascii="Calibri" w:cs="Calibri" w:eastAsia="Calibri" w:hAnsi="Calibri"/>
          <w:b w:val="false"/>
          <w:bCs w:val="false"/>
          <w:i w:val="false"/>
          <w:iCs w:val="false"/>
          <w:caps w:val="false"/>
          <w:color w:val="3C4547"/>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2D7CE" w:sz="4"/>
              <w:left w:val="single" w:color="B7BFB5" w:sz="18"/>
              <w:bottom w:val="single" w:color="D2D7CE" w:sz="4"/>
              <w:right w:val="single" w:color="D2D7CE" w:sz="4"/>
            </w:tcBorders>
            <w:tcMar>
              <w:top w:type="dxa" w:w="160"/>
              <w:left w:type="dxa" w:w="200"/>
              <w:bottom w:type="dxa" w:w="160"/>
              <w:right w:type="dxa" w:w="200"/>
            </w:tcMar>
          </w:tcPr>
          <w:p>
            <w:pPr>
              <w:keepNext w:val="false"/>
              <w:spacing w:after="70" w:before="0" w:line="264" w:lineRule="auto"/>
            </w:pPr>
            <w:r>
              <w:rPr>
                <w:rFonts w:ascii="Consolas" w:cs="Consolas" w:eastAsia="Consolas" w:hAnsi="Consolas"/>
                <w:b/>
                <w:bCs/>
                <w:i w:val="false"/>
                <w:iCs w:val="false"/>
                <w:caps w:val="false"/>
                <w:color w:val="1F5F6B"/>
                <w:spacing w:val="14"/>
                <w:sz w:val="16"/>
                <w:szCs w:val="16"/>
              </w:rPr>
              <w:t xml:space="preserve">RQ4</w:t>
            </w:r>
            <w:r>
              <w:rPr>
                <w:rFonts w:ascii="Consolas" w:cs="Consolas" w:eastAsia="Consolas" w:hAnsi="Consolas"/>
                <w:b w:val="false"/>
                <w:bCs w:val="false"/>
                <w:i w:val="false"/>
                <w:iCs w:val="false"/>
                <w:caps/>
                <w:color w:val="6B7478"/>
                <w:spacing w:val="12"/>
                <w:sz w:val="15"/>
                <w:szCs w:val="15"/>
              </w:rPr>
              <w:t xml:space="preserve">   · signature dependence</w:t>
            </w:r>
          </w:p>
          <w:p>
            <w:pPr>
              <w:keepNext w:val="false"/>
              <w:spacing w:after="100" w:before="0" w:line="264" w:lineRule="auto"/>
            </w:pPr>
            <w:r>
              <w:rPr>
                <w:rFonts w:ascii="Georgia" w:cs="Georgia" w:eastAsia="Georgia" w:hAnsi="Georgia"/>
                <w:b w:val="false"/>
                <w:bCs w:val="false"/>
                <w:i w:val="false"/>
                <w:iCs w:val="false"/>
                <w:caps w:val="false"/>
                <w:color w:val="141918"/>
                <w:sz w:val="22"/>
                <w:szCs w:val="22"/>
              </w:rPr>
              <w:t xml:space="preserve">What share of top-band precision is attributable to wikileaks_flag alone, and with that flag removed from both rankers, does the learned score's contribution grow, shrink or vanish?</w:t>
            </w:r>
          </w:p>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The sharpest single test in the study. If one flag that effectively encodes the labelled scenario explains most of the result, then P2's number describes the benchmark rather than the method — and removing it reveals what the anomaly detector actually contributes.</w:t>
            </w:r>
          </w:p>
        </w:tc>
      </w:tr>
    </w:tbl>
    <w:p>
      <w:pPr>
        <w:keepNext w:val="false"/>
        <w:spacing w:after="120" w:before="0" w:line="264" w:lineRule="auto"/>
      </w:pPr>
      <w:r>
        <w:rPr>
          <w:rFonts w:ascii="Calibri" w:cs="Calibri" w:eastAsia="Calibri" w:hAnsi="Calibri"/>
          <w:b w:val="false"/>
          <w:bCs w:val="false"/>
          <w:i w:val="false"/>
          <w:iCs w:val="false"/>
          <w:caps w:val="false"/>
          <w:color w:val="3C4547"/>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2D7CE" w:sz="4"/>
              <w:left w:val="single" w:color="B7BFB5" w:sz="18"/>
              <w:bottom w:val="single" w:color="D2D7CE" w:sz="4"/>
              <w:right w:val="single" w:color="D2D7CE" w:sz="4"/>
            </w:tcBorders>
            <w:tcMar>
              <w:top w:type="dxa" w:w="160"/>
              <w:left w:type="dxa" w:w="200"/>
              <w:bottom w:type="dxa" w:w="160"/>
              <w:right w:type="dxa" w:w="200"/>
            </w:tcMar>
          </w:tcPr>
          <w:p>
            <w:pPr>
              <w:keepNext w:val="false"/>
              <w:spacing w:after="70" w:before="0" w:line="264" w:lineRule="auto"/>
            </w:pPr>
            <w:r>
              <w:rPr>
                <w:rFonts w:ascii="Consolas" w:cs="Consolas" w:eastAsia="Consolas" w:hAnsi="Consolas"/>
                <w:b/>
                <w:bCs/>
                <w:i w:val="false"/>
                <w:iCs w:val="false"/>
                <w:caps w:val="false"/>
                <w:color w:val="1F5F6B"/>
                <w:spacing w:val="14"/>
                <w:sz w:val="16"/>
                <w:szCs w:val="16"/>
              </w:rPr>
              <w:t xml:space="preserve">RQ5</w:t>
            </w:r>
            <w:r>
              <w:rPr>
                <w:rFonts w:ascii="Consolas" w:cs="Consolas" w:eastAsia="Consolas" w:hAnsi="Consolas"/>
                <w:b w:val="false"/>
                <w:bCs w:val="false"/>
                <w:i w:val="false"/>
                <w:iCs w:val="false"/>
                <w:caps/>
                <w:color w:val="6B7478"/>
                <w:spacing w:val="12"/>
                <w:sz w:val="15"/>
                <w:szCs w:val="15"/>
              </w:rPr>
              <w:t xml:space="preserve">   · replication</w:t>
            </w:r>
          </w:p>
          <w:p>
            <w:pPr>
              <w:keepNext w:val="false"/>
              <w:spacing w:after="100" w:before="0" w:line="264" w:lineRule="auto"/>
            </w:pPr>
            <w:r>
              <w:rPr>
                <w:rFonts w:ascii="Georgia" w:cs="Georgia" w:eastAsia="Georgia" w:hAnsi="Georgia"/>
                <w:b w:val="false"/>
                <w:bCs w:val="false"/>
                <w:i w:val="false"/>
                <w:iCs w:val="false"/>
                <w:caps w:val="false"/>
                <w:color w:val="141918"/>
                <w:sz w:val="22"/>
                <w:szCs w:val="22"/>
              </w:rPr>
              <w:t xml:space="preserve">Does the verdict obtained for data exfiltration replicate on CERT r4.2 scenarios 2 (IP theft) and 3 (sabotage), with scenario-appropriate rule sets?</w:t>
            </w:r>
          </w:p>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Scoped to the sign of the verdict rather than its magnitude, to keep it distinct from the external-validity hypothesis H1. Rule sets must be re-derived per scenario, or the comparison silently tests feature transfer instead.</w:t>
            </w:r>
          </w:p>
        </w:tc>
      </w:tr>
    </w:tbl>
    <w:p>
      <w:pPr>
        <w:pStyle w:val="Heading1"/>
        <w:keepNext/>
        <w:pBdr>
          <w:top w:val="single" w:color="141918" w:sz="10" w:space="10"/>
        </w:pBdr>
        <w:spacing w:after="40" w:before="420"/>
      </w:pPr>
      <w:r>
        <w:rPr>
          <w:rFonts w:ascii="Consolas" w:cs="Consolas" w:eastAsia="Consolas" w:hAnsi="Consolas"/>
          <w:b/>
          <w:bCs/>
          <w:i w:val="false"/>
          <w:iCs w:val="false"/>
          <w:caps w:val="false"/>
          <w:color w:val="1F5F6B"/>
          <w:sz w:val="22"/>
          <w:szCs w:val="22"/>
        </w:rPr>
        <w:t xml:space="preserve">§ 4   </w:t>
      </w:r>
      <w:r>
        <w:rPr>
          <w:rFonts w:ascii="Georgia" w:cs="Georgia" w:eastAsia="Georgia" w:hAnsi="Georgia"/>
          <w:b/>
          <w:bCs/>
          <w:i w:val="false"/>
          <w:iCs w:val="false"/>
          <w:caps w:val="false"/>
          <w:color w:val="141918"/>
          <w:sz w:val="27"/>
          <w:szCs w:val="27"/>
        </w:rPr>
        <w:t xml:space="preserve">Hypotheses</w:t>
      </w:r>
    </w:p>
    <w:p>
      <w:pPr>
        <w:keepNext w:val="false"/>
        <w:spacing w:after="160" w:before="0" w:line="264" w:lineRule="auto"/>
      </w:pPr>
      <w:r>
        <w:rPr>
          <w:rFonts w:ascii="Calibri" w:cs="Calibri" w:eastAsia="Calibri" w:hAnsi="Calibri"/>
          <w:b w:val="false"/>
          <w:bCs w:val="false"/>
          <w:i w:val="false"/>
          <w:iCs w:val="false"/>
          <w:caps w:val="false"/>
          <w:color w:val="3C4547"/>
          <w:sz w:val="21"/>
          <w:szCs w:val="21"/>
        </w:rPr>
        <w:t xml:space="preserve">The primary hypothesis is directional and carries a pre-specified margin of practical significance, so that “no difference” is a result the design can actually produce rather than a failure to find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2D7CE" w:sz="4"/>
              <w:left w:val="single" w:color="1F5F6B" w:sz="18"/>
              <w:bottom w:val="single" w:color="D2D7CE" w:sz="4"/>
              <w:right w:val="single" w:color="D2D7CE" w:sz="4"/>
            </w:tcBorders>
            <w:tcMar>
              <w:top w:type="dxa" w:w="160"/>
              <w:left w:type="dxa" w:w="200"/>
              <w:bottom w:type="dxa" w:w="160"/>
              <w:right w:type="dxa" w:w="200"/>
            </w:tcMar>
          </w:tcPr>
          <w:p>
            <w:pPr>
              <w:keepNext w:val="false"/>
              <w:spacing w:after="70" w:before="0" w:line="264" w:lineRule="auto"/>
            </w:pPr>
            <w:r>
              <w:rPr>
                <w:rFonts w:ascii="Consolas" w:cs="Consolas" w:eastAsia="Consolas" w:hAnsi="Consolas"/>
                <w:b/>
                <w:bCs/>
                <w:i w:val="false"/>
                <w:iCs w:val="false"/>
                <w:caps w:val="false"/>
                <w:color w:val="1F5F6B"/>
                <w:spacing w:val="14"/>
                <w:sz w:val="16"/>
                <w:szCs w:val="16"/>
              </w:rPr>
              <w:t xml:space="preserve">H2 · PRIMARY</w:t>
            </w:r>
          </w:p>
          <w:p>
            <w:pPr>
              <w:keepNext w:val="false"/>
              <w:spacing w:after="120" w:before="0" w:line="264" w:lineRule="auto"/>
            </w:pPr>
            <w:r>
              <w:rPr>
                <w:rFonts w:ascii="Calibri" w:cs="Calibri" w:eastAsia="Calibri" w:hAnsi="Calibri"/>
                <w:b w:val="false"/>
                <w:bCs w:val="false"/>
                <w:i w:val="false"/>
                <w:iCs w:val="false"/>
                <w:caps w:val="false"/>
                <w:color w:val="141918"/>
                <w:sz w:val="21"/>
                <w:szCs w:val="21"/>
              </w:rPr>
              <w:t xml:space="preserve">Over the actionable alert band, the hybrid ranker's precision exceeds a well-tuned rules-only ranker's by more than δ = 5 percentage points, and the advantage holds across </w:t>
            </w:r>
            <w:r>
              <w:rPr>
                <w:rFonts w:ascii="Consolas" w:cs="Consolas" w:eastAsia="Consolas" w:hAnsi="Consolas"/>
                <w:b w:val="false"/>
                <w:bCs w:val="false"/>
                <w:i w:val="false"/>
                <w:iCs w:val="false"/>
                <w:caps w:val="false"/>
                <w:color w:val="1F5F6B"/>
                <w:sz w:val="19"/>
                <w:szCs w:val="19"/>
              </w:rPr>
              <w:t xml:space="preserve">w</w:t>
            </w:r>
            <w:r>
              <w:rPr>
                <w:rFonts w:ascii="Calibri" w:cs="Calibri" w:eastAsia="Calibri" w:hAnsi="Calibri"/>
                <w:b w:val="false"/>
                <w:bCs w:val="false"/>
                <w:i w:val="false"/>
                <w:iCs w:val="false"/>
                <w:caps w:val="false"/>
                <w:color w:val="141918"/>
                <w:sz w:val="21"/>
                <w:szCs w:val="21"/>
              </w:rPr>
              <w:t xml:space="preserve"> ∈ [0.3, 0.9].</w:t>
            </w:r>
          </w:p>
          <w:p>
            <w:pPr>
              <w:keepNext w:val="false"/>
              <w:spacing w:after="70" w:before="0" w:line="264" w:lineRule="auto"/>
            </w:pPr>
            <w:r>
              <w:rPr>
                <w:rFonts w:ascii="Consolas" w:cs="Consolas" w:eastAsia="Consolas" w:hAnsi="Consolas"/>
                <w:b/>
                <w:bCs/>
                <w:i w:val="false"/>
                <w:iCs w:val="false"/>
                <w:caps/>
                <w:color w:val="6B7478"/>
                <w:spacing w:val="12"/>
                <w:sz w:val="15"/>
                <w:szCs w:val="15"/>
              </w:rPr>
              <w:t xml:space="preserve">Endpoint  </w:t>
            </w:r>
            <w:r>
              <w:rPr>
                <w:rFonts w:ascii="Calibri" w:cs="Calibri" w:eastAsia="Calibri" w:hAnsi="Calibri"/>
                <w:b w:val="false"/>
                <w:bCs w:val="false"/>
                <w:i w:val="false"/>
                <w:iCs w:val="false"/>
                <w:caps w:val="false"/>
                <w:color w:val="3C4547"/>
                <w:sz w:val="20"/>
                <w:szCs w:val="20"/>
              </w:rPr>
              <w:t xml:space="preserve">Δ precision@5% of alert budget (a 92-alert band), hybrid minus rules-only, pool-conditional.</w:t>
            </w:r>
          </w:p>
          <w:p>
            <w:pPr>
              <w:keepNext w:val="false"/>
              <w:spacing w:after="70" w:before="0" w:line="264" w:lineRule="auto"/>
            </w:pPr>
            <w:r>
              <w:rPr>
                <w:rFonts w:ascii="Consolas" w:cs="Consolas" w:eastAsia="Consolas" w:hAnsi="Consolas"/>
                <w:b/>
                <w:bCs/>
                <w:i w:val="false"/>
                <w:iCs w:val="false"/>
                <w:caps/>
                <w:color w:val="6B7478"/>
                <w:spacing w:val="12"/>
                <w:sz w:val="15"/>
                <w:szCs w:val="15"/>
              </w:rPr>
              <w:t xml:space="preserve">Null  </w:t>
            </w:r>
            <w:r>
              <w:rPr>
                <w:rFonts w:ascii="Calibri" w:cs="Calibri" w:eastAsia="Calibri" w:hAnsi="Calibri"/>
                <w:b w:val="false"/>
                <w:bCs w:val="false"/>
                <w:i w:val="false"/>
                <w:iCs w:val="false"/>
                <w:caps w:val="false"/>
                <w:color w:val="3C4547"/>
                <w:sz w:val="20"/>
                <w:szCs w:val="20"/>
              </w:rPr>
              <w:t xml:space="preserve">H2₀ — the two rankers are equivalent within ±δ, tested by two one-sided tests rather than inferred from a non-significant difference.</w:t>
            </w:r>
          </w:p>
          <w:p>
            <w:pPr>
              <w:keepNext w:val="false"/>
              <w:spacing w:after="70" w:before="0" w:line="264" w:lineRule="auto"/>
            </w:pPr>
            <w:r>
              <w:rPr>
                <w:rFonts w:ascii="Consolas" w:cs="Consolas" w:eastAsia="Consolas" w:hAnsi="Consolas"/>
                <w:b/>
                <w:bCs/>
                <w:i w:val="false"/>
                <w:iCs w:val="false"/>
                <w:caps/>
                <w:color w:val="6B7478"/>
                <w:spacing w:val="12"/>
                <w:sz w:val="15"/>
                <w:szCs w:val="15"/>
              </w:rPr>
              <w:t xml:space="preserve">Disconfirmed if  </w:t>
            </w:r>
            <w:r>
              <w:rPr>
                <w:rFonts w:ascii="Calibri" w:cs="Calibri" w:eastAsia="Calibri" w:hAnsi="Calibri"/>
                <w:b w:val="false"/>
                <w:bCs w:val="false"/>
                <w:i w:val="false"/>
                <w:iCs w:val="false"/>
                <w:caps w:val="false"/>
                <w:color w:val="3C4547"/>
                <w:sz w:val="20"/>
                <w:szCs w:val="20"/>
              </w:rPr>
              <w:t xml:space="preserve">The 95% CI on Δ includes zero, or lies wholly within ±δ, or the advantage exists only at </w:t>
            </w:r>
            <w:r>
              <w:rPr>
                <w:rFonts w:ascii="Consolas" w:cs="Consolas" w:eastAsia="Consolas" w:hAnsi="Consolas"/>
                <w:b w:val="false"/>
                <w:bCs w:val="false"/>
                <w:i w:val="false"/>
                <w:iCs w:val="false"/>
                <w:caps w:val="false"/>
                <w:color w:val="1F5F6B"/>
                <w:sz w:val="18"/>
                <w:szCs w:val="18"/>
              </w:rPr>
              <w:t xml:space="preserve">w</w:t>
            </w:r>
            <w:r>
              <w:rPr>
                <w:rFonts w:ascii="Calibri" w:cs="Calibri" w:eastAsia="Calibri" w:hAnsi="Calibri"/>
                <w:b w:val="false"/>
                <w:bCs w:val="false"/>
                <w:i w:val="false"/>
                <w:iCs w:val="false"/>
                <w:caps w:val="false"/>
                <w:color w:val="3C4547"/>
                <w:sz w:val="20"/>
                <w:szCs w:val="20"/>
              </w:rPr>
              <w:t xml:space="preserve"> &lt; 0.3.</w:t>
            </w:r>
          </w:p>
          <w:p>
            <w:pPr>
              <w:keepNext w:val="false"/>
              <w:spacing w:after="70" w:before="0" w:line="264" w:lineRule="auto"/>
            </w:pPr>
            <w:r>
              <w:rPr>
                <w:rFonts w:ascii="Consolas" w:cs="Consolas" w:eastAsia="Consolas" w:hAnsi="Consolas"/>
                <w:b/>
                <w:bCs/>
                <w:i w:val="false"/>
                <w:iCs w:val="false"/>
                <w:caps/>
                <w:color w:val="6B7478"/>
                <w:spacing w:val="12"/>
                <w:sz w:val="15"/>
                <w:szCs w:val="15"/>
              </w:rPr>
              <w:t xml:space="preserve">Margin rationale  </w:t>
            </w:r>
            <w:r>
              <w:rPr>
                <w:rFonts w:ascii="Calibri" w:cs="Calibri" w:eastAsia="Calibri" w:hAnsi="Calibri"/>
                <w:b w:val="false"/>
                <w:bCs w:val="false"/>
                <w:i w:val="false"/>
                <w:iCs w:val="false"/>
                <w:caps w:val="false"/>
                <w:color w:val="3C4547"/>
                <w:sz w:val="20"/>
                <w:szCs w:val="20"/>
              </w:rPr>
              <w:t xml:space="preserve">5 pp of a 92-alert band is ~4.6 alerts — below the threshold at which a triage queue would be reprioritised in practice.</w:t>
            </w:r>
          </w:p>
        </w:tc>
      </w:tr>
    </w:tbl>
    <w:p>
      <w:pPr>
        <w:keepNext w:val="false"/>
        <w:spacing w:after="140" w:before="0" w:line="264" w:lineRule="auto"/>
      </w:pPr>
      <w:r>
        <w:rPr>
          <w:rFonts w:ascii="Calibri" w:cs="Calibri" w:eastAsia="Calibri" w:hAnsi="Calibri"/>
          <w:b w:val="false"/>
          <w:bCs w:val="false"/>
          <w:i w:val="false"/>
          <w:iCs w:val="false"/>
          <w:caps w:val="false"/>
          <w:color w:val="3C4547"/>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2D7CE" w:sz="4"/>
              <w:left w:val="single" w:color="B7BFB5" w:sz="18"/>
              <w:bottom w:val="single" w:color="D2D7CE" w:sz="4"/>
              <w:right w:val="single" w:color="D2D7CE" w:sz="4"/>
            </w:tcBorders>
            <w:tcMar>
              <w:top w:type="dxa" w:w="160"/>
              <w:left w:type="dxa" w:w="200"/>
              <w:bottom w:type="dxa" w:w="160"/>
              <w:right w:type="dxa" w:w="200"/>
            </w:tcMar>
          </w:tcPr>
          <w:p>
            <w:pPr>
              <w:keepNext w:val="false"/>
              <w:spacing w:after="70" w:before="0" w:line="264" w:lineRule="auto"/>
            </w:pPr>
            <w:r>
              <w:rPr>
                <w:rFonts w:ascii="Consolas" w:cs="Consolas" w:eastAsia="Consolas" w:hAnsi="Consolas"/>
                <w:b/>
                <w:bCs/>
                <w:i w:val="false"/>
                <w:iCs w:val="false"/>
                <w:caps w:val="false"/>
                <w:color w:val="1F5F6B"/>
                <w:spacing w:val="14"/>
                <w:sz w:val="16"/>
                <w:szCs w:val="16"/>
              </w:rPr>
              <w:t xml:space="preserve">H2.1 · POOL-CONDITIONAL</w:t>
            </w:r>
          </w:p>
          <w:p>
            <w:pPr>
              <w:keepNext w:val="false"/>
              <w:spacing w:after="120" w:before="0" w:line="264" w:lineRule="auto"/>
            </w:pPr>
            <w:r>
              <w:rPr>
                <w:rFonts w:ascii="Calibri" w:cs="Calibri" w:eastAsia="Calibri" w:hAnsi="Calibri"/>
                <w:b w:val="false"/>
                <w:bCs w:val="false"/>
                <w:i w:val="false"/>
                <w:iCs w:val="false"/>
                <w:caps w:val="false"/>
                <w:color w:val="141918"/>
                <w:sz w:val="21"/>
                <w:szCs w:val="21"/>
              </w:rPr>
              <w:t xml:space="preserve">Ranking the Isolation Forest's alert pool by the hybrid score surfaces more true positives in the top bands than ranking the same pool by rule score alone.</w:t>
            </w:r>
          </w:p>
          <w:p>
            <w:pPr>
              <w:keepNext w:val="false"/>
              <w:spacing w:after="70" w:before="0" w:line="264" w:lineRule="auto"/>
            </w:pPr>
            <w:r>
              <w:rPr>
                <w:rFonts w:ascii="Consolas" w:cs="Consolas" w:eastAsia="Consolas" w:hAnsi="Consolas"/>
                <w:b/>
                <w:bCs/>
                <w:i w:val="false"/>
                <w:iCs w:val="false"/>
                <w:caps/>
                <w:color w:val="6B7478"/>
                <w:spacing w:val="12"/>
                <w:sz w:val="15"/>
                <w:szCs w:val="15"/>
              </w:rPr>
              <w:t xml:space="preserve">Tests  </w:t>
            </w:r>
            <w:r>
              <w:rPr>
                <w:rFonts w:ascii="Calibri" w:cs="Calibri" w:eastAsia="Calibri" w:hAnsi="Calibri"/>
                <w:b w:val="false"/>
                <w:bCs w:val="false"/>
                <w:i w:val="false"/>
                <w:iCs w:val="false"/>
                <w:caps w:val="false"/>
                <w:color w:val="3C4547"/>
                <w:sz w:val="20"/>
                <w:szCs w:val="20"/>
              </w:rPr>
              <w:t xml:space="preserve">RQ1</w:t>
            </w:r>
          </w:p>
          <w:p>
            <w:pPr>
              <w:keepNext w:val="false"/>
              <w:spacing w:after="70" w:before="0" w:line="264" w:lineRule="auto"/>
            </w:pPr>
            <w:r>
              <w:rPr>
                <w:rFonts w:ascii="Consolas" w:cs="Consolas" w:eastAsia="Consolas" w:hAnsi="Consolas"/>
                <w:b/>
                <w:bCs/>
                <w:i w:val="false"/>
                <w:iCs w:val="false"/>
                <w:caps/>
                <w:color w:val="6B7478"/>
                <w:spacing w:val="12"/>
                <w:sz w:val="15"/>
                <w:szCs w:val="15"/>
              </w:rPr>
              <w:t xml:space="preserve">Measured by  </w:t>
            </w:r>
            <w:r>
              <w:rPr>
                <w:rFonts w:ascii="Calibri" w:cs="Calibri" w:eastAsia="Calibri" w:hAnsi="Calibri"/>
                <w:b w:val="false"/>
                <w:bCs w:val="false"/>
                <w:i w:val="false"/>
                <w:iCs w:val="false"/>
                <w:caps w:val="false"/>
                <w:color w:val="3C4547"/>
                <w:sz w:val="20"/>
                <w:szCs w:val="20"/>
              </w:rPr>
              <w:t xml:space="preserve">Δ precision@{1, 2, 5, 10}% and Δ recall@budget, paired cluster bootstrap.</w:t>
            </w:r>
          </w:p>
          <w:p>
            <w:pPr>
              <w:keepNext w:val="false"/>
              <w:spacing w:after="70" w:before="0" w:line="264" w:lineRule="auto"/>
            </w:pPr>
            <w:r>
              <w:rPr>
                <w:rFonts w:ascii="Consolas" w:cs="Consolas" w:eastAsia="Consolas" w:hAnsi="Consolas"/>
                <w:b/>
                <w:bCs/>
                <w:i w:val="false"/>
                <w:iCs w:val="false"/>
                <w:caps/>
                <w:color w:val="6B7478"/>
                <w:spacing w:val="12"/>
                <w:sz w:val="15"/>
                <w:szCs w:val="15"/>
              </w:rPr>
              <w:t xml:space="preserve">Disconfirmed if  </w:t>
            </w:r>
            <w:r>
              <w:rPr>
                <w:rFonts w:ascii="Calibri" w:cs="Calibri" w:eastAsia="Calibri" w:hAnsi="Calibri"/>
                <w:b w:val="false"/>
                <w:bCs w:val="false"/>
                <w:i w:val="false"/>
                <w:iCs w:val="false"/>
                <w:caps w:val="false"/>
                <w:color w:val="3C4547"/>
                <w:sz w:val="20"/>
                <w:szCs w:val="20"/>
              </w:rPr>
              <w:t xml:space="preserve">Rules-only matches the hybrid within bootstrap confidence intervals at every band.</w:t>
            </w:r>
          </w:p>
        </w:tc>
      </w:tr>
    </w:tbl>
    <w:p>
      <w:pPr>
        <w:keepNext w:val="false"/>
        <w:spacing w:after="140" w:before="0" w:line="264" w:lineRule="auto"/>
      </w:pPr>
      <w:r>
        <w:rPr>
          <w:rFonts w:ascii="Calibri" w:cs="Calibri" w:eastAsia="Calibri" w:hAnsi="Calibri"/>
          <w:b w:val="false"/>
          <w:bCs w:val="false"/>
          <w:i w:val="false"/>
          <w:iCs w:val="false"/>
          <w:caps w:val="false"/>
          <w:color w:val="3C4547"/>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2D7CE" w:sz="4"/>
              <w:left w:val="single" w:color="B7BFB5" w:sz="18"/>
              <w:bottom w:val="single" w:color="D2D7CE" w:sz="4"/>
              <w:right w:val="single" w:color="D2D7CE" w:sz="4"/>
            </w:tcBorders>
            <w:tcMar>
              <w:top w:type="dxa" w:w="160"/>
              <w:left w:type="dxa" w:w="200"/>
              <w:bottom w:type="dxa" w:w="160"/>
              <w:right w:type="dxa" w:w="200"/>
            </w:tcMar>
          </w:tcPr>
          <w:p>
            <w:pPr>
              <w:keepNext w:val="false"/>
              <w:spacing w:after="70" w:before="0" w:line="264" w:lineRule="auto"/>
            </w:pPr>
            <w:r>
              <w:rPr>
                <w:rFonts w:ascii="Consolas" w:cs="Consolas" w:eastAsia="Consolas" w:hAnsi="Consolas"/>
                <w:b/>
                <w:bCs/>
                <w:i w:val="false"/>
                <w:iCs w:val="false"/>
                <w:caps w:val="false"/>
                <w:color w:val="1F5F6B"/>
                <w:spacing w:val="14"/>
                <w:sz w:val="16"/>
                <w:szCs w:val="16"/>
              </w:rPr>
              <w:t xml:space="preserve">H2.2 · END-TO-END</w:t>
            </w:r>
          </w:p>
          <w:p>
            <w:pPr>
              <w:keepNext w:val="false"/>
              <w:spacing w:after="120" w:before="0" w:line="264" w:lineRule="auto"/>
            </w:pPr>
            <w:r>
              <w:rPr>
                <w:rFonts w:ascii="Calibri" w:cs="Calibri" w:eastAsia="Calibri" w:hAnsi="Calibri"/>
                <w:b w:val="false"/>
                <w:bCs w:val="false"/>
                <w:i w:val="false"/>
                <w:iCs w:val="false"/>
                <w:caps w:val="false"/>
                <w:color w:val="141918"/>
                <w:sz w:val="21"/>
                <w:szCs w:val="21"/>
              </w:rPr>
              <w:t xml:space="preserve">At a matched alert budget, the full adaptive pipeline surfaces more distinct malicious user-days than a standalone rules detector-and-ranker.</w:t>
            </w:r>
          </w:p>
          <w:p>
            <w:pPr>
              <w:keepNext w:val="false"/>
              <w:spacing w:after="70" w:before="0" w:line="264" w:lineRule="auto"/>
            </w:pPr>
            <w:r>
              <w:rPr>
                <w:rFonts w:ascii="Consolas" w:cs="Consolas" w:eastAsia="Consolas" w:hAnsi="Consolas"/>
                <w:b/>
                <w:bCs/>
                <w:i w:val="false"/>
                <w:iCs w:val="false"/>
                <w:caps/>
                <w:color w:val="6B7478"/>
                <w:spacing w:val="12"/>
                <w:sz w:val="15"/>
                <w:szCs w:val="15"/>
              </w:rPr>
              <w:t xml:space="preserve">Tests  </w:t>
            </w:r>
            <w:r>
              <w:rPr>
                <w:rFonts w:ascii="Calibri" w:cs="Calibri" w:eastAsia="Calibri" w:hAnsi="Calibri"/>
                <w:b w:val="false"/>
                <w:bCs w:val="false"/>
                <w:i w:val="false"/>
                <w:iCs w:val="false"/>
                <w:caps w:val="false"/>
                <w:color w:val="3C4547"/>
                <w:sz w:val="20"/>
                <w:szCs w:val="20"/>
              </w:rPr>
              <w:t xml:space="preserve">RQ2</w:t>
            </w:r>
          </w:p>
          <w:p>
            <w:pPr>
              <w:keepNext w:val="false"/>
              <w:spacing w:after="70" w:before="0" w:line="264" w:lineRule="auto"/>
            </w:pPr>
            <w:r>
              <w:rPr>
                <w:rFonts w:ascii="Consolas" w:cs="Consolas" w:eastAsia="Consolas" w:hAnsi="Consolas"/>
                <w:b/>
                <w:bCs/>
                <w:i w:val="false"/>
                <w:iCs w:val="false"/>
                <w:caps/>
                <w:color w:val="6B7478"/>
                <w:spacing w:val="12"/>
                <w:sz w:val="15"/>
                <w:szCs w:val="15"/>
              </w:rPr>
              <w:t xml:space="preserve">Measured by  </w:t>
            </w:r>
            <w:r>
              <w:rPr>
                <w:rFonts w:ascii="Calibri" w:cs="Calibri" w:eastAsia="Calibri" w:hAnsi="Calibri"/>
                <w:b w:val="false"/>
                <w:bCs w:val="false"/>
                <w:i w:val="false"/>
                <w:iCs w:val="false"/>
                <w:caps w:val="false"/>
                <w:color w:val="3C4547"/>
                <w:sz w:val="20"/>
                <w:szCs w:val="20"/>
              </w:rPr>
              <w:t xml:space="preserve">Recall@budget at k ∈ {18, 36, 92, 184} alerts, matched across systems.</w:t>
            </w:r>
          </w:p>
          <w:p>
            <w:pPr>
              <w:keepNext w:val="false"/>
              <w:spacing w:after="70" w:before="0" w:line="264" w:lineRule="auto"/>
            </w:pPr>
            <w:r>
              <w:rPr>
                <w:rFonts w:ascii="Consolas" w:cs="Consolas" w:eastAsia="Consolas" w:hAnsi="Consolas"/>
                <w:b/>
                <w:bCs/>
                <w:i w:val="false"/>
                <w:iCs w:val="false"/>
                <w:caps/>
                <w:color w:val="6B7478"/>
                <w:spacing w:val="12"/>
                <w:sz w:val="15"/>
                <w:szCs w:val="15"/>
              </w:rPr>
              <w:t xml:space="preserve">Disconfirmed if  </w:t>
            </w:r>
            <w:r>
              <w:rPr>
                <w:rFonts w:ascii="Calibri" w:cs="Calibri" w:eastAsia="Calibri" w:hAnsi="Calibri"/>
                <w:b w:val="false"/>
                <w:bCs w:val="false"/>
                <w:i w:val="false"/>
                <w:iCs w:val="false"/>
                <w:caps w:val="false"/>
                <w:color w:val="3C4547"/>
                <w:sz w:val="20"/>
                <w:szCs w:val="20"/>
              </w:rPr>
              <w:t xml:space="preserve">The standalone rules pool captures an equal or greater share of malicious days at equal budget.</w:t>
            </w:r>
          </w:p>
          <w:p>
            <w:pPr>
              <w:keepNext w:val="false"/>
              <w:spacing w:after="70" w:before="0" w:line="264" w:lineRule="auto"/>
            </w:pPr>
            <w:r>
              <w:rPr>
                <w:rFonts w:ascii="Consolas" w:cs="Consolas" w:eastAsia="Consolas" w:hAnsi="Consolas"/>
                <w:b/>
                <w:bCs/>
                <w:i w:val="false"/>
                <w:iCs w:val="false"/>
                <w:caps/>
                <w:color w:val="6B7478"/>
                <w:spacing w:val="12"/>
                <w:sz w:val="15"/>
                <w:szCs w:val="15"/>
              </w:rPr>
              <w:t xml:space="preserve">Note  </w:t>
            </w:r>
            <w:r>
              <w:rPr>
                <w:rFonts w:ascii="Calibri" w:cs="Calibri" w:eastAsia="Calibri" w:hAnsi="Calibri"/>
                <w:b w:val="false"/>
                <w:bCs w:val="false"/>
                <w:i w:val="false"/>
                <w:iCs w:val="false"/>
                <w:caps w:val="false"/>
                <w:color w:val="3C4547"/>
                <w:sz w:val="20"/>
                <w:szCs w:val="20"/>
              </w:rPr>
              <w:t xml:space="preserve">The strongest form of a null. A rules system that matches the pipeline end-to-end makes the learned component unnecessary on this benchmark, not merely redundant for ranking.</w:t>
            </w:r>
          </w:p>
        </w:tc>
      </w:tr>
    </w:tbl>
    <w:p>
      <w:pPr>
        <w:keepNext w:val="false"/>
        <w:spacing w:after="140" w:before="0" w:line="264" w:lineRule="auto"/>
      </w:pPr>
      <w:r>
        <w:rPr>
          <w:rFonts w:ascii="Calibri" w:cs="Calibri" w:eastAsia="Calibri" w:hAnsi="Calibri"/>
          <w:b w:val="false"/>
          <w:bCs w:val="false"/>
          <w:i w:val="false"/>
          <w:iCs w:val="false"/>
          <w:caps w:val="false"/>
          <w:color w:val="3C4547"/>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2D7CE" w:sz="4"/>
              <w:left w:val="single" w:color="B7BFB5" w:sz="18"/>
              <w:bottom w:val="single" w:color="D2D7CE" w:sz="4"/>
              <w:right w:val="single" w:color="D2D7CE" w:sz="4"/>
            </w:tcBorders>
            <w:tcMar>
              <w:top w:type="dxa" w:w="160"/>
              <w:left w:type="dxa" w:w="200"/>
              <w:bottom w:type="dxa" w:w="160"/>
              <w:right w:type="dxa" w:w="200"/>
            </w:tcMar>
          </w:tcPr>
          <w:p>
            <w:pPr>
              <w:keepNext w:val="false"/>
              <w:spacing w:after="70" w:before="0" w:line="264" w:lineRule="auto"/>
            </w:pPr>
            <w:r>
              <w:rPr>
                <w:rFonts w:ascii="Consolas" w:cs="Consolas" w:eastAsia="Consolas" w:hAnsi="Consolas"/>
                <w:b/>
                <w:bCs/>
                <w:i w:val="false"/>
                <w:iCs w:val="false"/>
                <w:caps w:val="false"/>
                <w:color w:val="1F5F6B"/>
                <w:spacing w:val="14"/>
                <w:sz w:val="16"/>
                <w:szCs w:val="16"/>
              </w:rPr>
              <w:t xml:space="preserve">H2.3 · WEIGHT ROBUSTNESS</w:t>
            </w:r>
          </w:p>
          <w:p>
            <w:pPr>
              <w:keepNext w:val="false"/>
              <w:spacing w:after="120" w:before="0" w:line="264" w:lineRule="auto"/>
            </w:pPr>
            <w:r>
              <w:rPr>
                <w:rFonts w:ascii="Calibri" w:cs="Calibri" w:eastAsia="Calibri" w:hAnsi="Calibri"/>
                <w:b w:val="false"/>
                <w:bCs w:val="false"/>
                <w:i w:val="false"/>
                <w:iCs w:val="false"/>
                <w:caps w:val="false"/>
                <w:color w:val="141918"/>
                <w:sz w:val="21"/>
                <w:szCs w:val="21"/>
              </w:rPr>
              <w:t xml:space="preserve">The sign of the hybrid advantage is invariant over </w:t>
            </w:r>
            <w:r>
              <w:rPr>
                <w:rFonts w:ascii="Consolas" w:cs="Consolas" w:eastAsia="Consolas" w:hAnsi="Consolas"/>
                <w:b w:val="false"/>
                <w:bCs w:val="false"/>
                <w:i w:val="false"/>
                <w:iCs w:val="false"/>
                <w:caps w:val="false"/>
                <w:color w:val="1F5F6B"/>
                <w:sz w:val="19"/>
                <w:szCs w:val="19"/>
              </w:rPr>
              <w:t xml:space="preserve">w</w:t>
            </w:r>
            <w:r>
              <w:rPr>
                <w:rFonts w:ascii="Calibri" w:cs="Calibri" w:eastAsia="Calibri" w:hAnsi="Calibri"/>
                <w:b w:val="false"/>
                <w:bCs w:val="false"/>
                <w:i w:val="false"/>
                <w:iCs w:val="false"/>
                <w:caps w:val="false"/>
                <w:color w:val="141918"/>
                <w:sz w:val="21"/>
                <w:szCs w:val="21"/>
              </w:rPr>
              <w:t xml:space="preserve"> ∈ [0.3, 0.9], and Δ precision is not monotonically increasing as </w:t>
            </w:r>
            <w:r>
              <w:rPr>
                <w:rFonts w:ascii="Consolas" w:cs="Consolas" w:eastAsia="Consolas" w:hAnsi="Consolas"/>
                <w:b w:val="false"/>
                <w:bCs w:val="false"/>
                <w:i w:val="false"/>
                <w:iCs w:val="false"/>
                <w:caps w:val="false"/>
                <w:color w:val="1F5F6B"/>
                <w:sz w:val="19"/>
                <w:szCs w:val="19"/>
              </w:rPr>
              <w:t xml:space="preserve">w</w:t>
            </w:r>
            <w:r>
              <w:rPr>
                <w:rFonts w:ascii="Calibri" w:cs="Calibri" w:eastAsia="Calibri" w:hAnsi="Calibri"/>
                <w:b w:val="false"/>
                <w:bCs w:val="false"/>
                <w:i w:val="false"/>
                <w:iCs w:val="false"/>
                <w:caps w:val="false"/>
                <w:color w:val="141918"/>
                <w:sz w:val="21"/>
                <w:szCs w:val="21"/>
              </w:rPr>
              <w:t xml:space="preserve"> → 0.</w:t>
            </w:r>
          </w:p>
          <w:p>
            <w:pPr>
              <w:keepNext w:val="false"/>
              <w:spacing w:after="70" w:before="0" w:line="264" w:lineRule="auto"/>
            </w:pPr>
            <w:r>
              <w:rPr>
                <w:rFonts w:ascii="Consolas" w:cs="Consolas" w:eastAsia="Consolas" w:hAnsi="Consolas"/>
                <w:b/>
                <w:bCs/>
                <w:i w:val="false"/>
                <w:iCs w:val="false"/>
                <w:caps/>
                <w:color w:val="6B7478"/>
                <w:spacing w:val="12"/>
                <w:sz w:val="15"/>
                <w:szCs w:val="15"/>
              </w:rPr>
              <w:t xml:space="preserve">Tests  </w:t>
            </w:r>
            <w:r>
              <w:rPr>
                <w:rFonts w:ascii="Calibri" w:cs="Calibri" w:eastAsia="Calibri" w:hAnsi="Calibri"/>
                <w:b w:val="false"/>
                <w:bCs w:val="false"/>
                <w:i w:val="false"/>
                <w:iCs w:val="false"/>
                <w:caps w:val="false"/>
                <w:color w:val="3C4547"/>
                <w:sz w:val="20"/>
                <w:szCs w:val="20"/>
              </w:rPr>
              <w:t xml:space="preserve">RQ3</w:t>
            </w:r>
          </w:p>
          <w:p>
            <w:pPr>
              <w:keepNext w:val="false"/>
              <w:spacing w:after="70" w:before="0" w:line="264" w:lineRule="auto"/>
            </w:pPr>
            <w:r>
              <w:rPr>
                <w:rFonts w:ascii="Consolas" w:cs="Consolas" w:eastAsia="Consolas" w:hAnsi="Consolas"/>
                <w:b/>
                <w:bCs/>
                <w:i w:val="false"/>
                <w:iCs w:val="false"/>
                <w:caps/>
                <w:color w:val="6B7478"/>
                <w:spacing w:val="12"/>
                <w:sz w:val="15"/>
                <w:szCs w:val="15"/>
              </w:rPr>
              <w:t xml:space="preserve">Measured by  </w:t>
            </w:r>
            <w:r>
              <w:rPr>
                <w:rFonts w:ascii="Calibri" w:cs="Calibri" w:eastAsia="Calibri" w:hAnsi="Calibri"/>
                <w:b w:val="false"/>
                <w:bCs w:val="false"/>
                <w:i w:val="false"/>
                <w:iCs w:val="false"/>
                <w:caps w:val="false"/>
                <w:color w:val="3C4547"/>
                <w:sz w:val="20"/>
                <w:szCs w:val="20"/>
              </w:rPr>
              <w:t xml:space="preserve">Δ precision@5% across a </w:t>
            </w:r>
            <w:r>
              <w:rPr>
                <w:rFonts w:ascii="Consolas" w:cs="Consolas" w:eastAsia="Consolas" w:hAnsi="Consolas"/>
                <w:b w:val="false"/>
                <w:bCs w:val="false"/>
                <w:i w:val="false"/>
                <w:iCs w:val="false"/>
                <w:caps w:val="false"/>
                <w:color w:val="1F5F6B"/>
                <w:sz w:val="18"/>
                <w:szCs w:val="18"/>
              </w:rPr>
              <w:t xml:space="preserve">w</w:t>
            </w:r>
            <w:r>
              <w:rPr>
                <w:rFonts w:ascii="Calibri" w:cs="Calibri" w:eastAsia="Calibri" w:hAnsi="Calibri"/>
                <w:b w:val="false"/>
                <w:bCs w:val="false"/>
                <w:i w:val="false"/>
                <w:iCs w:val="false"/>
                <w:caps w:val="false"/>
                <w:color w:val="3C4547"/>
                <w:sz w:val="20"/>
                <w:szCs w:val="20"/>
              </w:rPr>
              <w:t xml:space="preserve"> grid of 0.00–1.00 in steps of 0.05, with confidence intervals at each point.</w:t>
            </w:r>
          </w:p>
          <w:p>
            <w:pPr>
              <w:keepNext w:val="false"/>
              <w:spacing w:after="70" w:before="0" w:line="264" w:lineRule="auto"/>
            </w:pPr>
            <w:r>
              <w:rPr>
                <w:rFonts w:ascii="Consolas" w:cs="Consolas" w:eastAsia="Consolas" w:hAnsi="Consolas"/>
                <w:b/>
                <w:bCs/>
                <w:i w:val="false"/>
                <w:iCs w:val="false"/>
                <w:caps/>
                <w:color w:val="6B7478"/>
                <w:spacing w:val="12"/>
                <w:sz w:val="15"/>
                <w:szCs w:val="15"/>
              </w:rPr>
              <w:t xml:space="preserve">Disconfirmed if  </w:t>
            </w:r>
            <w:r>
              <w:rPr>
                <w:rFonts w:ascii="Calibri" w:cs="Calibri" w:eastAsia="Calibri" w:hAnsi="Calibri"/>
                <w:b w:val="false"/>
                <w:bCs w:val="false"/>
                <w:i w:val="false"/>
                <w:iCs w:val="false"/>
                <w:caps w:val="false"/>
                <w:color w:val="3C4547"/>
                <w:sz w:val="20"/>
                <w:szCs w:val="20"/>
              </w:rPr>
              <w:t xml:space="preserve">The advantage is confined to rule-dominant settings, indicating the anomaly score is dead weight in the actionable band.</w:t>
            </w:r>
          </w:p>
        </w:tc>
      </w:tr>
    </w:tbl>
    <w:p>
      <w:pPr>
        <w:keepNext w:val="false"/>
        <w:spacing w:after="140" w:before="0" w:line="264" w:lineRule="auto"/>
      </w:pPr>
      <w:r>
        <w:rPr>
          <w:rFonts w:ascii="Calibri" w:cs="Calibri" w:eastAsia="Calibri" w:hAnsi="Calibri"/>
          <w:b w:val="false"/>
          <w:bCs w:val="false"/>
          <w:i w:val="false"/>
          <w:iCs w:val="false"/>
          <w:caps w:val="false"/>
          <w:color w:val="3C4547"/>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2D7CE" w:sz="4"/>
              <w:left w:val="single" w:color="B7BFB5" w:sz="18"/>
              <w:bottom w:val="single" w:color="D2D7CE" w:sz="4"/>
              <w:right w:val="single" w:color="D2D7CE" w:sz="4"/>
            </w:tcBorders>
            <w:tcMar>
              <w:top w:type="dxa" w:w="160"/>
              <w:left w:type="dxa" w:w="200"/>
              <w:bottom w:type="dxa" w:w="160"/>
              <w:right w:type="dxa" w:w="200"/>
            </w:tcMar>
          </w:tcPr>
          <w:p>
            <w:pPr>
              <w:keepNext w:val="false"/>
              <w:spacing w:after="70" w:before="0" w:line="264" w:lineRule="auto"/>
            </w:pPr>
            <w:r>
              <w:rPr>
                <w:rFonts w:ascii="Consolas" w:cs="Consolas" w:eastAsia="Consolas" w:hAnsi="Consolas"/>
                <w:b/>
                <w:bCs/>
                <w:i w:val="false"/>
                <w:iCs w:val="false"/>
                <w:caps w:val="false"/>
                <w:color w:val="1F5F6B"/>
                <w:spacing w:val="14"/>
                <w:sz w:val="16"/>
                <w:szCs w:val="16"/>
              </w:rPr>
              <w:t xml:space="preserve">H2.4 · SIGNATURE INDEPENDENCE</w:t>
            </w:r>
          </w:p>
          <w:p>
            <w:pPr>
              <w:keepNext w:val="false"/>
              <w:spacing w:after="120" w:before="0" w:line="264" w:lineRule="auto"/>
            </w:pPr>
            <w:r>
              <w:rPr>
                <w:rFonts w:ascii="Calibri" w:cs="Calibri" w:eastAsia="Calibri" w:hAnsi="Calibri"/>
                <w:b w:val="false"/>
                <w:bCs w:val="false"/>
                <w:i w:val="false"/>
                <w:iCs w:val="false"/>
                <w:caps w:val="false"/>
                <w:color w:val="141918"/>
                <w:sz w:val="21"/>
                <w:szCs w:val="21"/>
              </w:rPr>
              <w:t xml:space="preserve">Removing </w:t>
            </w:r>
            <w:r>
              <w:rPr>
                <w:rFonts w:ascii="Consolas" w:cs="Consolas" w:eastAsia="Consolas" w:hAnsi="Consolas"/>
                <w:b w:val="false"/>
                <w:bCs w:val="false"/>
                <w:i w:val="false"/>
                <w:iCs w:val="false"/>
                <w:caps w:val="false"/>
                <w:color w:val="1F5F6B"/>
                <w:sz w:val="19"/>
                <w:szCs w:val="19"/>
              </w:rPr>
              <w:t xml:space="preserve">wikileaks_flag</w:t>
            </w:r>
            <w:r>
              <w:rPr>
                <w:rFonts w:ascii="Calibri" w:cs="Calibri" w:eastAsia="Calibri" w:hAnsi="Calibri"/>
                <w:b w:val="false"/>
                <w:bCs w:val="false"/>
                <w:i w:val="false"/>
                <w:iCs w:val="false"/>
                <w:caps w:val="false"/>
                <w:color w:val="141918"/>
                <w:sz w:val="21"/>
                <w:szCs w:val="21"/>
              </w:rPr>
              <w:t xml:space="preserve"> degrades the rules-only ranker's top-band precision significantly more than it degrades the hybrid's — that is, the learned score carries signal the flag does not.</w:t>
            </w:r>
          </w:p>
          <w:p>
            <w:pPr>
              <w:keepNext w:val="false"/>
              <w:spacing w:after="70" w:before="0" w:line="264" w:lineRule="auto"/>
            </w:pPr>
            <w:r>
              <w:rPr>
                <w:rFonts w:ascii="Consolas" w:cs="Consolas" w:eastAsia="Consolas" w:hAnsi="Consolas"/>
                <w:b/>
                <w:bCs/>
                <w:i w:val="false"/>
                <w:iCs w:val="false"/>
                <w:caps/>
                <w:color w:val="6B7478"/>
                <w:spacing w:val="12"/>
                <w:sz w:val="15"/>
                <w:szCs w:val="15"/>
              </w:rPr>
              <w:t xml:space="preserve">Tests  </w:t>
            </w:r>
            <w:r>
              <w:rPr>
                <w:rFonts w:ascii="Calibri" w:cs="Calibri" w:eastAsia="Calibri" w:hAnsi="Calibri"/>
                <w:b w:val="false"/>
                <w:bCs w:val="false"/>
                <w:i w:val="false"/>
                <w:iCs w:val="false"/>
                <w:caps w:val="false"/>
                <w:color w:val="3C4547"/>
                <w:sz w:val="20"/>
                <w:szCs w:val="20"/>
              </w:rPr>
              <w:t xml:space="preserve">RQ4</w:t>
            </w:r>
          </w:p>
          <w:p>
            <w:pPr>
              <w:keepNext w:val="false"/>
              <w:spacing w:after="70" w:before="0" w:line="264" w:lineRule="auto"/>
            </w:pPr>
            <w:r>
              <w:rPr>
                <w:rFonts w:ascii="Consolas" w:cs="Consolas" w:eastAsia="Consolas" w:hAnsi="Consolas"/>
                <w:b/>
                <w:bCs/>
                <w:i w:val="false"/>
                <w:iCs w:val="false"/>
                <w:caps/>
                <w:color w:val="6B7478"/>
                <w:spacing w:val="12"/>
                <w:sz w:val="15"/>
                <w:szCs w:val="15"/>
              </w:rPr>
              <w:t xml:space="preserve">Measured by  </w:t>
            </w:r>
            <w:r>
              <w:rPr>
                <w:rFonts w:ascii="Calibri" w:cs="Calibri" w:eastAsia="Calibri" w:hAnsi="Calibri"/>
                <w:b w:val="false"/>
                <w:bCs w:val="false"/>
                <w:i w:val="false"/>
                <w:iCs w:val="false"/>
                <w:caps w:val="false"/>
                <w:color w:val="3C4547"/>
                <w:sz w:val="20"/>
                <w:szCs w:val="20"/>
              </w:rPr>
              <w:t xml:space="preserve">Difference-in-differences on precision@5% between full and flag-ablated rule sets, with a paired confidence interval on the interaction.</w:t>
            </w:r>
          </w:p>
          <w:p>
            <w:pPr>
              <w:keepNext w:val="false"/>
              <w:spacing w:after="70" w:before="0" w:line="264" w:lineRule="auto"/>
            </w:pPr>
            <w:r>
              <w:rPr>
                <w:rFonts w:ascii="Consolas" w:cs="Consolas" w:eastAsia="Consolas" w:hAnsi="Consolas"/>
                <w:b/>
                <w:bCs/>
                <w:i w:val="false"/>
                <w:iCs w:val="false"/>
                <w:caps/>
                <w:color w:val="6B7478"/>
                <w:spacing w:val="12"/>
                <w:sz w:val="15"/>
                <w:szCs w:val="15"/>
              </w:rPr>
              <w:t xml:space="preserve">Disconfirmed if  </w:t>
            </w:r>
            <w:r>
              <w:rPr>
                <w:rFonts w:ascii="Calibri" w:cs="Calibri" w:eastAsia="Calibri" w:hAnsi="Calibri"/>
                <w:b w:val="false"/>
                <w:bCs w:val="false"/>
                <w:i w:val="false"/>
                <w:iCs w:val="false"/>
                <w:caps w:val="false"/>
                <w:color w:val="3C4547"/>
                <w:sz w:val="20"/>
                <w:szCs w:val="20"/>
              </w:rPr>
              <w:t xml:space="preserve">Both rankers collapse by a comparable amount — implicating the flag, and by extension the benchmark's scripted attack, as the source of the headline result.</w:t>
            </w:r>
          </w:p>
        </w:tc>
      </w:tr>
    </w:tbl>
    <w:p>
      <w:pPr>
        <w:keepNext w:val="false"/>
        <w:spacing w:after="140" w:before="0" w:line="264" w:lineRule="auto"/>
      </w:pPr>
      <w:r>
        <w:rPr>
          <w:rFonts w:ascii="Calibri" w:cs="Calibri" w:eastAsia="Calibri" w:hAnsi="Calibri"/>
          <w:b w:val="false"/>
          <w:bCs w:val="false"/>
          <w:i w:val="false"/>
          <w:iCs w:val="false"/>
          <w:caps w:val="false"/>
          <w:color w:val="3C4547"/>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2D7CE" w:sz="4"/>
              <w:left w:val="single" w:color="B7BFB5" w:sz="18"/>
              <w:bottom w:val="single" w:color="D2D7CE" w:sz="4"/>
              <w:right w:val="single" w:color="D2D7CE" w:sz="4"/>
            </w:tcBorders>
            <w:tcMar>
              <w:top w:type="dxa" w:w="160"/>
              <w:left w:type="dxa" w:w="200"/>
              <w:bottom w:type="dxa" w:w="160"/>
              <w:right w:type="dxa" w:w="200"/>
            </w:tcMar>
          </w:tcPr>
          <w:p>
            <w:pPr>
              <w:keepNext w:val="false"/>
              <w:spacing w:after="70" w:before="0" w:line="264" w:lineRule="auto"/>
            </w:pPr>
            <w:r>
              <w:rPr>
                <w:rFonts w:ascii="Consolas" w:cs="Consolas" w:eastAsia="Consolas" w:hAnsi="Consolas"/>
                <w:b/>
                <w:bCs/>
                <w:i w:val="false"/>
                <w:iCs w:val="false"/>
                <w:caps w:val="false"/>
                <w:color w:val="1F5F6B"/>
                <w:spacing w:val="14"/>
                <w:sz w:val="16"/>
                <w:szCs w:val="16"/>
              </w:rPr>
              <w:t xml:space="preserve">H2.5 · REPLICATION</w:t>
            </w:r>
          </w:p>
          <w:p>
            <w:pPr>
              <w:keepNext w:val="false"/>
              <w:spacing w:after="120" w:before="0" w:line="264" w:lineRule="auto"/>
            </w:pPr>
            <w:r>
              <w:rPr>
                <w:rFonts w:ascii="Calibri" w:cs="Calibri" w:eastAsia="Calibri" w:hAnsi="Calibri"/>
                <w:b w:val="false"/>
                <w:bCs w:val="false"/>
                <w:i w:val="false"/>
                <w:iCs w:val="false"/>
                <w:caps w:val="false"/>
                <w:color w:val="141918"/>
                <w:sz w:val="21"/>
                <w:szCs w:val="21"/>
              </w:rPr>
              <w:t xml:space="preserve">The sign of the rules-versus-hybrid verdict is preserved on CERT r4.2 scenarios 2 and 3 under scenario-appropriate rule sets.</w:t>
            </w:r>
          </w:p>
          <w:p>
            <w:pPr>
              <w:keepNext w:val="false"/>
              <w:spacing w:after="70" w:before="0" w:line="264" w:lineRule="auto"/>
            </w:pPr>
            <w:r>
              <w:rPr>
                <w:rFonts w:ascii="Consolas" w:cs="Consolas" w:eastAsia="Consolas" w:hAnsi="Consolas"/>
                <w:b/>
                <w:bCs/>
                <w:i w:val="false"/>
                <w:iCs w:val="false"/>
                <w:caps/>
                <w:color w:val="6B7478"/>
                <w:spacing w:val="12"/>
                <w:sz w:val="15"/>
                <w:szCs w:val="15"/>
              </w:rPr>
              <w:t xml:space="preserve">Tests  </w:t>
            </w:r>
            <w:r>
              <w:rPr>
                <w:rFonts w:ascii="Calibri" w:cs="Calibri" w:eastAsia="Calibri" w:hAnsi="Calibri"/>
                <w:b w:val="false"/>
                <w:bCs w:val="false"/>
                <w:i w:val="false"/>
                <w:iCs w:val="false"/>
                <w:caps w:val="false"/>
                <w:color w:val="3C4547"/>
                <w:sz w:val="20"/>
                <w:szCs w:val="20"/>
              </w:rPr>
              <w:t xml:space="preserve">RQ5</w:t>
            </w:r>
          </w:p>
          <w:p>
            <w:pPr>
              <w:keepNext w:val="false"/>
              <w:spacing w:after="70" w:before="0" w:line="264" w:lineRule="auto"/>
            </w:pPr>
            <w:r>
              <w:rPr>
                <w:rFonts w:ascii="Consolas" w:cs="Consolas" w:eastAsia="Consolas" w:hAnsi="Consolas"/>
                <w:b/>
                <w:bCs/>
                <w:i w:val="false"/>
                <w:iCs w:val="false"/>
                <w:caps/>
                <w:color w:val="6B7478"/>
                <w:spacing w:val="12"/>
                <w:sz w:val="15"/>
                <w:szCs w:val="15"/>
              </w:rPr>
              <w:t xml:space="preserve">Measured by  </w:t>
            </w:r>
            <w:r>
              <w:rPr>
                <w:rFonts w:ascii="Calibri" w:cs="Calibri" w:eastAsia="Calibri" w:hAnsi="Calibri"/>
                <w:b w:val="false"/>
                <w:bCs w:val="false"/>
                <w:i w:val="false"/>
                <w:iCs w:val="false"/>
                <w:caps w:val="false"/>
                <w:color w:val="3C4547"/>
                <w:sz w:val="20"/>
                <w:szCs w:val="20"/>
              </w:rPr>
              <w:t xml:space="preserve">Sign agreement on Δ precision@5% across three scenarios, multiplicity-corrected.</w:t>
            </w:r>
          </w:p>
          <w:p>
            <w:pPr>
              <w:keepNext w:val="false"/>
              <w:spacing w:after="70" w:before="0" w:line="264" w:lineRule="auto"/>
            </w:pPr>
            <w:r>
              <w:rPr>
                <w:rFonts w:ascii="Consolas" w:cs="Consolas" w:eastAsia="Consolas" w:hAnsi="Consolas"/>
                <w:b/>
                <w:bCs/>
                <w:i w:val="false"/>
                <w:iCs w:val="false"/>
                <w:caps/>
                <w:color w:val="6B7478"/>
                <w:spacing w:val="12"/>
                <w:sz w:val="15"/>
                <w:szCs w:val="15"/>
              </w:rPr>
              <w:t xml:space="preserve">Disconfirmed if  </w:t>
            </w:r>
            <w:r>
              <w:rPr>
                <w:rFonts w:ascii="Calibri" w:cs="Calibri" w:eastAsia="Calibri" w:hAnsi="Calibri"/>
                <w:b w:val="false"/>
                <w:bCs w:val="false"/>
                <w:i w:val="false"/>
                <w:iCs w:val="false"/>
                <w:caps w:val="false"/>
                <w:color w:val="3C4547"/>
                <w:sz w:val="20"/>
                <w:szCs w:val="20"/>
              </w:rPr>
              <w:t xml:space="preserve">The verdict flips by scenario — itself a publishable boundary condition on when hybrid scoring is worth building.</w:t>
            </w:r>
          </w:p>
        </w:tc>
      </w:tr>
    </w:tbl>
    <w:p>
      <w:pPr>
        <w:pStyle w:val="Heading1"/>
        <w:keepNext/>
        <w:pBdr>
          <w:top w:val="single" w:color="141918" w:sz="10" w:space="10"/>
        </w:pBdr>
        <w:spacing w:after="40" w:before="420"/>
      </w:pPr>
      <w:r>
        <w:rPr>
          <w:rFonts w:ascii="Consolas" w:cs="Consolas" w:eastAsia="Consolas" w:hAnsi="Consolas"/>
          <w:b/>
          <w:bCs/>
          <w:i w:val="false"/>
          <w:iCs w:val="false"/>
          <w:caps w:val="false"/>
          <w:color w:val="1F5F6B"/>
          <w:sz w:val="22"/>
          <w:szCs w:val="22"/>
        </w:rPr>
        <w:t xml:space="preserve">§ 5   </w:t>
      </w:r>
      <w:r>
        <w:rPr>
          <w:rFonts w:ascii="Georgia" w:cs="Georgia" w:eastAsia="Georgia" w:hAnsi="Georgia"/>
          <w:b/>
          <w:bCs/>
          <w:i w:val="false"/>
          <w:iCs w:val="false"/>
          <w:caps w:val="false"/>
          <w:color w:val="141918"/>
          <w:sz w:val="27"/>
          <w:szCs w:val="27"/>
        </w:rPr>
        <w:t xml:space="preserve">Comparators</w:t>
      </w:r>
    </w:p>
    <w:p>
      <w:pPr>
        <w:keepNext w:val="false"/>
        <w:spacing w:after="160" w:before="0" w:line="264" w:lineRule="auto"/>
      </w:pPr>
      <w:r>
        <w:rPr>
          <w:rFonts w:ascii="Calibri" w:cs="Calibri" w:eastAsia="Calibri" w:hAnsi="Calibri"/>
          <w:b w:val="false"/>
          <w:bCs w:val="false"/>
          <w:i w:val="false"/>
          <w:iCs w:val="false"/>
          <w:caps w:val="false"/>
          <w:color w:val="3C4547"/>
          <w:sz w:val="21"/>
          <w:szCs w:val="21"/>
        </w:rPr>
        <w:t xml:space="preserve">Seven rankers, spanning a floor and a ceiling so that every reported difference can be read against the range actually available on this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680"/>
        <w:gridCol w:w="4680"/>
      </w:tblGrid>
      <w:tr>
        <w:trPr>
          <w:tblHeader/>
        </w:trPr>
        <w:tc>
          <w:tcPr>
            <w:tcW w:type="dxa" w:w="1000"/>
            <w:tcBorders>
              <w:top w:val="single" w:color="D2D7CE" w:sz="4"/>
              <w:left w:val="single" w:color="D2D7CE" w:sz="4"/>
              <w:bottom w:val="single" w:color="D2D7CE" w:sz="4"/>
              <w:right w:val="single" w:color="D2D7CE" w:sz="4"/>
            </w:tcBorders>
            <w:shd w:fill="EDEFEA" w:color="auto" w:val="clear"/>
            <w:tcMar>
              <w:top w:type="dxa" w:w="100"/>
              <w:left w:type="dxa" w:w="130"/>
              <w:bottom w:type="dxa" w:w="100"/>
              <w:right w:type="dxa" w:w="130"/>
            </w:tcMar>
          </w:tcPr>
          <w:p>
            <w:pPr>
              <w:keepNext w:val="false"/>
              <w:spacing w:after="0" w:before="0" w:line="264" w:lineRule="auto"/>
            </w:pPr>
            <w:r>
              <w:rPr>
                <w:rFonts w:ascii="Consolas" w:cs="Consolas" w:eastAsia="Consolas" w:hAnsi="Consolas"/>
                <w:b/>
                <w:bCs/>
                <w:i w:val="false"/>
                <w:iCs w:val="false"/>
                <w:caps/>
                <w:color w:val="6B7478"/>
                <w:spacing w:val="14"/>
                <w:sz w:val="15"/>
                <w:szCs w:val="15"/>
              </w:rPr>
              <w:t xml:space="preserve">Ranker</w:t>
            </w:r>
          </w:p>
        </w:tc>
        <w:tc>
          <w:tcPr>
            <w:tcW w:type="dxa" w:w="3680"/>
            <w:tcBorders>
              <w:top w:val="single" w:color="D2D7CE" w:sz="4"/>
              <w:left w:val="single" w:color="D2D7CE" w:sz="4"/>
              <w:bottom w:val="single" w:color="D2D7CE" w:sz="4"/>
              <w:right w:val="single" w:color="D2D7CE" w:sz="4"/>
            </w:tcBorders>
            <w:shd w:fill="EDEFEA" w:color="auto" w:val="clear"/>
            <w:tcMar>
              <w:top w:type="dxa" w:w="100"/>
              <w:left w:type="dxa" w:w="130"/>
              <w:bottom w:type="dxa" w:w="100"/>
              <w:right w:type="dxa" w:w="130"/>
            </w:tcMar>
          </w:tcPr>
          <w:p>
            <w:pPr>
              <w:keepNext w:val="false"/>
              <w:spacing w:after="0" w:before="0" w:line="264" w:lineRule="auto"/>
            </w:pPr>
            <w:r>
              <w:rPr>
                <w:rFonts w:ascii="Consolas" w:cs="Consolas" w:eastAsia="Consolas" w:hAnsi="Consolas"/>
                <w:b/>
                <w:bCs/>
                <w:i w:val="false"/>
                <w:iCs w:val="false"/>
                <w:caps/>
                <w:color w:val="6B7478"/>
                <w:spacing w:val="14"/>
                <w:sz w:val="15"/>
                <w:szCs w:val="15"/>
              </w:rPr>
              <w:t xml:space="preserve">Definition</w:t>
            </w:r>
          </w:p>
        </w:tc>
        <w:tc>
          <w:tcPr>
            <w:tcW w:type="dxa" w:w="4680"/>
            <w:tcBorders>
              <w:top w:val="single" w:color="D2D7CE" w:sz="4"/>
              <w:left w:val="single" w:color="D2D7CE" w:sz="4"/>
              <w:bottom w:val="single" w:color="D2D7CE" w:sz="4"/>
              <w:right w:val="single" w:color="D2D7CE" w:sz="4"/>
            </w:tcBorders>
            <w:shd w:fill="EDEFEA" w:color="auto" w:val="clear"/>
            <w:tcMar>
              <w:top w:type="dxa" w:w="100"/>
              <w:left w:type="dxa" w:w="130"/>
              <w:bottom w:type="dxa" w:w="100"/>
              <w:right w:type="dxa" w:w="130"/>
            </w:tcMar>
          </w:tcPr>
          <w:p>
            <w:pPr>
              <w:keepNext w:val="false"/>
              <w:spacing w:after="0" w:before="0" w:line="264" w:lineRule="auto"/>
            </w:pPr>
            <w:r>
              <w:rPr>
                <w:rFonts w:ascii="Consolas" w:cs="Consolas" w:eastAsia="Consolas" w:hAnsi="Consolas"/>
                <w:b/>
                <w:bCs/>
                <w:i w:val="false"/>
                <w:iCs w:val="false"/>
                <w:caps/>
                <w:color w:val="6B7478"/>
                <w:spacing w:val="14"/>
                <w:sz w:val="15"/>
                <w:szCs w:val="15"/>
              </w:rPr>
              <w:t xml:space="preserve">Role</w:t>
            </w:r>
          </w:p>
        </w:tc>
      </w:tr>
      <w:tr>
        <w:trPr>
          <w:cantSplit/>
        </w:trPr>
        <w:tc>
          <w:tcPr>
            <w:tcW w:type="dxa" w:w="100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onsolas" w:cs="Consolas" w:eastAsia="Consolas" w:hAnsi="Consolas"/>
                <w:b/>
                <w:bCs/>
                <w:i w:val="false"/>
                <w:iCs w:val="false"/>
                <w:caps w:val="false"/>
                <w:color w:val="141918"/>
                <w:sz w:val="19"/>
                <w:szCs w:val="19"/>
              </w:rPr>
              <w:t xml:space="preserve">R0</w:t>
            </w:r>
          </w:p>
        </w:tc>
        <w:tc>
          <w:tcPr>
            <w:tcW w:type="dxa" w:w="368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Random ordering of the alert pool</w:t>
            </w:r>
          </w:p>
        </w:tc>
        <w:tc>
          <w:tcPr>
            <w:tcW w:type="dxa" w:w="468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Floor. Fixes the base rate any ranker must beat.</w:t>
            </w:r>
          </w:p>
        </w:tc>
      </w:tr>
      <w:tr>
        <w:trPr>
          <w:cantSplit/>
        </w:trPr>
        <w:tc>
          <w:tcPr>
            <w:tcW w:type="dxa" w:w="100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onsolas" w:cs="Consolas" w:eastAsia="Consolas" w:hAnsi="Consolas"/>
                <w:b/>
                <w:bCs/>
                <w:i w:val="false"/>
                <w:iCs w:val="false"/>
                <w:caps w:val="false"/>
                <w:color w:val="141918"/>
                <w:sz w:val="19"/>
                <w:szCs w:val="19"/>
              </w:rPr>
              <w:t xml:space="preserve">R1</w:t>
            </w:r>
          </w:p>
        </w:tc>
        <w:tc>
          <w:tcPr>
            <w:tcW w:type="dxa" w:w="368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Rule score only, applied to the model’s pool (</w:t>
            </w:r>
            <w:r>
              <w:rPr>
                <w:rFonts w:ascii="Consolas" w:cs="Consolas" w:eastAsia="Consolas" w:hAnsi="Consolas"/>
                <w:b w:val="false"/>
                <w:bCs w:val="false"/>
                <w:i w:val="false"/>
                <w:iCs w:val="false"/>
                <w:caps w:val="false"/>
                <w:color w:val="1F5F6B"/>
                <w:sz w:val="17"/>
                <w:szCs w:val="17"/>
              </w:rPr>
              <w:t xml:space="preserve">w</w:t>
            </w:r>
            <w:r>
              <w:rPr>
                <w:rFonts w:ascii="Calibri" w:cs="Calibri" w:eastAsia="Calibri" w:hAnsi="Calibri"/>
                <w:b w:val="false"/>
                <w:bCs w:val="false"/>
                <w:i w:val="false"/>
                <w:iCs w:val="false"/>
                <w:caps w:val="false"/>
                <w:color w:val="3C4547"/>
                <w:sz w:val="19"/>
                <w:szCs w:val="19"/>
              </w:rPr>
              <w:t xml:space="preserve"> = 0)</w:t>
            </w:r>
          </w:p>
        </w:tc>
        <w:tc>
          <w:tcPr>
            <w:tcW w:type="dxa" w:w="468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bCs/>
                <w:i w:val="false"/>
                <w:iCs w:val="false"/>
                <w:caps w:val="false"/>
                <w:color w:val="141918"/>
                <w:sz w:val="19"/>
                <w:szCs w:val="19"/>
              </w:rPr>
              <w:t xml:space="preserve">The missing comparator.</w:t>
            </w:r>
            <w:r>
              <w:rPr>
                <w:rFonts w:ascii="Calibri" w:cs="Calibri" w:eastAsia="Calibri" w:hAnsi="Calibri"/>
                <w:b w:val="false"/>
                <w:bCs w:val="false"/>
                <w:i w:val="false"/>
                <w:iCs w:val="false"/>
                <w:caps w:val="false"/>
                <w:color w:val="3C4547"/>
                <w:sz w:val="19"/>
                <w:szCs w:val="19"/>
              </w:rPr>
              <w:t xml:space="preserve"> Pool-conditional baseline for RQ1.</w:t>
            </w:r>
          </w:p>
        </w:tc>
      </w:tr>
      <w:tr>
        <w:trPr>
          <w:cantSplit/>
        </w:trPr>
        <w:tc>
          <w:tcPr>
            <w:tcW w:type="dxa" w:w="100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onsolas" w:cs="Consolas" w:eastAsia="Consolas" w:hAnsi="Consolas"/>
                <w:b/>
                <w:bCs/>
                <w:i w:val="false"/>
                <w:iCs w:val="false"/>
                <w:caps w:val="false"/>
                <w:color w:val="141918"/>
                <w:sz w:val="19"/>
                <w:szCs w:val="19"/>
              </w:rPr>
              <w:t xml:space="preserve">R2</w:t>
            </w:r>
          </w:p>
        </w:tc>
        <w:tc>
          <w:tcPr>
            <w:tcW w:type="dxa" w:w="368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Anomaly score only (</w:t>
            </w:r>
            <w:r>
              <w:rPr>
                <w:rFonts w:ascii="Consolas" w:cs="Consolas" w:eastAsia="Consolas" w:hAnsi="Consolas"/>
                <w:b w:val="false"/>
                <w:bCs w:val="false"/>
                <w:i w:val="false"/>
                <w:iCs w:val="false"/>
                <w:caps w:val="false"/>
                <w:color w:val="1F5F6B"/>
                <w:sz w:val="17"/>
                <w:szCs w:val="17"/>
              </w:rPr>
              <w:t xml:space="preserve">w</w:t>
            </w:r>
            <w:r>
              <w:rPr>
                <w:rFonts w:ascii="Calibri" w:cs="Calibri" w:eastAsia="Calibri" w:hAnsi="Calibri"/>
                <w:b w:val="false"/>
                <w:bCs w:val="false"/>
                <w:i w:val="false"/>
                <w:iCs w:val="false"/>
                <w:caps w:val="false"/>
                <w:color w:val="3C4547"/>
                <w:sz w:val="19"/>
                <w:szCs w:val="19"/>
              </w:rPr>
              <w:t xml:space="preserve"> = 1)</w:t>
            </w:r>
          </w:p>
        </w:tc>
        <w:tc>
          <w:tcPr>
            <w:tcW w:type="dxa" w:w="468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P2’s reported baseline — the 38.89% figure.</w:t>
            </w:r>
          </w:p>
        </w:tc>
      </w:tr>
      <w:tr>
        <w:trPr>
          <w:cantSplit/>
        </w:trPr>
        <w:tc>
          <w:tcPr>
            <w:tcW w:type="dxa" w:w="100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onsolas" w:cs="Consolas" w:eastAsia="Consolas" w:hAnsi="Consolas"/>
                <w:b/>
                <w:bCs/>
                <w:i w:val="false"/>
                <w:iCs w:val="false"/>
                <w:caps w:val="false"/>
                <w:color w:val="141918"/>
                <w:sz w:val="19"/>
                <w:szCs w:val="19"/>
              </w:rPr>
              <w:t xml:space="preserve">R3</w:t>
            </w:r>
          </w:p>
        </w:tc>
        <w:tc>
          <w:tcPr>
            <w:tcW w:type="dxa" w:w="368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Hybrid at </w:t>
            </w:r>
            <w:r>
              <w:rPr>
                <w:rFonts w:ascii="Consolas" w:cs="Consolas" w:eastAsia="Consolas" w:hAnsi="Consolas"/>
                <w:b w:val="false"/>
                <w:bCs w:val="false"/>
                <w:i w:val="false"/>
                <w:iCs w:val="false"/>
                <w:caps w:val="false"/>
                <w:color w:val="1F5F6B"/>
                <w:sz w:val="17"/>
                <w:szCs w:val="17"/>
              </w:rPr>
              <w:t xml:space="preserve">w</w:t>
            </w:r>
            <w:r>
              <w:rPr>
                <w:rFonts w:ascii="Calibri" w:cs="Calibri" w:eastAsia="Calibri" w:hAnsi="Calibri"/>
                <w:b w:val="false"/>
                <w:bCs w:val="false"/>
                <w:i w:val="false"/>
                <w:iCs w:val="false"/>
                <w:caps w:val="false"/>
                <w:color w:val="3C4547"/>
                <w:sz w:val="19"/>
                <w:szCs w:val="19"/>
              </w:rPr>
              <w:t xml:space="preserve"> = 0.7</w:t>
            </w:r>
          </w:p>
        </w:tc>
        <w:tc>
          <w:tcPr>
            <w:tcW w:type="dxa" w:w="468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P2’s reported configuration — the 100% figure.</w:t>
            </w:r>
          </w:p>
        </w:tc>
      </w:tr>
      <w:tr>
        <w:trPr>
          <w:cantSplit/>
        </w:trPr>
        <w:tc>
          <w:tcPr>
            <w:tcW w:type="dxa" w:w="100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onsolas" w:cs="Consolas" w:eastAsia="Consolas" w:hAnsi="Consolas"/>
                <w:b/>
                <w:bCs/>
                <w:i w:val="false"/>
                <w:iCs w:val="false"/>
                <w:caps w:val="false"/>
                <w:color w:val="141918"/>
                <w:sz w:val="19"/>
                <w:szCs w:val="19"/>
              </w:rPr>
              <w:t xml:space="preserve">R4</w:t>
            </w:r>
          </w:p>
        </w:tc>
        <w:tc>
          <w:tcPr>
            <w:tcW w:type="dxa" w:w="368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Hybrid swept over </w:t>
            </w:r>
            <w:r>
              <w:rPr>
                <w:rFonts w:ascii="Consolas" w:cs="Consolas" w:eastAsia="Consolas" w:hAnsi="Consolas"/>
                <w:b w:val="false"/>
                <w:bCs w:val="false"/>
                <w:i w:val="false"/>
                <w:iCs w:val="false"/>
                <w:caps w:val="false"/>
                <w:color w:val="1F5F6B"/>
                <w:sz w:val="17"/>
                <w:szCs w:val="17"/>
              </w:rPr>
              <w:t xml:space="preserve">w</w:t>
            </w:r>
            <w:r>
              <w:rPr>
                <w:rFonts w:ascii="Calibri" w:cs="Calibri" w:eastAsia="Calibri" w:hAnsi="Calibri"/>
                <w:b w:val="false"/>
                <w:bCs w:val="false"/>
                <w:i w:val="false"/>
                <w:iCs w:val="false"/>
                <w:caps w:val="false"/>
                <w:color w:val="3C4547"/>
                <w:sz w:val="19"/>
                <w:szCs w:val="19"/>
              </w:rPr>
              <w:t xml:space="preserve"> ∈ [0, 1], step 0.05</w:t>
            </w:r>
          </w:p>
        </w:tc>
        <w:tc>
          <w:tcPr>
            <w:tcW w:type="dxa" w:w="468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Robustness surface for RQ3.</w:t>
            </w:r>
          </w:p>
        </w:tc>
      </w:tr>
      <w:tr>
        <w:trPr>
          <w:cantSplit/>
        </w:trPr>
        <w:tc>
          <w:tcPr>
            <w:tcW w:type="dxa" w:w="100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onsolas" w:cs="Consolas" w:eastAsia="Consolas" w:hAnsi="Consolas"/>
                <w:b/>
                <w:bCs/>
                <w:i w:val="false"/>
                <w:iCs w:val="false"/>
                <w:caps w:val="false"/>
                <w:color w:val="141918"/>
                <w:sz w:val="19"/>
                <w:szCs w:val="19"/>
              </w:rPr>
              <w:t xml:space="preserve">R5</w:t>
            </w:r>
          </w:p>
        </w:tc>
        <w:tc>
          <w:tcPr>
            <w:tcW w:type="dxa" w:w="368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Rules as an independent detector </w:t>
            </w:r>
            <w:r>
              <w:rPr>
                <w:rFonts w:ascii="Calibri" w:cs="Calibri" w:eastAsia="Calibri" w:hAnsi="Calibri"/>
                <w:b/>
                <w:bCs/>
                <w:i w:val="false"/>
                <w:iCs w:val="false"/>
                <w:caps w:val="false"/>
                <w:color w:val="141918"/>
                <w:sz w:val="19"/>
                <w:szCs w:val="19"/>
              </w:rPr>
              <w:t xml:space="preserve">and</w:t>
            </w:r>
            <w:r>
              <w:rPr>
                <w:rFonts w:ascii="Calibri" w:cs="Calibri" w:eastAsia="Calibri" w:hAnsi="Calibri"/>
                <w:b w:val="false"/>
                <w:bCs w:val="false"/>
                <w:i w:val="false"/>
                <w:iCs w:val="false"/>
                <w:caps w:val="false"/>
                <w:color w:val="3C4547"/>
                <w:sz w:val="19"/>
                <w:szCs w:val="19"/>
              </w:rPr>
              <w:t xml:space="preserve"> ranker</w:t>
            </w:r>
          </w:p>
        </w:tc>
        <w:tc>
          <w:tcPr>
            <w:tcW w:type="dxa" w:w="468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End-to-end baseline for RQ2. The architecture-level comparison.</w:t>
            </w:r>
          </w:p>
        </w:tc>
      </w:tr>
      <w:tr>
        <w:trPr>
          <w:cantSplit/>
        </w:trPr>
        <w:tc>
          <w:tcPr>
            <w:tcW w:type="dxa" w:w="100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onsolas" w:cs="Consolas" w:eastAsia="Consolas" w:hAnsi="Consolas"/>
                <w:b/>
                <w:bCs/>
                <w:i w:val="false"/>
                <w:iCs w:val="false"/>
                <w:caps w:val="false"/>
                <w:color w:val="141918"/>
                <w:sz w:val="19"/>
                <w:szCs w:val="19"/>
              </w:rPr>
              <w:t xml:space="preserve">R6</w:t>
            </w:r>
          </w:p>
        </w:tc>
        <w:tc>
          <w:tcPr>
            <w:tcW w:type="dxa" w:w="368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Oracle ordering (all true positives first)</w:t>
            </w:r>
          </w:p>
        </w:tc>
        <w:tc>
          <w:tcPr>
            <w:tcW w:type="dxa" w:w="468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Ceiling. Normalises how much headroom any ranker could have won.</w:t>
            </w:r>
          </w:p>
        </w:tc>
      </w:tr>
    </w:tbl>
    <w:p>
      <w:pPr>
        <w:keepNext w:val="false"/>
        <w:spacing w:after="140" w:before="0" w:line="264" w:lineRule="auto"/>
      </w:pPr>
      <w:r>
        <w:rPr>
          <w:rFonts w:ascii="Calibri" w:cs="Calibri" w:eastAsia="Calibri" w:hAnsi="Calibri"/>
          <w:b w:val="false"/>
          <w:bCs w:val="false"/>
          <w:i w:val="false"/>
          <w:iCs w:val="false"/>
          <w:caps w:val="false"/>
          <w:color w:val="3C4547"/>
          <w:sz w:val="21"/>
          <w:szCs w:val="21"/>
        </w:rPr>
        <w:t xml:space="preserve"/>
      </w:r>
    </w:p>
    <w:p>
      <w:pPr>
        <w:keepNext w:val="false"/>
        <w:spacing w:after="160" w:before="0" w:line="264" w:lineRule="auto"/>
      </w:pPr>
      <w:r>
        <w:rPr>
          <w:rFonts w:ascii="Calibri" w:cs="Calibri" w:eastAsia="Calibri" w:hAnsi="Calibri"/>
          <w:b w:val="false"/>
          <w:bCs w:val="false"/>
          <w:i w:val="false"/>
          <w:iCs w:val="false"/>
          <w:caps w:val="false"/>
          <w:color w:val="3C4547"/>
          <w:sz w:val="21"/>
          <w:szCs w:val="21"/>
        </w:rPr>
        <w:t xml:space="preserve">R1 and R5 are both run in a flag-ablated variant with </w:t>
      </w:r>
      <w:r>
        <w:rPr>
          <w:rFonts w:ascii="Consolas" w:cs="Consolas" w:eastAsia="Consolas" w:hAnsi="Consolas"/>
          <w:b w:val="false"/>
          <w:bCs w:val="false"/>
          <w:i w:val="false"/>
          <w:iCs w:val="false"/>
          <w:caps w:val="false"/>
          <w:color w:val="1F5F6B"/>
          <w:sz w:val="19"/>
          <w:szCs w:val="19"/>
        </w:rPr>
        <w:t xml:space="preserve">wikileaks_flag</w:t>
      </w:r>
      <w:r>
        <w:rPr>
          <w:rFonts w:ascii="Calibri" w:cs="Calibri" w:eastAsia="Calibri" w:hAnsi="Calibri"/>
          <w:b w:val="false"/>
          <w:bCs w:val="false"/>
          <w:i w:val="false"/>
          <w:iCs w:val="false"/>
          <w:caps w:val="false"/>
          <w:color w:val="3C4547"/>
          <w:sz w:val="21"/>
          <w:szCs w:val="21"/>
        </w:rPr>
        <w:t xml:space="preserve"> removed, giving the difference-in-differences design that H2.4 requires.</w:t>
      </w:r>
    </w:p>
    <w:p>
      <w:pPr>
        <w:pStyle w:val="Heading1"/>
        <w:keepNext/>
        <w:pBdr>
          <w:top w:val="single" w:color="141918" w:sz="10" w:space="10"/>
        </w:pBdr>
        <w:spacing w:after="40" w:before="420"/>
      </w:pPr>
      <w:r>
        <w:rPr>
          <w:rFonts w:ascii="Consolas" w:cs="Consolas" w:eastAsia="Consolas" w:hAnsi="Consolas"/>
          <w:b/>
          <w:bCs/>
          <w:i w:val="false"/>
          <w:iCs w:val="false"/>
          <w:caps w:val="false"/>
          <w:color w:val="1F5F6B"/>
          <w:sz w:val="22"/>
          <w:szCs w:val="22"/>
        </w:rPr>
        <w:t xml:space="preserve">§ 6   </w:t>
      </w:r>
      <w:r>
        <w:rPr>
          <w:rFonts w:ascii="Georgia" w:cs="Georgia" w:eastAsia="Georgia" w:hAnsi="Georgia"/>
          <w:b/>
          <w:bCs/>
          <w:i w:val="false"/>
          <w:iCs w:val="false"/>
          <w:caps w:val="false"/>
          <w:color w:val="141918"/>
          <w:sz w:val="27"/>
          <w:szCs w:val="27"/>
        </w:rPr>
        <w:t xml:space="preserve">Metrics and endpoints</w:t>
      </w:r>
    </w:p>
    <w:p>
      <w:pPr>
        <w:keepNext w:val="false"/>
        <w:spacing w:after="160" w:before="0" w:line="264" w:lineRule="auto"/>
      </w:pPr>
      <w:r>
        <w:rPr>
          <w:rFonts w:ascii="Calibri" w:cs="Calibri" w:eastAsia="Calibri" w:hAnsi="Calibri"/>
          <w:b w:val="false"/>
          <w:bCs w:val="false"/>
          <w:i w:val="false"/>
          <w:iCs w:val="false"/>
          <w:caps w:val="false"/>
          <w:color w:val="3C4547"/>
          <w:sz w:val="21"/>
          <w:szCs w:val="21"/>
        </w:rPr>
        <w:t xml:space="preserve">The metric suite is P2's own, which is what makes this a direct comparison rather than a new evaluation. One change of emphasis is deliberate and should be argued explicitly to the committee.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2D7CE" w:sz="4"/>
              <w:left w:val="single" w:color="6E5A0F" w:sz="18"/>
              <w:bottom w:val="single" w:color="D2D7CE" w:sz="4"/>
              <w:right w:val="single" w:color="D2D7CE" w:sz="4"/>
            </w:tcBorders>
            <w:tcMar>
              <w:top w:type="dxa" w:w="160"/>
              <w:left w:type="dxa" w:w="200"/>
              <w:bottom w:type="dxa" w:w="160"/>
              <w:right w:type="dxa" w:w="200"/>
            </w:tcMar>
          </w:tcPr>
          <w:p>
            <w:pPr>
              <w:keepNext w:val="false"/>
              <w:spacing w:after="80" w:before="0" w:line="264" w:lineRule="auto"/>
            </w:pPr>
            <w:r>
              <w:rPr>
                <w:rFonts w:ascii="Consolas" w:cs="Consolas" w:eastAsia="Consolas" w:hAnsi="Consolas"/>
                <w:b/>
                <w:bCs/>
                <w:i w:val="false"/>
                <w:iCs w:val="false"/>
                <w:caps/>
                <w:color w:val="6E5A0F"/>
                <w:spacing w:val="14"/>
                <w:sz w:val="15"/>
                <w:szCs w:val="15"/>
              </w:rPr>
              <w:t xml:space="preserve">Why the primary endpoint moves to 5%</w:t>
            </w:r>
          </w:p>
          <w:p>
            <w:pPr>
              <w:keepNext w:val="false"/>
              <w:spacing w:after="0" w:before="0" w:line="264" w:lineRule="auto"/>
            </w:pPr>
            <w:r>
              <w:rPr>
                <w:rFonts w:ascii="Calibri" w:cs="Calibri" w:eastAsia="Calibri" w:hAnsi="Calibri"/>
                <w:b w:val="false"/>
                <w:bCs w:val="false"/>
                <w:i w:val="false"/>
                <w:iCs w:val="false"/>
                <w:caps w:val="false"/>
                <w:color w:val="3C4547"/>
                <w:sz w:val="20"/>
                <w:szCs w:val="20"/>
              </w:rPr>
              <w:t xml:space="preserve">P2's headline sits at the top 1% — an 18-alert band. A proportion estimated on 18 items carries a confidence interval roughly ±20 percentage points wide, which cannot support an inferential claim in either direction. Precision@1% is therefore retained as a reproduction endpoint under RQ0, where matching the reported value is the goal, and precision@5% (a 92-alert band, closer to a realistic daily triage budget) becomes the primary inferential endpoint. Reporting the 1% band as descriptive and inferring at 5% is more defensible than doing statistics on 18 alerts.</w:t>
            </w:r>
          </w:p>
        </w:tc>
      </w:tr>
    </w:tbl>
    <w:p>
      <w:pPr>
        <w:keepNext w:val="false"/>
        <w:spacing w:after="160" w:before="0" w:line="264" w:lineRule="auto"/>
      </w:pPr>
      <w:r>
        <w:rPr>
          <w:rFonts w:ascii="Calibri" w:cs="Calibri" w:eastAsia="Calibri" w:hAnsi="Calibri"/>
          <w:b w:val="false"/>
          <w:bCs w:val="false"/>
          <w:i w:val="false"/>
          <w:iCs w:val="false"/>
          <w:caps w:val="false"/>
          <w:color w:val="3C4547"/>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60"/>
        <w:gridCol w:w="2300"/>
      </w:tblGrid>
      <w:tr>
        <w:trPr>
          <w:tblHeader/>
        </w:trPr>
        <w:tc>
          <w:tcPr>
            <w:tcW w:type="dxa" w:w="2500"/>
            <w:tcBorders>
              <w:top w:val="single" w:color="D2D7CE" w:sz="4"/>
              <w:left w:val="single" w:color="D2D7CE" w:sz="4"/>
              <w:bottom w:val="single" w:color="D2D7CE" w:sz="4"/>
              <w:right w:val="single" w:color="D2D7CE" w:sz="4"/>
            </w:tcBorders>
            <w:shd w:fill="EDEFEA" w:color="auto" w:val="clear"/>
            <w:tcMar>
              <w:top w:type="dxa" w:w="100"/>
              <w:left w:type="dxa" w:w="130"/>
              <w:bottom w:type="dxa" w:w="100"/>
              <w:right w:type="dxa" w:w="130"/>
            </w:tcMar>
          </w:tcPr>
          <w:p>
            <w:pPr>
              <w:keepNext w:val="false"/>
              <w:spacing w:after="0" w:before="0" w:line="264" w:lineRule="auto"/>
            </w:pPr>
            <w:r>
              <w:rPr>
                <w:rFonts w:ascii="Consolas" w:cs="Consolas" w:eastAsia="Consolas" w:hAnsi="Consolas"/>
                <w:b/>
                <w:bCs/>
                <w:i w:val="false"/>
                <w:iCs w:val="false"/>
                <w:caps/>
                <w:color w:val="6B7478"/>
                <w:spacing w:val="14"/>
                <w:sz w:val="15"/>
                <w:szCs w:val="15"/>
              </w:rPr>
              <w:t xml:space="preserve">Metric</w:t>
            </w:r>
          </w:p>
        </w:tc>
        <w:tc>
          <w:tcPr>
            <w:tcW w:type="dxa" w:w="4560"/>
            <w:tcBorders>
              <w:top w:val="single" w:color="D2D7CE" w:sz="4"/>
              <w:left w:val="single" w:color="D2D7CE" w:sz="4"/>
              <w:bottom w:val="single" w:color="D2D7CE" w:sz="4"/>
              <w:right w:val="single" w:color="D2D7CE" w:sz="4"/>
            </w:tcBorders>
            <w:shd w:fill="EDEFEA" w:color="auto" w:val="clear"/>
            <w:tcMar>
              <w:top w:type="dxa" w:w="100"/>
              <w:left w:type="dxa" w:w="130"/>
              <w:bottom w:type="dxa" w:w="100"/>
              <w:right w:type="dxa" w:w="130"/>
            </w:tcMar>
          </w:tcPr>
          <w:p>
            <w:pPr>
              <w:keepNext w:val="false"/>
              <w:spacing w:after="0" w:before="0" w:line="264" w:lineRule="auto"/>
            </w:pPr>
            <w:r>
              <w:rPr>
                <w:rFonts w:ascii="Consolas" w:cs="Consolas" w:eastAsia="Consolas" w:hAnsi="Consolas"/>
                <w:b/>
                <w:bCs/>
                <w:i w:val="false"/>
                <w:iCs w:val="false"/>
                <w:caps/>
                <w:color w:val="6B7478"/>
                <w:spacing w:val="14"/>
                <w:sz w:val="15"/>
                <w:szCs w:val="15"/>
              </w:rPr>
              <w:t xml:space="preserve">Definition</w:t>
            </w:r>
          </w:p>
        </w:tc>
        <w:tc>
          <w:tcPr>
            <w:tcW w:type="dxa" w:w="2300"/>
            <w:tcBorders>
              <w:top w:val="single" w:color="D2D7CE" w:sz="4"/>
              <w:left w:val="single" w:color="D2D7CE" w:sz="4"/>
              <w:bottom w:val="single" w:color="D2D7CE" w:sz="4"/>
              <w:right w:val="single" w:color="D2D7CE" w:sz="4"/>
            </w:tcBorders>
            <w:shd w:fill="EDEFEA" w:color="auto" w:val="clear"/>
            <w:tcMar>
              <w:top w:type="dxa" w:w="100"/>
              <w:left w:type="dxa" w:w="130"/>
              <w:bottom w:type="dxa" w:w="100"/>
              <w:right w:type="dxa" w:w="130"/>
            </w:tcMar>
          </w:tcPr>
          <w:p>
            <w:pPr>
              <w:keepNext w:val="false"/>
              <w:spacing w:after="0" w:before="0" w:line="264" w:lineRule="auto"/>
            </w:pPr>
            <w:r>
              <w:rPr>
                <w:rFonts w:ascii="Consolas" w:cs="Consolas" w:eastAsia="Consolas" w:hAnsi="Consolas"/>
                <w:b/>
                <w:bCs/>
                <w:i w:val="false"/>
                <w:iCs w:val="false"/>
                <w:caps/>
                <w:color w:val="6B7478"/>
                <w:spacing w:val="14"/>
                <w:sz w:val="15"/>
                <w:szCs w:val="15"/>
              </w:rPr>
              <w:t xml:space="preserve">Status</w:t>
            </w:r>
          </w:p>
        </w:tc>
      </w:tr>
      <w:tr>
        <w:trPr>
          <w:cantSplit/>
        </w:trPr>
        <w:tc>
          <w:tcPr>
            <w:tcW w:type="dxa" w:w="250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Precision@5%</w:t>
            </w:r>
          </w:p>
        </w:tc>
        <w:tc>
          <w:tcPr>
            <w:tcW w:type="dxa" w:w="456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Top 92 of 1,842 alerts</w:t>
            </w:r>
          </w:p>
        </w:tc>
        <w:tc>
          <w:tcPr>
            <w:tcW w:type="dxa" w:w="230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bCs/>
                <w:i w:val="false"/>
                <w:iCs w:val="false"/>
                <w:caps w:val="false"/>
                <w:color w:val="141918"/>
                <w:sz w:val="19"/>
                <w:szCs w:val="19"/>
              </w:rPr>
              <w:t xml:space="preserve">Primary</w:t>
            </w:r>
          </w:p>
        </w:tc>
      </w:tr>
      <w:tr>
        <w:trPr>
          <w:cantSplit/>
        </w:trPr>
        <w:tc>
          <w:tcPr>
            <w:tcW w:type="dxa" w:w="250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Precision@1%</w:t>
            </w:r>
          </w:p>
        </w:tc>
        <w:tc>
          <w:tcPr>
            <w:tcW w:type="dxa" w:w="456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Top 18 alerts</w:t>
            </w:r>
          </w:p>
        </w:tc>
        <w:tc>
          <w:tcPr>
            <w:tcW w:type="dxa" w:w="230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bCs/>
                <w:i w:val="false"/>
                <w:iCs w:val="false"/>
                <w:caps w:val="false"/>
                <w:color w:val="141918"/>
                <w:sz w:val="19"/>
                <w:szCs w:val="19"/>
              </w:rPr>
              <w:t xml:space="preserve">Reproduction</w:t>
            </w:r>
          </w:p>
        </w:tc>
      </w:tr>
      <w:tr>
        <w:trPr>
          <w:cantSplit/>
        </w:trPr>
        <w:tc>
          <w:tcPr>
            <w:tcW w:type="dxa" w:w="250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Precision@2%, @10%</w:t>
            </w:r>
          </w:p>
        </w:tc>
        <w:tc>
          <w:tcPr>
            <w:tcW w:type="dxa" w:w="456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Top 36, top 184</w:t>
            </w:r>
          </w:p>
        </w:tc>
        <w:tc>
          <w:tcPr>
            <w:tcW w:type="dxa" w:w="230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Secondary</w:t>
            </w:r>
          </w:p>
        </w:tc>
      </w:tr>
      <w:tr>
        <w:trPr>
          <w:cantSplit/>
        </w:trPr>
        <w:tc>
          <w:tcPr>
            <w:tcW w:type="dxa" w:w="250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Precision@k absolute</w:t>
            </w:r>
          </w:p>
        </w:tc>
        <w:tc>
          <w:tcPr>
            <w:tcW w:type="dxa" w:w="456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k ∈ {10, 25, 50, 100}</w:t>
            </w:r>
          </w:p>
        </w:tc>
        <w:tc>
          <w:tcPr>
            <w:tcW w:type="dxa" w:w="230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Secondary</w:t>
            </w:r>
          </w:p>
        </w:tc>
      </w:tr>
      <w:tr>
        <w:trPr>
          <w:cantSplit/>
        </w:trPr>
        <w:tc>
          <w:tcPr>
            <w:tcW w:type="dxa" w:w="250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Recall@budget</w:t>
            </w:r>
          </w:p>
        </w:tc>
        <w:tc>
          <w:tcPr>
            <w:tcW w:type="dxa" w:w="456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Share of the 85 malicious user-days surfaced within budget</w:t>
            </w:r>
          </w:p>
        </w:tc>
        <w:tc>
          <w:tcPr>
            <w:tcW w:type="dxa" w:w="230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bCs/>
                <w:i w:val="false"/>
                <w:iCs w:val="false"/>
                <w:caps w:val="false"/>
                <w:color w:val="141918"/>
                <w:sz w:val="19"/>
                <w:szCs w:val="19"/>
              </w:rPr>
              <w:t xml:space="preserve">Co-primary, RQ2</w:t>
            </w:r>
          </w:p>
        </w:tc>
      </w:tr>
      <w:tr>
        <w:trPr>
          <w:cantSplit/>
        </w:trPr>
        <w:tc>
          <w:tcPr>
            <w:tcW w:type="dxa" w:w="250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PR-AUC</w:t>
            </w:r>
          </w:p>
        </w:tc>
        <w:tc>
          <w:tcPr>
            <w:tcW w:type="dxa" w:w="456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Over the full ranked queue</w:t>
            </w:r>
          </w:p>
        </w:tc>
        <w:tc>
          <w:tcPr>
            <w:tcW w:type="dxa" w:w="230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Secondary</w:t>
            </w:r>
          </w:p>
        </w:tc>
      </w:tr>
      <w:tr>
        <w:trPr>
          <w:cantSplit/>
        </w:trPr>
        <w:tc>
          <w:tcPr>
            <w:tcW w:type="dxa" w:w="250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Mean average precision</w:t>
            </w:r>
          </w:p>
        </w:tc>
        <w:tc>
          <w:tcPr>
            <w:tcW w:type="dxa" w:w="456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Rank-sensitive summary across the whole queue</w:t>
            </w:r>
          </w:p>
        </w:tc>
        <w:tc>
          <w:tcPr>
            <w:tcW w:type="dxa" w:w="230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Secondary</w:t>
            </w:r>
          </w:p>
        </w:tc>
      </w:tr>
      <w:tr>
        <w:trPr>
          <w:cantSplit/>
        </w:trPr>
        <w:tc>
          <w:tcPr>
            <w:tcW w:type="dxa" w:w="250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Tie mass</w:t>
            </w:r>
          </w:p>
        </w:tc>
        <w:tc>
          <w:tcPr>
            <w:tcW w:type="dxa" w:w="456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Alerts sharing a score at each band boundary</w:t>
            </w:r>
          </w:p>
        </w:tc>
        <w:tc>
          <w:tcPr>
            <w:tcW w:type="dxa" w:w="230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Diagnostic</w:t>
            </w:r>
          </w:p>
        </w:tc>
      </w:tr>
      <w:tr>
        <w:trPr>
          <w:cantSplit/>
        </w:trPr>
        <w:tc>
          <w:tcPr>
            <w:tcW w:type="dxa" w:w="250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Seed dispersion</w:t>
            </w:r>
          </w:p>
        </w:tc>
        <w:tc>
          <w:tcPr>
            <w:tcW w:type="dxa" w:w="456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SD of each endpoint across 30 seeds</w:t>
            </w:r>
          </w:p>
        </w:tc>
        <w:tc>
          <w:tcPr>
            <w:tcW w:type="dxa" w:w="230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Diagnostic</w:t>
            </w:r>
          </w:p>
        </w:tc>
      </w:tr>
    </w:tbl>
    <w:p>
      <w:pPr>
        <w:keepNext w:val="false"/>
        <w:spacing w:after="140" w:before="0" w:line="264" w:lineRule="auto"/>
      </w:pPr>
      <w:r>
        <w:rPr>
          <w:rFonts w:ascii="Calibri" w:cs="Calibri" w:eastAsia="Calibri" w:hAnsi="Calibri"/>
          <w:b w:val="false"/>
          <w:bCs w:val="false"/>
          <w:i w:val="false"/>
          <w:iCs w:val="false"/>
          <w:caps w:val="false"/>
          <w:color w:val="3C4547"/>
          <w:sz w:val="21"/>
          <w:szCs w:val="21"/>
        </w:rPr>
        <w:t xml:space="preserve"/>
      </w:r>
    </w:p>
    <w:p>
      <w:pPr>
        <w:keepNext w:val="false"/>
        <w:spacing w:after="160" w:before="0" w:line="264" w:lineRule="auto"/>
      </w:pPr>
      <w:r>
        <w:rPr>
          <w:rFonts w:ascii="Calibri" w:cs="Calibri" w:eastAsia="Calibri" w:hAnsi="Calibri"/>
          <w:b w:val="false"/>
          <w:bCs w:val="false"/>
          <w:i w:val="false"/>
          <w:iCs w:val="false"/>
          <w:caps w:val="false"/>
          <w:color w:val="3C4547"/>
          <w:sz w:val="21"/>
          <w:szCs w:val="21"/>
        </w:rPr>
        <w:t xml:space="preserve">ROC-AUC is reported for continuity with P2's Tables II–III but is not used for inference: at a 1:3,800 class ratio it is dominated by the negative class, and it was already the metric that made LOF look competitive on ranking while its PR-AUC sat at 0.069.</w:t>
      </w:r>
    </w:p>
    <w:p>
      <w:pPr>
        <w:pStyle w:val="Heading1"/>
        <w:keepNext/>
        <w:pBdr>
          <w:top w:val="single" w:color="141918" w:sz="10" w:space="10"/>
        </w:pBdr>
        <w:spacing w:after="40" w:before="420"/>
      </w:pPr>
      <w:r>
        <w:rPr>
          <w:rFonts w:ascii="Consolas" w:cs="Consolas" w:eastAsia="Consolas" w:hAnsi="Consolas"/>
          <w:b/>
          <w:bCs/>
          <w:i w:val="false"/>
          <w:iCs w:val="false"/>
          <w:caps w:val="false"/>
          <w:color w:val="1F5F6B"/>
          <w:sz w:val="22"/>
          <w:szCs w:val="22"/>
        </w:rPr>
        <w:t xml:space="preserve">§ 7   </w:t>
      </w:r>
      <w:r>
        <w:rPr>
          <w:rFonts w:ascii="Georgia" w:cs="Georgia" w:eastAsia="Georgia" w:hAnsi="Georgia"/>
          <w:b/>
          <w:bCs/>
          <w:i w:val="false"/>
          <w:iCs w:val="false"/>
          <w:caps w:val="false"/>
          <w:color w:val="141918"/>
          <w:sz w:val="27"/>
          <w:szCs w:val="27"/>
        </w:rPr>
        <w:t xml:space="preserve">Analysis plan</w:t>
      </w:r>
    </w:p>
    <w:p>
      <w:pPr>
        <w:keepNext w:val="false"/>
        <w:spacing w:after="160" w:before="0" w:line="264" w:lineRule="auto"/>
      </w:pPr>
      <w:r>
        <w:rPr>
          <w:rFonts w:ascii="Calibri" w:cs="Calibri" w:eastAsia="Calibri" w:hAnsi="Calibri"/>
          <w:b w:val="false"/>
          <w:bCs w:val="false"/>
          <w:i w:val="false"/>
          <w:iCs w:val="false"/>
          <w:caps w:val="false"/>
          <w:color w:val="3C4547"/>
          <w:sz w:val="21"/>
          <w:szCs w:val="21"/>
        </w:rPr>
        <w:t xml:space="preserve">Five commitments, fixed and time-stamped before any test-partition analysis is run. Each closes a specific route by which a positive result could be manufactured.</w:t>
      </w:r>
    </w:p>
    <w:p>
      <w:pPr>
        <w:pStyle w:val="Heading2"/>
        <w:keepNext/>
        <w:spacing w:after="60" w:before="260"/>
      </w:pPr>
      <w:r>
        <w:rPr>
          <w:rFonts w:ascii="Calibri" w:cs="Calibri" w:eastAsia="Calibri" w:hAnsi="Calibri"/>
          <w:b/>
          <w:bCs/>
          <w:i w:val="false"/>
          <w:iCs w:val="false"/>
          <w:caps w:val="false"/>
          <w:color w:val="141918"/>
          <w:sz w:val="21"/>
          <w:szCs w:val="21"/>
        </w:rPr>
        <w:t xml:space="preserve">Resampling is clustered at the user, not the user-day</w:t>
      </w:r>
    </w:p>
    <w:p>
      <w:pPr>
        <w:keepNext w:val="false"/>
        <w:spacing w:after="160" w:before="0" w:line="264" w:lineRule="auto"/>
      </w:pPr>
      <w:r>
        <w:rPr>
          <w:rFonts w:ascii="Calibri" w:cs="Calibri" w:eastAsia="Calibri" w:hAnsi="Calibri"/>
          <w:b w:val="false"/>
          <w:bCs w:val="false"/>
          <w:i w:val="false"/>
          <w:iCs w:val="false"/>
          <w:caps w:val="false"/>
          <w:color w:val="3C4547"/>
          <w:sz w:val="21"/>
          <w:szCs w:val="21"/>
        </w:rPr>
        <w:t xml:space="preserve">Days belonging to one user are not independent observations — a single malicious insider contributes many correlated malicious days. Bootstrap resampling is therefore done over the 960 users, 10,000 replicates, with bias-corrected and accelerated intervals. Resampling rows would understate every interval in the study, including P2's implied ones.</w:t>
      </w:r>
    </w:p>
    <w:p>
      <w:pPr>
        <w:pStyle w:val="Heading2"/>
        <w:keepNext/>
        <w:spacing w:after="60" w:before="260"/>
      </w:pPr>
      <w:r>
        <w:rPr>
          <w:rFonts w:ascii="Calibri" w:cs="Calibri" w:eastAsia="Calibri" w:hAnsi="Calibri"/>
          <w:b/>
          <w:bCs/>
          <w:i w:val="false"/>
          <w:iCs w:val="false"/>
          <w:caps w:val="false"/>
          <w:color w:val="141918"/>
          <w:sz w:val="21"/>
          <w:szCs w:val="21"/>
        </w:rPr>
        <w:t xml:space="preserve">Comparisons are paired within resample</w:t>
      </w:r>
    </w:p>
    <w:p>
      <w:pPr>
        <w:keepNext w:val="false"/>
        <w:spacing w:after="160" w:before="0" w:line="264" w:lineRule="auto"/>
      </w:pPr>
      <w:r>
        <w:rPr>
          <w:rFonts w:ascii="Calibri" w:cs="Calibri" w:eastAsia="Calibri" w:hAnsi="Calibri"/>
          <w:b w:val="false"/>
          <w:bCs w:val="false"/>
          <w:i w:val="false"/>
          <w:iCs w:val="false"/>
          <w:caps w:val="false"/>
          <w:color w:val="3C4547"/>
          <w:sz w:val="21"/>
          <w:szCs w:val="21"/>
        </w:rPr>
        <w:t xml:space="preserve">Both rankers are scored on the identical resample and Δ is computed inside it, so the confidence interval is on the difference rather than on two independently noisy estimates. This is what makes a 5-percentage-point margin detectable at all at this sample size.</w:t>
      </w:r>
    </w:p>
    <w:p>
      <w:pPr>
        <w:pStyle w:val="Heading2"/>
        <w:keepNext/>
        <w:spacing w:after="60" w:before="260"/>
      </w:pPr>
      <w:r>
        <w:rPr>
          <w:rFonts w:ascii="Calibri" w:cs="Calibri" w:eastAsia="Calibri" w:hAnsi="Calibri"/>
          <w:b/>
          <w:bCs/>
          <w:i w:val="false"/>
          <w:iCs w:val="false"/>
          <w:caps w:val="false"/>
          <w:color w:val="141918"/>
          <w:sz w:val="21"/>
          <w:szCs w:val="21"/>
        </w:rPr>
        <w:t xml:space="preserve">Ties are handled explicitly, not incidentally</w:t>
      </w:r>
    </w:p>
    <w:p>
      <w:pPr>
        <w:keepNext w:val="false"/>
        <w:spacing w:after="160" w:before="0" w:line="264" w:lineRule="auto"/>
      </w:pPr>
      <w:r>
        <w:rPr>
          <w:rFonts w:ascii="Calibri" w:cs="Calibri" w:eastAsia="Calibri" w:hAnsi="Calibri"/>
          <w:b w:val="false"/>
          <w:bCs w:val="false"/>
          <w:i w:val="false"/>
          <w:iCs w:val="false"/>
          <w:caps w:val="false"/>
          <w:color w:val="3C4547"/>
          <w:sz w:val="21"/>
          <w:szCs w:val="21"/>
        </w:rPr>
        <w:t xml:space="preserve">A rule score built from a handful of binary flags produces large groups of identically scored alerts, and top-band precision then depends on an arbitrary sort order. The reported statistic is expected precision under random tie-breaking, averaged over 1,000 within-group permutations, accompanied by best-case and worst-case bounds. A comparison whose verdict flips between those bounds is reported as indeterminate rather than resolved.</w:t>
      </w:r>
    </w:p>
    <w:p>
      <w:pPr>
        <w:pStyle w:val="Heading2"/>
        <w:keepNext/>
        <w:spacing w:after="60" w:before="260"/>
      </w:pPr>
      <w:r>
        <w:rPr>
          <w:rFonts w:ascii="Calibri" w:cs="Calibri" w:eastAsia="Calibri" w:hAnsi="Calibri"/>
          <w:b/>
          <w:bCs/>
          <w:i w:val="false"/>
          <w:iCs w:val="false"/>
          <w:caps w:val="false"/>
          <w:color w:val="141918"/>
          <w:sz w:val="21"/>
          <w:szCs w:val="21"/>
        </w:rPr>
        <w:t xml:space="preserve">Stochasticity is measured, not suppressed</w:t>
      </w:r>
    </w:p>
    <w:p>
      <w:pPr>
        <w:keepNext w:val="false"/>
        <w:spacing w:after="160" w:before="0" w:line="264" w:lineRule="auto"/>
      </w:pPr>
      <w:r>
        <w:rPr>
          <w:rFonts w:ascii="Calibri" w:cs="Calibri" w:eastAsia="Calibri" w:hAnsi="Calibri"/>
          <w:b w:val="false"/>
          <w:bCs w:val="false"/>
          <w:i w:val="false"/>
          <w:iCs w:val="false"/>
          <w:caps w:val="false"/>
          <w:color w:val="3C4547"/>
          <w:sz w:val="21"/>
          <w:szCs w:val="21"/>
        </w:rPr>
        <w:t xml:space="preserve">Every Isolation Forest configuration is fit under 30 random seeds; endpoints are reported as a mean with a seed-dispersion interval alongside the bootstrap interval. If P2's 100% proves to be seed-dependent, that alone is a finding worth reporting.</w:t>
      </w:r>
    </w:p>
    <w:p>
      <w:pPr>
        <w:pStyle w:val="Heading2"/>
        <w:keepNext/>
        <w:spacing w:after="60" w:before="260"/>
      </w:pPr>
      <w:r>
        <w:rPr>
          <w:rFonts w:ascii="Calibri" w:cs="Calibri" w:eastAsia="Calibri" w:hAnsi="Calibri"/>
          <w:b/>
          <w:bCs/>
          <w:i w:val="false"/>
          <w:iCs w:val="false"/>
          <w:caps w:val="false"/>
          <w:color w:val="141918"/>
          <w:sz w:val="21"/>
          <w:szCs w:val="21"/>
        </w:rPr>
        <w:t xml:space="preserve">Equivalence is tested, multiplicity is corrected</w:t>
      </w:r>
    </w:p>
    <w:p>
      <w:pPr>
        <w:keepNext w:val="false"/>
        <w:spacing w:after="160" w:before="0" w:line="264" w:lineRule="auto"/>
      </w:pPr>
      <w:r>
        <w:rPr>
          <w:rFonts w:ascii="Calibri" w:cs="Calibri" w:eastAsia="Calibri" w:hAnsi="Calibri"/>
          <w:b w:val="false"/>
          <w:bCs w:val="false"/>
          <w:i w:val="false"/>
          <w:iCs w:val="false"/>
          <w:caps w:val="false"/>
          <w:color w:val="3C4547"/>
          <w:sz w:val="21"/>
          <w:szCs w:val="21"/>
        </w:rPr>
        <w:t xml:space="preserve">Claims of “no difference” use two one-sided tests against ±δ, never the absence of a significance star. The family of secondary bands and the three scenarios are corrected by Benjamini–Hochberg at q = .05; the single pre-specified primary endpoint is not corrected.</w:t>
      </w:r>
    </w:p>
    <w:p>
      <w:pPr>
        <w:pStyle w:val="Heading1"/>
        <w:keepNext/>
        <w:pBdr>
          <w:top w:val="single" w:color="141918" w:sz="10" w:space="10"/>
        </w:pBdr>
        <w:spacing w:after="40" w:before="420"/>
      </w:pPr>
      <w:r>
        <w:rPr>
          <w:rFonts w:ascii="Consolas" w:cs="Consolas" w:eastAsia="Consolas" w:hAnsi="Consolas"/>
          <w:b/>
          <w:bCs/>
          <w:i w:val="false"/>
          <w:iCs w:val="false"/>
          <w:caps w:val="false"/>
          <w:color w:val="1F5F6B"/>
          <w:sz w:val="22"/>
          <w:szCs w:val="22"/>
        </w:rPr>
        <w:t xml:space="preserve">§ 8   </w:t>
      </w:r>
      <w:r>
        <w:rPr>
          <w:rFonts w:ascii="Georgia" w:cs="Georgia" w:eastAsia="Georgia" w:hAnsi="Georgia"/>
          <w:b/>
          <w:bCs/>
          <w:i w:val="false"/>
          <w:iCs w:val="false"/>
          <w:caps w:val="false"/>
          <w:color w:val="141918"/>
          <w:sz w:val="27"/>
          <w:szCs w:val="27"/>
        </w:rPr>
        <w:t xml:space="preserve">Threats to validity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030"/>
        <w:gridCol w:w="4030"/>
      </w:tblGrid>
      <w:tr>
        <w:trPr>
          <w:tblHeader/>
        </w:trPr>
        <w:tc>
          <w:tcPr>
            <w:tcW w:type="dxa" w:w="1300"/>
            <w:tcBorders>
              <w:top w:val="single" w:color="D2D7CE" w:sz="4"/>
              <w:left w:val="single" w:color="D2D7CE" w:sz="4"/>
              <w:bottom w:val="single" w:color="D2D7CE" w:sz="4"/>
              <w:right w:val="single" w:color="D2D7CE" w:sz="4"/>
            </w:tcBorders>
            <w:shd w:fill="EDEFEA" w:color="auto" w:val="clear"/>
            <w:tcMar>
              <w:top w:type="dxa" w:w="100"/>
              <w:left w:type="dxa" w:w="130"/>
              <w:bottom w:type="dxa" w:w="100"/>
              <w:right w:type="dxa" w:w="130"/>
            </w:tcMar>
          </w:tcPr>
          <w:p>
            <w:pPr>
              <w:keepNext w:val="false"/>
              <w:spacing w:after="0" w:before="0" w:line="264" w:lineRule="auto"/>
            </w:pPr>
            <w:r>
              <w:rPr>
                <w:rFonts w:ascii="Consolas" w:cs="Consolas" w:eastAsia="Consolas" w:hAnsi="Consolas"/>
                <w:b/>
                <w:bCs/>
                <w:i w:val="false"/>
                <w:iCs w:val="false"/>
                <w:caps/>
                <w:color w:val="6B7478"/>
                <w:spacing w:val="14"/>
                <w:sz w:val="15"/>
                <w:szCs w:val="15"/>
              </w:rPr>
              <w:t xml:space="preserve">Type</w:t>
            </w:r>
          </w:p>
        </w:tc>
        <w:tc>
          <w:tcPr>
            <w:tcW w:type="dxa" w:w="4030"/>
            <w:tcBorders>
              <w:top w:val="single" w:color="D2D7CE" w:sz="4"/>
              <w:left w:val="single" w:color="D2D7CE" w:sz="4"/>
              <w:bottom w:val="single" w:color="D2D7CE" w:sz="4"/>
              <w:right w:val="single" w:color="D2D7CE" w:sz="4"/>
            </w:tcBorders>
            <w:shd w:fill="EDEFEA" w:color="auto" w:val="clear"/>
            <w:tcMar>
              <w:top w:type="dxa" w:w="100"/>
              <w:left w:type="dxa" w:w="130"/>
              <w:bottom w:type="dxa" w:w="100"/>
              <w:right w:type="dxa" w:w="130"/>
            </w:tcMar>
          </w:tcPr>
          <w:p>
            <w:pPr>
              <w:keepNext w:val="false"/>
              <w:spacing w:after="0" w:before="0" w:line="264" w:lineRule="auto"/>
            </w:pPr>
            <w:r>
              <w:rPr>
                <w:rFonts w:ascii="Consolas" w:cs="Consolas" w:eastAsia="Consolas" w:hAnsi="Consolas"/>
                <w:b/>
                <w:bCs/>
                <w:i w:val="false"/>
                <w:iCs w:val="false"/>
                <w:caps/>
                <w:color w:val="6B7478"/>
                <w:spacing w:val="14"/>
                <w:sz w:val="15"/>
                <w:szCs w:val="15"/>
              </w:rPr>
              <w:t xml:space="preserve">Threat</w:t>
            </w:r>
          </w:p>
        </w:tc>
        <w:tc>
          <w:tcPr>
            <w:tcW w:type="dxa" w:w="4030"/>
            <w:tcBorders>
              <w:top w:val="single" w:color="D2D7CE" w:sz="4"/>
              <w:left w:val="single" w:color="D2D7CE" w:sz="4"/>
              <w:bottom w:val="single" w:color="D2D7CE" w:sz="4"/>
              <w:right w:val="single" w:color="D2D7CE" w:sz="4"/>
            </w:tcBorders>
            <w:shd w:fill="EDEFEA" w:color="auto" w:val="clear"/>
            <w:tcMar>
              <w:top w:type="dxa" w:w="100"/>
              <w:left w:type="dxa" w:w="130"/>
              <w:bottom w:type="dxa" w:w="100"/>
              <w:right w:type="dxa" w:w="130"/>
            </w:tcMar>
          </w:tcPr>
          <w:p>
            <w:pPr>
              <w:keepNext w:val="false"/>
              <w:spacing w:after="0" w:before="0" w:line="264" w:lineRule="auto"/>
            </w:pPr>
            <w:r>
              <w:rPr>
                <w:rFonts w:ascii="Consolas" w:cs="Consolas" w:eastAsia="Consolas" w:hAnsi="Consolas"/>
                <w:b/>
                <w:bCs/>
                <w:i w:val="false"/>
                <w:iCs w:val="false"/>
                <w:caps/>
                <w:color w:val="6B7478"/>
                <w:spacing w:val="14"/>
                <w:sz w:val="15"/>
                <w:szCs w:val="15"/>
              </w:rPr>
              <w:t xml:space="preserve">Mitigation</w:t>
            </w:r>
          </w:p>
        </w:tc>
      </w:tr>
      <w:tr>
        <w:trPr>
          <w:cantSplit/>
        </w:trPr>
        <w:tc>
          <w:tcPr>
            <w:tcW w:type="dxa" w:w="130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Construct</w:t>
            </w:r>
          </w:p>
        </w:tc>
        <w:tc>
          <w:tcPr>
            <w:tcW w:type="dxa" w:w="403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Precision on an 18-alert band is too unstable to support inference.</w:t>
            </w:r>
          </w:p>
        </w:tc>
        <w:tc>
          <w:tcPr>
            <w:tcW w:type="dxa" w:w="403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Primary endpoint moved to the 92-alert band; the 1% band is descriptive and reproduction-only.</w:t>
            </w:r>
          </w:p>
        </w:tc>
      </w:tr>
      <w:tr>
        <w:trPr>
          <w:cantSplit/>
        </w:trPr>
        <w:tc>
          <w:tcPr>
            <w:tcW w:type="dxa" w:w="130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Construct</w:t>
            </w:r>
          </w:p>
        </w:tc>
        <w:tc>
          <w:tcPr>
            <w:tcW w:type="dxa" w:w="403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“Rules-only” is not one fixed thing — the verdict depends on which rule sheet is built.</w:t>
            </w:r>
          </w:p>
        </w:tc>
        <w:tc>
          <w:tcPr>
            <w:tcW w:type="dxa" w:w="403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Weights tuned on the training partition by grid search; sensitivity analysis across weightings reported.</w:t>
            </w:r>
          </w:p>
        </w:tc>
      </w:tr>
      <w:tr>
        <w:trPr>
          <w:cantSplit/>
        </w:trPr>
        <w:tc>
          <w:tcPr>
            <w:tcW w:type="dxa" w:w="130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Internal</w:t>
            </w:r>
          </w:p>
        </w:tc>
        <w:tc>
          <w:tcPr>
            <w:tcW w:type="dxa" w:w="403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Comparing rankers on a pool the model selected structurally favours the model.</w:t>
            </w:r>
          </w:p>
        </w:tc>
        <w:tc>
          <w:tcPr>
            <w:tcW w:type="dxa" w:w="403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The end-to-end design (RQ2) lets each system select its own pool at a matched budget.</w:t>
            </w:r>
          </w:p>
        </w:tc>
      </w:tr>
      <w:tr>
        <w:trPr>
          <w:cantSplit/>
        </w:trPr>
        <w:tc>
          <w:tcPr>
            <w:tcW w:type="dxa" w:w="130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Internal</w:t>
            </w:r>
          </w:p>
        </w:tc>
        <w:tc>
          <w:tcPr>
            <w:tcW w:type="dxa" w:w="403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onsolas" w:cs="Consolas" w:eastAsia="Consolas" w:hAnsi="Consolas"/>
                <w:b w:val="false"/>
                <w:bCs w:val="false"/>
                <w:i w:val="false"/>
                <w:iCs w:val="false"/>
                <w:caps w:val="false"/>
                <w:color w:val="1F5F6B"/>
                <w:sz w:val="17"/>
                <w:szCs w:val="17"/>
              </w:rPr>
              <w:t xml:space="preserve">wikileaks_flag</w:t>
            </w:r>
            <w:r>
              <w:rPr>
                <w:rFonts w:ascii="Calibri" w:cs="Calibri" w:eastAsia="Calibri" w:hAnsi="Calibri"/>
                <w:b w:val="false"/>
                <w:bCs w:val="false"/>
                <w:i w:val="false"/>
                <w:iCs w:val="false"/>
                <w:caps w:val="false"/>
                <w:color w:val="3C4547"/>
                <w:sz w:val="19"/>
                <w:szCs w:val="19"/>
              </w:rPr>
              <w:t xml:space="preserve"> approximates the label, making the rule baseline artificially strong.</w:t>
            </w:r>
          </w:p>
        </w:tc>
        <w:tc>
          <w:tcPr>
            <w:tcW w:type="dxa" w:w="403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RQ4's ablation isolates its contribution directly; both rankers are re-run without it.</w:t>
            </w:r>
          </w:p>
        </w:tc>
      </w:tr>
      <w:tr>
        <w:trPr>
          <w:cantSplit/>
        </w:trPr>
        <w:tc>
          <w:tcPr>
            <w:tcW w:type="dxa" w:w="130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Internal</w:t>
            </w:r>
          </w:p>
        </w:tc>
        <w:tc>
          <w:tcPr>
            <w:tcW w:type="dxa" w:w="403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Single-seed results may not be reproducible.</w:t>
            </w:r>
          </w:p>
        </w:tc>
        <w:tc>
          <w:tcPr>
            <w:tcW w:type="dxa" w:w="403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Thirty seeds per configuration; dispersion reported as a first-class result.</w:t>
            </w:r>
          </w:p>
        </w:tc>
      </w:tr>
      <w:tr>
        <w:trPr>
          <w:cantSplit/>
        </w:trPr>
        <w:tc>
          <w:tcPr>
            <w:tcW w:type="dxa" w:w="130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Statistical</w:t>
            </w:r>
          </w:p>
        </w:tc>
        <w:tc>
          <w:tcPr>
            <w:tcW w:type="dxa" w:w="403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Correlated user-days inflate apparent precision; many bands invite selective reporting.</w:t>
            </w:r>
          </w:p>
        </w:tc>
        <w:tc>
          <w:tcPr>
            <w:tcW w:type="dxa" w:w="403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User-level cluster bootstrap; pre-registered endpoints; Benjamini–Hochberg across the secondary family.</w:t>
            </w:r>
          </w:p>
        </w:tc>
      </w:tr>
      <w:tr>
        <w:trPr>
          <w:cantSplit/>
        </w:trPr>
        <w:tc>
          <w:tcPr>
            <w:tcW w:type="dxa" w:w="130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External</w:t>
            </w:r>
          </w:p>
        </w:tc>
        <w:tc>
          <w:tcPr>
            <w:tcW w:type="dxa" w:w="403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CERT is synthetic. The generator scripted the attacker to do exactly what the rule looks for, so rules may perform better here than they ever could against a real insider.</w:t>
            </w:r>
          </w:p>
        </w:tc>
        <w:tc>
          <w:tcPr>
            <w:tcW w:type="dxa" w:w="403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Cannot be removed — only stated. Framed explicitly in the interpretation below.</w:t>
            </w:r>
          </w:p>
        </w:tc>
      </w:tr>
      <w:tr>
        <w:trPr>
          <w:cantSplit/>
        </w:trPr>
        <w:tc>
          <w:tcPr>
            <w:tcW w:type="dxa" w:w="130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External</w:t>
            </w:r>
          </w:p>
        </w:tc>
        <w:tc>
          <w:tcPr>
            <w:tcW w:type="dxa" w:w="403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One dataset family, one release, one organisation size.</w:t>
            </w:r>
          </w:p>
        </w:tc>
        <w:tc>
          <w:tcPr>
            <w:tcW w:type="dxa" w:w="403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RQ5 replicates the sign of the verdict across scenarios; broader release-level generalisation is H1's job.</w:t>
            </w:r>
          </w:p>
        </w:tc>
      </w:tr>
    </w:tbl>
    <w:p>
      <w:pPr>
        <w:keepNext w:val="false"/>
        <w:spacing w:after="180" w:before="0" w:line="264" w:lineRule="auto"/>
      </w:pPr>
      <w:r>
        <w:rPr>
          <w:rFonts w:ascii="Calibri" w:cs="Calibri" w:eastAsia="Calibri" w:hAnsi="Calibri"/>
          <w:b w:val="false"/>
          <w:bCs w:val="false"/>
          <w:i w:val="false"/>
          <w:iCs w:val="false"/>
          <w:caps w:val="false"/>
          <w:color w:val="3C4547"/>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2D7CE" w:sz="4"/>
              <w:left w:val="single" w:color="6E5A0F" w:sz="18"/>
              <w:bottom w:val="single" w:color="D2D7CE" w:sz="4"/>
              <w:right w:val="single" w:color="D2D7CE" w:sz="4"/>
            </w:tcBorders>
            <w:tcMar>
              <w:top w:type="dxa" w:w="160"/>
              <w:left w:type="dxa" w:w="200"/>
              <w:bottom w:type="dxa" w:w="160"/>
              <w:right w:type="dxa" w:w="200"/>
            </w:tcMar>
          </w:tcPr>
          <w:p>
            <w:pPr>
              <w:keepNext w:val="false"/>
              <w:spacing w:after="80" w:before="0" w:line="264" w:lineRule="auto"/>
            </w:pPr>
            <w:r>
              <w:rPr>
                <w:rFonts w:ascii="Consolas" w:cs="Consolas" w:eastAsia="Consolas" w:hAnsi="Consolas"/>
                <w:b/>
                <w:bCs/>
                <w:i w:val="false"/>
                <w:iCs w:val="false"/>
                <w:caps/>
                <w:color w:val="6E5A0F"/>
                <w:spacing w:val="14"/>
                <w:sz w:val="15"/>
                <w:szCs w:val="15"/>
              </w:rPr>
              <w:t xml:space="preserve">How to read a rules-win result honestly</w:t>
            </w:r>
          </w:p>
          <w:p>
            <w:pPr>
              <w:keepNext w:val="false"/>
              <w:spacing w:after="110" w:before="0" w:line="264" w:lineRule="auto"/>
            </w:pPr>
            <w:r>
              <w:rPr>
                <w:rFonts w:ascii="Calibri" w:cs="Calibri" w:eastAsia="Calibri" w:hAnsi="Calibri"/>
                <w:b w:val="false"/>
                <w:bCs w:val="false"/>
                <w:i w:val="false"/>
                <w:iCs w:val="false"/>
                <w:caps w:val="false"/>
                <w:color w:val="3C4547"/>
                <w:sz w:val="20"/>
                <w:szCs w:val="20"/>
              </w:rPr>
              <w:t xml:space="preserve">If the rules match or beat the hybrid, that indicts the benchmark at least as much as it indicts the method. CERT's malicious days were generated from a script that includes the very behaviour the flag detects, which is a degree of diagnosticity no real exfiltration campaign would offer.</w:t>
            </w:r>
          </w:p>
          <w:p>
            <w:pPr>
              <w:keepNext w:val="false"/>
              <w:spacing w:after="0" w:before="0" w:line="264" w:lineRule="auto"/>
            </w:pPr>
            <w:r>
              <w:rPr>
                <w:rFonts w:ascii="Calibri" w:cs="Calibri" w:eastAsia="Calibri" w:hAnsi="Calibri"/>
                <w:b w:val="false"/>
                <w:bCs w:val="false"/>
                <w:i w:val="false"/>
                <w:iCs w:val="false"/>
                <w:caps w:val="false"/>
                <w:color w:val="3C4547"/>
                <w:sz w:val="20"/>
                <w:szCs w:val="20"/>
              </w:rPr>
              <w:t xml:space="preserve">The defensible conclusion is not “rules are sufficient for insider threat detection” but “on the benchmark the field uses to make this claim, the learned component cannot be shown to add top-band triage value — and the benchmark itself is why the question is hard to settle.” Stating this in advance is what keeps a null result rigorous rather than overreaching.</w:t>
            </w:r>
          </w:p>
        </w:tc>
      </w:tr>
    </w:tbl>
    <w:p>
      <w:pPr>
        <w:pStyle w:val="Heading1"/>
        <w:keepNext/>
        <w:pBdr>
          <w:top w:val="single" w:color="141918" w:sz="10" w:space="10"/>
        </w:pBdr>
        <w:spacing w:after="40" w:before="420"/>
      </w:pPr>
      <w:r>
        <w:rPr>
          <w:rFonts w:ascii="Consolas" w:cs="Consolas" w:eastAsia="Consolas" w:hAnsi="Consolas"/>
          <w:b/>
          <w:bCs/>
          <w:i w:val="false"/>
          <w:iCs w:val="false"/>
          <w:caps w:val="false"/>
          <w:color w:val="1F5F6B"/>
          <w:sz w:val="22"/>
          <w:szCs w:val="22"/>
        </w:rPr>
        <w:t xml:space="preserve">§ 9   </w:t>
      </w:r>
      <w:r>
        <w:rPr>
          <w:rFonts w:ascii="Georgia" w:cs="Georgia" w:eastAsia="Georgia" w:hAnsi="Georgia"/>
          <w:b/>
          <w:bCs/>
          <w:i w:val="false"/>
          <w:iCs w:val="false"/>
          <w:caps w:val="false"/>
          <w:color w:val="141918"/>
          <w:sz w:val="27"/>
          <w:szCs w:val="27"/>
        </w:rPr>
        <w:t xml:space="preserve">Contribution</w:t>
      </w:r>
    </w:p>
    <w:p>
      <w:pPr>
        <w:keepNext w:val="false"/>
        <w:spacing w:after="160" w:before="0" w:line="264" w:lineRule="auto"/>
      </w:pPr>
      <w:r>
        <w:rPr>
          <w:rFonts w:ascii="Calibri" w:cs="Calibri" w:eastAsia="Calibri" w:hAnsi="Calibri"/>
          <w:b w:val="false"/>
          <w:bCs w:val="false"/>
          <w:i w:val="false"/>
          <w:iCs w:val="false"/>
          <w:caps w:val="false"/>
          <w:color w:val="3C4547"/>
          <w:sz w:val="21"/>
          <w:szCs w:val="21"/>
        </w:rPr>
        <w:t xml:space="preserve">The study is designed so that both outcomes are worth defending, which is the property that distinguishes a hypothesis from a demonstration.</w:t>
      </w:r>
    </w:p>
    <w:p>
      <w:pPr>
        <w:pStyle w:val="Heading2"/>
        <w:keepNext/>
        <w:spacing w:after="60" w:before="260"/>
      </w:pPr>
      <w:r>
        <w:rPr>
          <w:rFonts w:ascii="Calibri" w:cs="Calibri" w:eastAsia="Calibri" w:hAnsi="Calibri"/>
          <w:b/>
          <w:bCs/>
          <w:i w:val="false"/>
          <w:iCs w:val="false"/>
          <w:caps w:val="false"/>
          <w:color w:val="141918"/>
          <w:sz w:val="21"/>
          <w:szCs w:val="21"/>
        </w:rPr>
        <w:t xml:space="preserve">If the hybrid wins</w:t>
      </w:r>
    </w:p>
    <w:p>
      <w:pPr>
        <w:keepNext w:val="false"/>
        <w:spacing w:after="160" w:before="0" w:line="264" w:lineRule="auto"/>
      </w:pPr>
      <w:r>
        <w:rPr>
          <w:rFonts w:ascii="Calibri" w:cs="Calibri" w:eastAsia="Calibri" w:hAnsi="Calibri"/>
          <w:b w:val="false"/>
          <w:bCs w:val="false"/>
          <w:i w:val="false"/>
          <w:iCs w:val="false"/>
          <w:caps w:val="false"/>
          <w:color w:val="3C4547"/>
          <w:sz w:val="21"/>
          <w:szCs w:val="21"/>
        </w:rPr>
        <w:t xml:space="preserve">The first baseline-referenced confirmation that adaptive anomaly scoring adds triage value in the band analysts actually work, delivered with the uncertainty quantification the original omits — confidence intervals, seed dispersion, weight robustness and a tuned adversarial baseline. This converts a suggestive single-seed number into a defended claim.</w:t>
      </w:r>
    </w:p>
    <w:p>
      <w:pPr>
        <w:pStyle w:val="Heading2"/>
        <w:keepNext/>
        <w:spacing w:after="60" w:before="260"/>
      </w:pPr>
      <w:r>
        <w:rPr>
          <w:rFonts w:ascii="Calibri" w:cs="Calibri" w:eastAsia="Calibri" w:hAnsi="Calibri"/>
          <w:b/>
          <w:bCs/>
          <w:i w:val="false"/>
          <w:iCs w:val="false"/>
          <w:caps w:val="false"/>
          <w:color w:val="141918"/>
          <w:sz w:val="21"/>
          <w:szCs w:val="21"/>
        </w:rPr>
        <w:t xml:space="preserve">If the rules match</w:t>
      </w:r>
    </w:p>
    <w:p>
      <w:pPr>
        <w:keepNext w:val="false"/>
        <w:spacing w:after="160" w:before="0" w:line="264" w:lineRule="auto"/>
      </w:pPr>
      <w:r>
        <w:rPr>
          <w:rFonts w:ascii="Calibri" w:cs="Calibri" w:eastAsia="Calibri" w:hAnsi="Calibri"/>
          <w:b w:val="false"/>
          <w:bCs w:val="false"/>
          <w:i w:val="false"/>
          <w:iCs w:val="false"/>
          <w:caps w:val="false"/>
          <w:color w:val="3C4547"/>
          <w:sz w:val="21"/>
          <w:szCs w:val="21"/>
        </w:rPr>
        <w:t xml:space="preserve">A decision-relevant negative for an entire architecture class: the flagship triage result is rule-driven, and the retraining, tuning and drift-management costs of the adaptive component are not repaid where the paper claims they are. Negative results against a well-tuned baseline are rare in this literature and are precisely what a practice-oriented doctorate is positioned to deliver.</w:t>
      </w:r>
    </w:p>
    <w:p>
      <w:pPr>
        <w:pStyle w:val="Heading2"/>
        <w:keepNext/>
        <w:spacing w:after="60" w:before="260"/>
      </w:pPr>
      <w:r>
        <w:rPr>
          <w:rFonts w:ascii="Calibri" w:cs="Calibri" w:eastAsia="Calibri" w:hAnsi="Calibri"/>
          <w:b/>
          <w:bCs/>
          <w:i w:val="false"/>
          <w:iCs w:val="false"/>
          <w:caps w:val="false"/>
          <w:color w:val="141918"/>
          <w:sz w:val="21"/>
          <w:szCs w:val="21"/>
        </w:rPr>
        <w:t xml:space="preserve">Either way</w:t>
      </w:r>
    </w:p>
    <w:p>
      <w:pPr>
        <w:keepNext w:val="false"/>
        <w:spacing w:after="160" w:before="0" w:line="264" w:lineRule="auto"/>
      </w:pPr>
      <w:r>
        <w:rPr>
          <w:rFonts w:ascii="Calibri" w:cs="Calibri" w:eastAsia="Calibri" w:hAnsi="Calibri"/>
          <w:b w:val="false"/>
          <w:bCs w:val="false"/>
          <w:i w:val="false"/>
          <w:iCs w:val="false"/>
          <w:caps w:val="false"/>
          <w:color w:val="3C4547"/>
          <w:sz w:val="21"/>
          <w:szCs w:val="21"/>
        </w:rPr>
        <w:t xml:space="preserve">A reusable, pre-registered evaluation protocol for rare-event alert ranking — cluster bootstrapping at the entity level, an explicit tie policy, equivalence testing, and the pool-conditioning control — plus a reproduction artefact for P2 that subsequent work can build on rather than re-derive.</w:t>
      </w:r>
    </w:p>
    <w:p>
      <w:pPr>
        <w:pStyle w:val="Heading1"/>
        <w:keepNext/>
        <w:pBdr>
          <w:top w:val="single" w:color="141918" w:sz="10" w:space="10"/>
        </w:pBdr>
        <w:spacing w:after="40" w:before="420"/>
      </w:pPr>
      <w:r>
        <w:rPr>
          <w:rFonts w:ascii="Consolas" w:cs="Consolas" w:eastAsia="Consolas" w:hAnsi="Consolas"/>
          <w:b/>
          <w:bCs/>
          <w:i w:val="false"/>
          <w:iCs w:val="false"/>
          <w:caps w:val="false"/>
          <w:color w:val="1F5F6B"/>
          <w:sz w:val="22"/>
          <w:szCs w:val="22"/>
        </w:rPr>
        <w:t xml:space="preserve">§ 10   </w:t>
      </w:r>
      <w:r>
        <w:rPr>
          <w:rFonts w:ascii="Georgia" w:cs="Georgia" w:eastAsia="Georgia" w:hAnsi="Georgia"/>
          <w:b/>
          <w:bCs/>
          <w:i w:val="false"/>
          <w:iCs w:val="false"/>
          <w:caps w:val="false"/>
          <w:color w:val="141918"/>
          <w:sz w:val="27"/>
          <w:szCs w:val="27"/>
        </w:rPr>
        <w:t xml:space="preserve">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360"/>
      </w:tblGrid>
      <w:tr>
        <w:trPr>
          <w:tblHeader/>
        </w:trPr>
        <w:tc>
          <w:tcPr>
            <w:tcW w:type="dxa" w:w="700"/>
            <w:tcBorders>
              <w:top w:val="single" w:color="D2D7CE" w:sz="4"/>
              <w:left w:val="single" w:color="D2D7CE" w:sz="4"/>
              <w:bottom w:val="single" w:color="D2D7CE" w:sz="4"/>
              <w:right w:val="single" w:color="D2D7CE" w:sz="4"/>
            </w:tcBorders>
            <w:shd w:fill="EDEFEA" w:color="auto" w:val="clear"/>
            <w:tcMar>
              <w:top w:type="dxa" w:w="100"/>
              <w:left w:type="dxa" w:w="130"/>
              <w:bottom w:type="dxa" w:w="100"/>
              <w:right w:type="dxa" w:w="130"/>
            </w:tcMar>
          </w:tcPr>
          <w:p>
            <w:pPr>
              <w:keepNext w:val="false"/>
              <w:spacing w:after="0" w:before="0" w:line="264" w:lineRule="auto"/>
            </w:pPr>
            <w:r>
              <w:rPr>
                <w:rFonts w:ascii="Consolas" w:cs="Consolas" w:eastAsia="Consolas" w:hAnsi="Consolas"/>
                <w:b/>
                <w:bCs/>
                <w:i w:val="false"/>
                <w:iCs w:val="false"/>
                <w:caps/>
                <w:color w:val="6B7478"/>
                <w:spacing w:val="14"/>
                <w:sz w:val="15"/>
                <w:szCs w:val="15"/>
              </w:rPr>
              <w:t xml:space="preserve"/>
            </w:r>
          </w:p>
        </w:tc>
        <w:tc>
          <w:tcPr>
            <w:tcW w:type="dxa" w:w="2300"/>
            <w:tcBorders>
              <w:top w:val="single" w:color="D2D7CE" w:sz="4"/>
              <w:left w:val="single" w:color="D2D7CE" w:sz="4"/>
              <w:bottom w:val="single" w:color="D2D7CE" w:sz="4"/>
              <w:right w:val="single" w:color="D2D7CE" w:sz="4"/>
            </w:tcBorders>
            <w:shd w:fill="EDEFEA" w:color="auto" w:val="clear"/>
            <w:tcMar>
              <w:top w:type="dxa" w:w="100"/>
              <w:left w:type="dxa" w:w="130"/>
              <w:bottom w:type="dxa" w:w="100"/>
              <w:right w:type="dxa" w:w="130"/>
            </w:tcMar>
          </w:tcPr>
          <w:p>
            <w:pPr>
              <w:keepNext w:val="false"/>
              <w:spacing w:after="0" w:before="0" w:line="264" w:lineRule="auto"/>
            </w:pPr>
            <w:r>
              <w:rPr>
                <w:rFonts w:ascii="Consolas" w:cs="Consolas" w:eastAsia="Consolas" w:hAnsi="Consolas"/>
                <w:b/>
                <w:bCs/>
                <w:i w:val="false"/>
                <w:iCs w:val="false"/>
                <w:caps/>
                <w:color w:val="6B7478"/>
                <w:spacing w:val="14"/>
                <w:sz w:val="15"/>
                <w:szCs w:val="15"/>
              </w:rPr>
              <w:t xml:space="preserve">Phase</w:t>
            </w:r>
          </w:p>
        </w:tc>
        <w:tc>
          <w:tcPr>
            <w:tcW w:type="dxa" w:w="6360"/>
            <w:tcBorders>
              <w:top w:val="single" w:color="D2D7CE" w:sz="4"/>
              <w:left w:val="single" w:color="D2D7CE" w:sz="4"/>
              <w:bottom w:val="single" w:color="D2D7CE" w:sz="4"/>
              <w:right w:val="single" w:color="D2D7CE" w:sz="4"/>
            </w:tcBorders>
            <w:shd w:fill="EDEFEA" w:color="auto" w:val="clear"/>
            <w:tcMar>
              <w:top w:type="dxa" w:w="100"/>
              <w:left w:type="dxa" w:w="130"/>
              <w:bottom w:type="dxa" w:w="100"/>
              <w:right w:type="dxa" w:w="130"/>
            </w:tcMar>
          </w:tcPr>
          <w:p>
            <w:pPr>
              <w:keepNext w:val="false"/>
              <w:spacing w:after="0" w:before="0" w:line="264" w:lineRule="auto"/>
            </w:pPr>
            <w:r>
              <w:rPr>
                <w:rFonts w:ascii="Consolas" w:cs="Consolas" w:eastAsia="Consolas" w:hAnsi="Consolas"/>
                <w:b/>
                <w:bCs/>
                <w:i w:val="false"/>
                <w:iCs w:val="false"/>
                <w:caps/>
                <w:color w:val="6B7478"/>
                <w:spacing w:val="14"/>
                <w:sz w:val="15"/>
                <w:szCs w:val="15"/>
              </w:rPr>
              <w:t xml:space="preserve">What it produces</w:t>
            </w:r>
          </w:p>
        </w:tc>
      </w:tr>
      <w:tr>
        <w:trPr>
          <w:cantSplit/>
        </w:trPr>
        <w:tc>
          <w:tcPr>
            <w:tcW w:type="dxa" w:w="70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onsolas" w:cs="Consolas" w:eastAsia="Consolas" w:hAnsi="Consolas"/>
                <w:b/>
                <w:bCs/>
                <w:i w:val="false"/>
                <w:iCs w:val="false"/>
                <w:caps w:val="false"/>
                <w:color w:val="1F5F6B"/>
                <w:sz w:val="19"/>
                <w:szCs w:val="19"/>
              </w:rPr>
              <w:t xml:space="preserve">01</w:t>
            </w:r>
          </w:p>
        </w:tc>
        <w:tc>
          <w:tcPr>
            <w:tcW w:type="dxa" w:w="230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bCs/>
                <w:i w:val="false"/>
                <w:iCs w:val="false"/>
                <w:caps w:val="false"/>
                <w:color w:val="141918"/>
                <w:sz w:val="19"/>
                <w:szCs w:val="19"/>
              </w:rPr>
              <w:t xml:space="preserve">Reproduction</w:t>
            </w:r>
          </w:p>
        </w:tc>
        <w:tc>
          <w:tcPr>
            <w:tcW w:type="dxa" w:w="636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Rebuild the pipeline: feature engineering, temporal split at 2010-06-30, per-user z-scores, Isolation Forest with per-user 99th-percentile thresholds, Expand-FP-only retraining. Target: recall 0.929, 1,763 false positives, and the Table VI precision profile. Ends with a documented reproduction gap.</w:t>
            </w:r>
          </w:p>
        </w:tc>
      </w:tr>
      <w:tr>
        <w:trPr>
          <w:cantSplit/>
        </w:trPr>
        <w:tc>
          <w:tcPr>
            <w:tcW w:type="dxa" w:w="70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onsolas" w:cs="Consolas" w:eastAsia="Consolas" w:hAnsi="Consolas"/>
                <w:b/>
                <w:bCs/>
                <w:i w:val="false"/>
                <w:iCs w:val="false"/>
                <w:caps w:val="false"/>
                <w:color w:val="1F5F6B"/>
                <w:sz w:val="19"/>
                <w:szCs w:val="19"/>
              </w:rPr>
              <w:t xml:space="preserve">02</w:t>
            </w:r>
          </w:p>
        </w:tc>
        <w:tc>
          <w:tcPr>
            <w:tcW w:type="dxa" w:w="230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bCs/>
                <w:i w:val="false"/>
                <w:iCs w:val="false"/>
                <w:caps w:val="false"/>
                <w:color w:val="141918"/>
                <w:sz w:val="19"/>
                <w:szCs w:val="19"/>
              </w:rPr>
              <w:t xml:space="preserve">Baseline construction</w:t>
            </w:r>
          </w:p>
        </w:tc>
        <w:tc>
          <w:tcPr>
            <w:tcW w:type="dxa" w:w="636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Build and tune the rules-only rankers R1 and R5 on the training partition, fix the tie policy, and lock the pre-registration. Nothing touches the test partition before this point.</w:t>
            </w:r>
          </w:p>
        </w:tc>
      </w:tr>
      <w:tr>
        <w:trPr>
          <w:cantSplit/>
        </w:trPr>
        <w:tc>
          <w:tcPr>
            <w:tcW w:type="dxa" w:w="70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onsolas" w:cs="Consolas" w:eastAsia="Consolas" w:hAnsi="Consolas"/>
                <w:b/>
                <w:bCs/>
                <w:i w:val="false"/>
                <w:iCs w:val="false"/>
                <w:caps w:val="false"/>
                <w:color w:val="1F5F6B"/>
                <w:sz w:val="19"/>
                <w:szCs w:val="19"/>
              </w:rPr>
              <w:t xml:space="preserve">03</w:t>
            </w:r>
          </w:p>
        </w:tc>
        <w:tc>
          <w:tcPr>
            <w:tcW w:type="dxa" w:w="230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bCs/>
                <w:i w:val="false"/>
                <w:iCs w:val="false"/>
                <w:caps w:val="false"/>
                <w:color w:val="141918"/>
                <w:sz w:val="19"/>
                <w:szCs w:val="19"/>
              </w:rPr>
              <w:t xml:space="preserve">Primary comparison</w:t>
            </w:r>
          </w:p>
        </w:tc>
        <w:tc>
          <w:tcPr>
            <w:tcW w:type="dxa" w:w="636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Run RQ1 and RQ2 across 30 seeds with the clustered bootstrap. Produces the study's headline: does the model beat the rules, pool-conditionally and end-to-end.</w:t>
            </w:r>
          </w:p>
        </w:tc>
      </w:tr>
      <w:tr>
        <w:trPr>
          <w:cantSplit/>
        </w:trPr>
        <w:tc>
          <w:tcPr>
            <w:tcW w:type="dxa" w:w="70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onsolas" w:cs="Consolas" w:eastAsia="Consolas" w:hAnsi="Consolas"/>
                <w:b/>
                <w:bCs/>
                <w:i w:val="false"/>
                <w:iCs w:val="false"/>
                <w:caps w:val="false"/>
                <w:color w:val="1F5F6B"/>
                <w:sz w:val="19"/>
                <w:szCs w:val="19"/>
              </w:rPr>
              <w:t xml:space="preserve">04</w:t>
            </w:r>
          </w:p>
        </w:tc>
        <w:tc>
          <w:tcPr>
            <w:tcW w:type="dxa" w:w="230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bCs/>
                <w:i w:val="false"/>
                <w:iCs w:val="false"/>
                <w:caps w:val="false"/>
                <w:color w:val="141918"/>
                <w:sz w:val="19"/>
                <w:szCs w:val="19"/>
              </w:rPr>
              <w:t xml:space="preserve">Robustness and ablation</w:t>
            </w:r>
          </w:p>
        </w:tc>
        <w:tc>
          <w:tcPr>
            <w:tcW w:type="dxa" w:w="636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The </w:t>
            </w:r>
            <w:r>
              <w:rPr>
                <w:rFonts w:ascii="Consolas" w:cs="Consolas" w:eastAsia="Consolas" w:hAnsi="Consolas"/>
                <w:b w:val="false"/>
                <w:bCs w:val="false"/>
                <w:i w:val="false"/>
                <w:iCs w:val="false"/>
                <w:caps w:val="false"/>
                <w:color w:val="1F5F6B"/>
                <w:sz w:val="17"/>
                <w:szCs w:val="17"/>
              </w:rPr>
              <w:t xml:space="preserve">w</w:t>
            </w:r>
            <w:r>
              <w:rPr>
                <w:rFonts w:ascii="Calibri" w:cs="Calibri" w:eastAsia="Calibri" w:hAnsi="Calibri"/>
                <w:b w:val="false"/>
                <w:bCs w:val="false"/>
                <w:i w:val="false"/>
                <w:iCs w:val="false"/>
                <w:caps w:val="false"/>
                <w:color w:val="3C4547"/>
                <w:sz w:val="19"/>
                <w:szCs w:val="19"/>
              </w:rPr>
              <w:t xml:space="preserve">-sweep (RQ3) and the </w:t>
            </w:r>
            <w:r>
              <w:rPr>
                <w:rFonts w:ascii="Consolas" w:cs="Consolas" w:eastAsia="Consolas" w:hAnsi="Consolas"/>
                <w:b w:val="false"/>
                <w:bCs w:val="false"/>
                <w:i w:val="false"/>
                <w:iCs w:val="false"/>
                <w:caps w:val="false"/>
                <w:color w:val="1F5F6B"/>
                <w:sz w:val="17"/>
                <w:szCs w:val="17"/>
              </w:rPr>
              <w:t xml:space="preserve">wikileaks_flag</w:t>
            </w:r>
            <w:r>
              <w:rPr>
                <w:rFonts w:ascii="Calibri" w:cs="Calibri" w:eastAsia="Calibri" w:hAnsi="Calibri"/>
                <w:b w:val="false"/>
                <w:bCs w:val="false"/>
                <w:i w:val="false"/>
                <w:iCs w:val="false"/>
                <w:caps w:val="false"/>
                <w:color w:val="3C4547"/>
                <w:sz w:val="19"/>
                <w:szCs w:val="19"/>
              </w:rPr>
              <w:t xml:space="preserve"> difference-in-differences (RQ4). This is where a positive result either hardens or dissolves.</w:t>
            </w:r>
          </w:p>
        </w:tc>
      </w:tr>
      <w:tr>
        <w:trPr>
          <w:cantSplit/>
        </w:trPr>
        <w:tc>
          <w:tcPr>
            <w:tcW w:type="dxa" w:w="70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onsolas" w:cs="Consolas" w:eastAsia="Consolas" w:hAnsi="Consolas"/>
                <w:b/>
                <w:bCs/>
                <w:i w:val="false"/>
                <w:iCs w:val="false"/>
                <w:caps w:val="false"/>
                <w:color w:val="1F5F6B"/>
                <w:sz w:val="19"/>
                <w:szCs w:val="19"/>
              </w:rPr>
              <w:t xml:space="preserve">05</w:t>
            </w:r>
          </w:p>
        </w:tc>
        <w:tc>
          <w:tcPr>
            <w:tcW w:type="dxa" w:w="230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bCs/>
                <w:i w:val="false"/>
                <w:iCs w:val="false"/>
                <w:caps w:val="false"/>
                <w:color w:val="141918"/>
                <w:sz w:val="19"/>
                <w:szCs w:val="19"/>
              </w:rPr>
              <w:t xml:space="preserve">Replication</w:t>
            </w:r>
          </w:p>
        </w:tc>
        <w:tc>
          <w:tcPr>
            <w:tcW w:type="dxa" w:w="636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Re-derive scenario-appropriate rule sets for IP theft and sabotage and test whether the verdict's sign holds (RQ5).</w:t>
            </w:r>
          </w:p>
        </w:tc>
      </w:tr>
    </w:tbl>
    <w:p>
      <w:pPr>
        <w:pStyle w:val="Heading1"/>
        <w:keepNext/>
        <w:pBdr>
          <w:top w:val="single" w:color="141918" w:sz="10" w:space="10"/>
        </w:pBdr>
        <w:spacing w:after="40" w:before="420"/>
      </w:pPr>
      <w:r>
        <w:rPr>
          <w:rFonts w:ascii="Consolas" w:cs="Consolas" w:eastAsia="Consolas" w:hAnsi="Consolas"/>
          <w:b/>
          <w:bCs/>
          <w:i w:val="false"/>
          <w:iCs w:val="false"/>
          <w:caps w:val="false"/>
          <w:color w:val="1F5F6B"/>
          <w:sz w:val="22"/>
          <w:szCs w:val="22"/>
        </w:rPr>
        <w:t xml:space="preserve">§ 11   </w:t>
      </w:r>
      <w:r>
        <w:rPr>
          <w:rFonts w:ascii="Georgia" w:cs="Georgia" w:eastAsia="Georgia" w:hAnsi="Georgia"/>
          <w:b/>
          <w:bCs/>
          <w:i w:val="false"/>
          <w:iCs w:val="false"/>
          <w:caps w:val="false"/>
          <w:color w:val="141918"/>
          <w:sz w:val="27"/>
          <w:szCs w:val="27"/>
        </w:rPr>
        <w:t xml:space="preserve">Open decisions</w:t>
      </w:r>
    </w:p>
    <w:p>
      <w:pPr>
        <w:keepNext w:val="false"/>
        <w:spacing w:after="160" w:before="0" w:line="264" w:lineRule="auto"/>
      </w:pPr>
      <w:r>
        <w:rPr>
          <w:rFonts w:ascii="Calibri" w:cs="Calibri" w:eastAsia="Calibri" w:hAnsi="Calibri"/>
          <w:b w:val="false"/>
          <w:bCs w:val="false"/>
          <w:i w:val="false"/>
          <w:iCs w:val="false"/>
          <w:caps w:val="false"/>
          <w:color w:val="3C4547"/>
          <w:sz w:val="21"/>
          <w:szCs w:val="21"/>
        </w:rPr>
        <w:t xml:space="preserve">Five choices that change the study and should be settled with the committee before pre-registration, not discovered during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rPr>
          <w:tblHeader/>
        </w:trPr>
        <w:tc>
          <w:tcPr>
            <w:tcW w:type="dxa" w:w="2400"/>
            <w:tcBorders>
              <w:top w:val="single" w:color="D2D7CE" w:sz="4"/>
              <w:left w:val="single" w:color="D2D7CE" w:sz="4"/>
              <w:bottom w:val="single" w:color="D2D7CE" w:sz="4"/>
              <w:right w:val="single" w:color="D2D7CE" w:sz="4"/>
            </w:tcBorders>
            <w:shd w:fill="EDEFEA" w:color="auto" w:val="clear"/>
            <w:tcMar>
              <w:top w:type="dxa" w:w="100"/>
              <w:left w:type="dxa" w:w="130"/>
              <w:bottom w:type="dxa" w:w="100"/>
              <w:right w:type="dxa" w:w="130"/>
            </w:tcMar>
          </w:tcPr>
          <w:p>
            <w:pPr>
              <w:keepNext w:val="false"/>
              <w:spacing w:after="0" w:before="0" w:line="264" w:lineRule="auto"/>
            </w:pPr>
            <w:r>
              <w:rPr>
                <w:rFonts w:ascii="Consolas" w:cs="Consolas" w:eastAsia="Consolas" w:hAnsi="Consolas"/>
                <w:b/>
                <w:bCs/>
                <w:i w:val="false"/>
                <w:iCs w:val="false"/>
                <w:caps/>
                <w:color w:val="6B7478"/>
                <w:spacing w:val="14"/>
                <w:sz w:val="15"/>
                <w:szCs w:val="15"/>
              </w:rPr>
              <w:t xml:space="preserve">Decision</w:t>
            </w:r>
          </w:p>
        </w:tc>
        <w:tc>
          <w:tcPr>
            <w:tcW w:type="dxa" w:w="4160"/>
            <w:tcBorders>
              <w:top w:val="single" w:color="D2D7CE" w:sz="4"/>
              <w:left w:val="single" w:color="D2D7CE" w:sz="4"/>
              <w:bottom w:val="single" w:color="D2D7CE" w:sz="4"/>
              <w:right w:val="single" w:color="D2D7CE" w:sz="4"/>
            </w:tcBorders>
            <w:shd w:fill="EDEFEA" w:color="auto" w:val="clear"/>
            <w:tcMar>
              <w:top w:type="dxa" w:w="100"/>
              <w:left w:type="dxa" w:w="130"/>
              <w:bottom w:type="dxa" w:w="100"/>
              <w:right w:type="dxa" w:w="130"/>
            </w:tcMar>
          </w:tcPr>
          <w:p>
            <w:pPr>
              <w:keepNext w:val="false"/>
              <w:spacing w:after="0" w:before="0" w:line="264" w:lineRule="auto"/>
            </w:pPr>
            <w:r>
              <w:rPr>
                <w:rFonts w:ascii="Consolas" w:cs="Consolas" w:eastAsia="Consolas" w:hAnsi="Consolas"/>
                <w:b/>
                <w:bCs/>
                <w:i w:val="false"/>
                <w:iCs w:val="false"/>
                <w:caps/>
                <w:color w:val="6B7478"/>
                <w:spacing w:val="14"/>
                <w:sz w:val="15"/>
                <w:szCs w:val="15"/>
              </w:rPr>
              <w:t xml:space="preserve">What hangs on it</w:t>
            </w:r>
          </w:p>
        </w:tc>
        <w:tc>
          <w:tcPr>
            <w:tcW w:type="dxa" w:w="2800"/>
            <w:tcBorders>
              <w:top w:val="single" w:color="D2D7CE" w:sz="4"/>
              <w:left w:val="single" w:color="D2D7CE" w:sz="4"/>
              <w:bottom w:val="single" w:color="D2D7CE" w:sz="4"/>
              <w:right w:val="single" w:color="D2D7CE" w:sz="4"/>
            </w:tcBorders>
            <w:shd w:fill="EDEFEA" w:color="auto" w:val="clear"/>
            <w:tcMar>
              <w:top w:type="dxa" w:w="100"/>
              <w:left w:type="dxa" w:w="130"/>
              <w:bottom w:type="dxa" w:w="100"/>
              <w:right w:type="dxa" w:w="130"/>
            </w:tcMar>
          </w:tcPr>
          <w:p>
            <w:pPr>
              <w:keepNext w:val="false"/>
              <w:spacing w:after="0" w:before="0" w:line="264" w:lineRule="auto"/>
            </w:pPr>
            <w:r>
              <w:rPr>
                <w:rFonts w:ascii="Consolas" w:cs="Consolas" w:eastAsia="Consolas" w:hAnsi="Consolas"/>
                <w:b/>
                <w:bCs/>
                <w:i w:val="false"/>
                <w:iCs w:val="false"/>
                <w:caps/>
                <w:color w:val="6B7478"/>
                <w:spacing w:val="14"/>
                <w:sz w:val="15"/>
                <w:szCs w:val="15"/>
              </w:rPr>
              <w:t xml:space="preserve">Recommendation</w:t>
            </w:r>
          </w:p>
        </w:tc>
      </w:tr>
      <w:tr>
        <w:trPr>
          <w:cantSplit/>
        </w:trPr>
        <w:tc>
          <w:tcPr>
            <w:tcW w:type="dxa" w:w="240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bCs/>
                <w:i w:val="false"/>
                <w:iCs w:val="false"/>
                <w:caps w:val="false"/>
                <w:color w:val="141918"/>
                <w:sz w:val="19"/>
                <w:szCs w:val="19"/>
              </w:rPr>
              <w:t xml:space="preserve">Which band is the primary endpoint?</w:t>
            </w:r>
          </w:p>
        </w:tc>
        <w:tc>
          <w:tcPr>
            <w:tcW w:type="dxa" w:w="416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Moving inference from 1% to 5% is statistically sound but visibly departs from the number the base paper is known for, and a committee may read it as moving the goalposts.</w:t>
            </w:r>
          </w:p>
        </w:tc>
        <w:tc>
          <w:tcPr>
            <w:tcW w:type="dxa" w:w="280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5% primary, 1% reported prominently as reproduction, with the interval-width argument made explicitly at the proposal defence.</w:t>
            </w:r>
          </w:p>
        </w:tc>
      </w:tr>
      <w:tr>
        <w:trPr>
          <w:cantSplit/>
        </w:trPr>
        <w:tc>
          <w:tcPr>
            <w:tcW w:type="dxa" w:w="240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bCs/>
                <w:i w:val="false"/>
                <w:iCs w:val="false"/>
                <w:caps w:val="false"/>
                <w:color w:val="141918"/>
                <w:sz w:val="19"/>
                <w:szCs w:val="19"/>
              </w:rPr>
              <w:t xml:space="preserve">How are the rule weights reconstructed?</w:t>
            </w:r>
          </w:p>
        </w:tc>
        <w:tc>
          <w:tcPr>
            <w:tcW w:type="dxa" w:w="416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P2 does not publish them, and this single choice determines the baseline's strength — and therefore the study's answer. Equal weights, grid search on the training partition, or a sensitivity band across many weightings are three defensible options with different risks.</w:t>
            </w:r>
          </w:p>
        </w:tc>
        <w:tc>
          <w:tcPr>
            <w:tcW w:type="dxa" w:w="280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Grid search plus a reported sensitivity band, so the verdict is never contingent on one arbitrary sheet.</w:t>
            </w:r>
          </w:p>
        </w:tc>
      </w:tr>
      <w:tr>
        <w:trPr>
          <w:cantSplit/>
        </w:trPr>
        <w:tc>
          <w:tcPr>
            <w:tcW w:type="dxa" w:w="240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bCs/>
                <w:i w:val="false"/>
                <w:iCs w:val="false"/>
                <w:caps w:val="false"/>
                <w:color w:val="141918"/>
                <w:sz w:val="19"/>
                <w:szCs w:val="19"/>
              </w:rPr>
              <w:t xml:space="preserve">What is the equivalence margin δ?</w:t>
            </w:r>
          </w:p>
        </w:tc>
        <w:tc>
          <w:tcPr>
            <w:tcW w:type="dxa" w:w="416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δ defines what counts as “no meaningful difference” and cannot be chosen after seeing results. The proposed 5 pp is anchored to alert-budget reasoning, but a SOC-practitioner justification would be stronger than a statistical one.</w:t>
            </w:r>
          </w:p>
        </w:tc>
        <w:tc>
          <w:tcPr>
            <w:tcW w:type="dxa" w:w="280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Committee sign-off on δ at proposal stage, with the alert-count reasoning on the record.</w:t>
            </w:r>
          </w:p>
        </w:tc>
      </w:tr>
      <w:tr>
        <w:trPr>
          <w:cantSplit/>
        </w:trPr>
        <w:tc>
          <w:tcPr>
            <w:tcW w:type="dxa" w:w="240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bCs/>
                <w:i w:val="false"/>
                <w:iCs w:val="false"/>
                <w:caps w:val="false"/>
                <w:color w:val="141918"/>
                <w:sz w:val="19"/>
                <w:szCs w:val="19"/>
              </w:rPr>
              <w:t xml:space="preserve">Does RQ5 belong here or in H1?</w:t>
            </w:r>
          </w:p>
        </w:tc>
        <w:tc>
          <w:tcPr>
            <w:tcW w:type="dxa" w:w="416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Scenario replication overlaps the external-validity hypothesis. Keeping it risks duplicated work; dropping it weakens the claim’s reach.</w:t>
            </w:r>
          </w:p>
        </w:tc>
        <w:tc>
          <w:tcPr>
            <w:tcW w:type="dxa" w:w="280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Keep a reduced form — sign of the verdict only, no magnitude claims — and cross-reference H1 for the full external-validity treatment.</w:t>
            </w:r>
          </w:p>
        </w:tc>
      </w:tr>
      <w:tr>
        <w:trPr>
          <w:cantSplit/>
        </w:trPr>
        <w:tc>
          <w:tcPr>
            <w:tcW w:type="dxa" w:w="240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bCs/>
                <w:i w:val="false"/>
                <w:iCs w:val="false"/>
                <w:caps w:val="false"/>
                <w:color w:val="141918"/>
                <w:sz w:val="19"/>
                <w:szCs w:val="19"/>
              </w:rPr>
              <w:t xml:space="preserve">Should a supervised comparator be added?</w:t>
            </w:r>
          </w:p>
        </w:tc>
        <w:tc>
          <w:tcPr>
            <w:tcW w:type="dxa" w:w="416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A simple supervised model on the same features would sharpen the question from “does the anomaly score beat rules” to “does unsupervised learning earn its keep at all.” It also expands scope and introduces a labelling assumption P2 deliberately avoids.</w:t>
            </w:r>
          </w:p>
        </w:tc>
        <w:tc>
          <w:tcPr>
            <w:tcW w:type="dxa" w:w="2800"/>
            <w:tcBorders>
              <w:top w:val="single" w:color="D2D7CE" w:sz="4"/>
              <w:left w:val="single" w:color="D2D7CE" w:sz="4"/>
              <w:bottom w:val="single" w:color="D2D7CE" w:sz="4"/>
              <w:right w:val="single" w:color="D2D7CE" w:sz="4"/>
            </w:tcBorders>
            <w:tcMar>
              <w:top w:type="dxa" w:w="100"/>
              <w:left w:type="dxa" w:w="130"/>
              <w:bottom w:type="dxa" w:w="100"/>
              <w:right w:type="dxa" w:w="130"/>
            </w:tcMar>
          </w:tcPr>
          <w:p>
            <w:pPr>
              <w:keepNext w:val="false"/>
              <w:spacing w:after="0" w:before="0" w:line="264" w:lineRule="auto"/>
            </w:pPr>
            <w:r>
              <w:rPr>
                <w:rFonts w:ascii="Calibri" w:cs="Calibri" w:eastAsia="Calibri" w:hAnsi="Calibri"/>
                <w:b w:val="false"/>
                <w:bCs w:val="false"/>
                <w:i w:val="false"/>
                <w:iCs w:val="false"/>
                <w:caps w:val="false"/>
                <w:color w:val="3C4547"/>
                <w:sz w:val="19"/>
                <w:szCs w:val="19"/>
              </w:rPr>
              <w:t xml:space="preserve">Defer; note it as a limitation and a natural follow-on rather than absorbing it now.</w:t>
            </w:r>
          </w:p>
        </w:tc>
      </w:tr>
    </w:tbl>
    <w:p>
      <w:pPr>
        <w:keepNext w:val="false"/>
        <w:spacing w:after="420" w:before="0" w:line="264" w:lineRule="auto"/>
      </w:pPr>
      <w:r>
        <w:rPr>
          <w:rFonts w:ascii="Calibri" w:cs="Calibri" w:eastAsia="Calibri" w:hAnsi="Calibri"/>
          <w:b w:val="false"/>
          <w:bCs w:val="false"/>
          <w:i w:val="false"/>
          <w:iCs w:val="false"/>
          <w:caps w:val="false"/>
          <w:color w:val="3C4547"/>
          <w:sz w:val="21"/>
          <w:szCs w:val="21"/>
        </w:rPr>
        <w:t xml:space="preserve"/>
      </w:r>
    </w:p>
    <w:p>
      <w:pPr>
        <w:pBdr>
          <w:top w:val="single" w:color="141918" w:sz="10" w:space="10"/>
        </w:pBdr>
        <w:spacing w:after="140" w:before="120" w:line="240" w:lineRule="auto"/>
      </w:pPr>
      <w:r>
        <w:rPr>
          <w:rFonts w:ascii="Calibri" w:cs="Calibri" w:eastAsia="Calibri" w:hAnsi="Calibri"/>
          <w:b w:val="false"/>
          <w:bCs w:val="false"/>
          <w:i w:val="false"/>
          <w:iCs w:val="false"/>
          <w:caps w:val="false"/>
          <w:color w:val="3C4547"/>
          <w:sz w:val="21"/>
          <w:szCs w:val="21"/>
        </w:rPr>
        <w:t xml:space="preserve"/>
      </w:r>
    </w:p>
    <w:p>
      <w:pPr>
        <w:keepNext w:val="false"/>
        <w:spacing w:after="100" w:before="0" w:line="264" w:lineRule="auto"/>
      </w:pPr>
      <w:r>
        <w:rPr>
          <w:rFonts w:ascii="Consolas" w:cs="Consolas" w:eastAsia="Consolas" w:hAnsi="Consolas"/>
          <w:b/>
          <w:bCs/>
          <w:i w:val="false"/>
          <w:iCs w:val="false"/>
          <w:caps w:val="false"/>
          <w:color w:val="141918"/>
          <w:sz w:val="17"/>
          <w:szCs w:val="17"/>
        </w:rPr>
        <w:t xml:space="preserve">Base paper (P2). </w:t>
      </w:r>
      <w:r>
        <w:rPr>
          <w:rFonts w:ascii="Consolas" w:cs="Consolas" w:eastAsia="Consolas" w:hAnsi="Consolas"/>
          <w:b w:val="false"/>
          <w:bCs w:val="false"/>
          <w:i w:val="false"/>
          <w:iCs w:val="false"/>
          <w:caps w:val="false"/>
          <w:color w:val="6B7478"/>
          <w:sz w:val="17"/>
          <w:szCs w:val="17"/>
        </w:rPr>
        <w:t xml:space="preserve">Namsey, T.; Vijayaraghavan, S.; Paramesh, G.; Kiran Kumar, K. V. “Adaptive Hybrid Insider Threat Detection with Machine Learning and Explainable AI.” 2026 International Conference on AI-Driven Innovations &amp; Applications (IC-AIDA), IEEE. DOI 10.1109/IC-AIDA68291.2026.11564173.</w:t>
      </w:r>
    </w:p>
    <w:p>
      <w:pPr>
        <w:keepNext w:val="false"/>
        <w:spacing w:after="100" w:before="0" w:line="264" w:lineRule="auto"/>
      </w:pPr>
      <w:r>
        <w:rPr>
          <w:rFonts w:ascii="Consolas" w:cs="Consolas" w:eastAsia="Consolas" w:hAnsi="Consolas"/>
          <w:b w:val="false"/>
          <w:bCs w:val="false"/>
          <w:i w:val="false"/>
          <w:iCs w:val="false"/>
          <w:caps w:val="false"/>
          <w:color w:val="6B7478"/>
          <w:sz w:val="17"/>
          <w:szCs w:val="17"/>
        </w:rPr>
        <w:t xml:space="preserve">Alert-pool arithmetic derived from P2 Tables V and VI: 1,763 false positives + 79 true positives = 1,842 alerts, consistent with the reported band sizes of 18 / 36 / 92 / 184 at 1 / 2 / 5 / 10%.</w:t>
      </w:r>
    </w:p>
    <w:p>
      <w:pPr>
        <w:keepNext w:val="false"/>
        <w:spacing w:after="0" w:before="0" w:line="264" w:lineRule="auto"/>
      </w:pPr>
      <w:r>
        <w:rPr>
          <w:rFonts w:ascii="Consolas" w:cs="Consolas" w:eastAsia="Consolas" w:hAnsi="Consolas"/>
          <w:b w:val="false"/>
          <w:bCs w:val="false"/>
          <w:i w:val="false"/>
          <w:iCs w:val="false"/>
          <w:caps w:val="false"/>
          <w:color w:val="6B7478"/>
          <w:sz w:val="17"/>
          <w:szCs w:val="17"/>
        </w:rPr>
        <w:t xml:space="preserve">Constraints per the approved hypothesis-development scope: derived from P2 alone · public and synthetic data only · computational evaluation, no human subjects.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color w:val="6B7478"/>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C4547"/>
        <w:sz w:val="21"/>
        <w:szCs w:val="21"/>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b5d93aff279f25695cb916e1c201f13bc8e5324.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Does the Model Beat the Rules?</dc:title>
  <dc:creator>Marcos</dc:creator>
  <dc:description>Praxis proposal for hypothesis H2 — a baseline-referenced re-evaluation of hybrid alert triage.</dc:description>
  <cp:lastModifiedBy>Un-named</cp:lastModifiedBy>
  <cp:revision>1</cp:revision>
  <dcterms:created xsi:type="dcterms:W3CDTF">2026-08-31T15:31:24.043Z</dcterms:created>
  <dcterms:modified xsi:type="dcterms:W3CDTF">2026-08-31T15:31:24.043Z</dcterms:modified>
</cp:coreProperties>
</file>

<file path=docProps/custom.xml><?xml version="1.0" encoding="utf-8"?>
<Properties xmlns="http://schemas.openxmlformats.org/officeDocument/2006/custom-properties" xmlns:vt="http://schemas.openxmlformats.org/officeDocument/2006/docPropsVTypes"/>
</file>