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 descr="C:/Users/Machcreator/Pictures/Screenshots/Снимок экрана 2025-12-18 173729.pngСнимок экрана 2025-12-18 173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173729.pngСнимок экрана 2025-12-18 173729"/>
                    <pic:cNvPicPr>
                      <a:picLocks noChangeAspect="1"/>
                    </pic:cNvPicPr>
                  </pic:nvPicPr>
                  <pic:blipFill>
                    <a:blip r:embed="rId4"/>
                    <a:srcRect l="1674" r="1674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73211062"/>
      <w:bookmarkStart w:id="1" w:name="_Toc171423726"/>
      <w:bookmarkStart w:id="49" w:name="_GoBack"/>
      <w:bookmarkEnd w:id="49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 w:val="21"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0FD2C9AE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begin"/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_Toc2412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_Toc2412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D12B3D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_Toc31810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_Toc31810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AC7687E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_Toc13408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_Toc13408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F11E8FB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_Toc13718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_Toc13718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23751BE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_Toc25333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Zachary’s Karate Club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 xml:space="preserve"> и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Cora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_Toc25333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85F27B3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_Toc32453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_Toc32453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FDA085A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_Toc23230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_Toc23230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B33D841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_Toc9990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_Toc9990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C85F680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_Toc5694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_Toc5694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D884965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_Toc11863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_Toc11863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2EEFCCF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_Toc20218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_Toc20218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F55F5E0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_Toc9144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_Toc9144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7F9F85D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_Toc27962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_Toc27962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5E86B8D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_Toc13939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_Toc13939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04D09BF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_Toc12983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_Toc12983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4535B98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_Toc6802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_Toc6802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A1BEB95">
          <w:pPr>
            <w:pStyle w:val="11"/>
            <w:tabs>
              <w:tab w:val="right" w:leader="dot" w:pos="8306"/>
            </w:tabs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_Toc24513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_Toc24513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/>
              <w:caps/>
              <w:szCs w:val="20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2412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3CC9AF4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66E7F38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актуальная задача анализа структуры социальных сетей с целью автоматического выявления сообществ пользователей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Социальные сети по типу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VK, Telegram,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генерят объём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ручной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которого займёт очень большое время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в условиях конкуренции и цифровой трансформации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важна скорость выполнения базовых функций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автоматизация процесса анализа структуры социальных сетей применяется в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обнаружение бот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ов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 и групп распространения дезинформации, анализ общественного мнения, мониторинг экстремистских сообществ, повышение вовлечённости пользователей платформы.</w:t>
      </w:r>
    </w:p>
    <w:p w14:paraId="7845B02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31810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31B6BA2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Theme="minorEastAsia" w:cstheme="minorBidi"/>
          <w:sz w:val="28"/>
          <w:szCs w:val="28"/>
          <w:lang w:val="en-US" w:eastAsia="zh-CN" w:bidi="ar-SA"/>
        </w:rPr>
      </w:pPr>
      <w:r>
        <w:rPr>
          <w:rFonts w:ascii="Times New Roman" w:hAnsi="Times New Roman"/>
          <w:sz w:val="28"/>
          <w:szCs w:val="28"/>
        </w:rPr>
        <w:t>По</w:t>
      </w:r>
      <w:r>
        <w:rPr>
          <w:rFonts w:ascii="Times New Roman" w:hAnsi="Times New Roman"/>
          <w:sz w:val="28"/>
          <w:szCs w:val="28"/>
          <w:lang w:val="ru-RU"/>
        </w:rPr>
        <w:t>работать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с 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pipelines, </w:t>
      </w:r>
      <w:r>
        <w:rPr>
          <w:rFonts w:hint="default" w:ascii="Times New Roman" w:hAnsi="Times New Roman"/>
          <w:sz w:val="28"/>
          <w:szCs w:val="28"/>
          <w:lang w:val="ru-RU"/>
        </w:rPr>
        <w:t>научиться визуализировать результаты работы нейронных сетей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закрепить опыт работы с библиотеками 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Python, </w:t>
      </w:r>
      <w:r>
        <w:rPr>
          <w:rFonts w:hint="default" w:ascii="Times New Roman" w:hAnsi="Times New Roman"/>
          <w:sz w:val="28"/>
          <w:szCs w:val="28"/>
          <w:lang w:val="ru-RU"/>
        </w:rPr>
        <w:t>изучить преобразование информации в токены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разобрать кластераизацию 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KMeans,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узнать про метрики </w:t>
      </w:r>
      <w:r>
        <w:rPr>
          <w:rFonts w:hint="default" w:ascii="Times New Roman" w:hAnsi="Times New Roman" w:eastAsiaTheme="minorEastAsia" w:cstheme="minorBidi"/>
          <w:sz w:val="28"/>
          <w:szCs w:val="28"/>
          <w:lang w:val="en-US" w:eastAsia="zh-CN" w:bidi="ar-SA"/>
        </w:rPr>
        <w:t>Modularity и Normalized Mutual Information (NMI).</w:t>
      </w:r>
    </w:p>
    <w:p w14:paraId="7B272733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13408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A7D9004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Применить методы графовых нейронных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задачи выявления сообществ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</w:p>
    <w:p w14:paraId="3004399B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Выбрать подходящий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датасет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модели решающий проблему автоматизации анализа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</w:p>
    <w:p w14:paraId="5654E792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Освоит библиотеку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PyTorch Geometric для обработки графовых данных: загрузка датасетов, предобработка графов (нормализация признаков узлов, разделение рёбер на train/val/test для unsupervised обучения);</w:t>
      </w:r>
    </w:p>
    <w:p w14:paraId="38B8C0C4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</w:p>
    <w:p w14:paraId="3700D1A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Реализовать архитектуру графовой нейронной сети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 xml:space="preserve">создать энкодер с двумя слоями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GCN,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настроить вариационную компоненту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и функцию потерь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;</w:t>
      </w:r>
    </w:p>
    <w:p w14:paraId="11183575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</w:p>
    <w:p w14:paraId="53334EBB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Провести обучение модели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с подобранными гиперпараметрами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промониторить функцию потерь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;</w:t>
      </w:r>
    </w:p>
    <w:p w14:paraId="648919E4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</w:p>
    <w:p w14:paraId="14565094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Оценить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качество выявленных сообществ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с использованием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Modularity, Normilized Mutual Information,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сравнить с классическими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baseline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алгоритмами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.</w:t>
      </w:r>
    </w:p>
    <w:p w14:paraId="6B15CB6E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</w:pPr>
    </w:p>
    <w:p w14:paraId="4B7EBDCA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Разместить проект в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GitHub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 ссылка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: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fldChar w:fldCharType="begin"/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instrText xml:space="preserve"> HYPERLINK "https://github.com/Slavik993/Practica_Orehov_community_finding/tree/main" </w:instrTex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fldChar w:fldCharType="separate"/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Practica_Orehov_community_finding/ at main · Slav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ik993/Practica_Orehov_community_finding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fldChar w:fldCharType="end"/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.</w:t>
      </w:r>
    </w:p>
    <w:p w14:paraId="1606FB4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</w:pPr>
    </w:p>
    <w:p w14:paraId="038E41B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</w:pPr>
    </w:p>
    <w:p w14:paraId="0A1327E3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B80BF81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672E220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7D43BBD5">
      <w:pPr>
        <w:spacing w:after="0" w:line="240" w:lineRule="auto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br w:type="page" w:clear="all"/>
      </w:r>
    </w:p>
    <w:p w14:paraId="7D3A3EBC">
      <w:pPr>
        <w:pStyle w:val="2"/>
        <w:numPr>
          <w:ilvl w:val="0"/>
          <w:numId w:val="3"/>
        </w:numPr>
        <w:bidi w:val="0"/>
        <w:ind w:leftChars="0"/>
        <w:rPr>
          <w:sz w:val="28"/>
          <w:szCs w:val="28"/>
        </w:rPr>
      </w:pPr>
      <w:bookmarkStart w:id="5" w:name="_Toc13718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3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25333"/>
      <w:r>
        <w:rPr>
          <w:rStyle w:val="19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</w:t>
      </w:r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en-US"/>
        </w:rPr>
        <w:t>Zachary’s Karate Club</w:t>
      </w:r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ru-RU"/>
        </w:rPr>
        <w:t xml:space="preserve"> и </w:t>
      </w:r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en-US"/>
        </w:rPr>
        <w:t>Cora</w:t>
      </w:r>
      <w:bookmarkEnd w:id="6"/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3A886F7A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Zachary’s Karate Club датасет социальной сети клуба по карате,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набор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данных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имеет подходящие свойства -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содержит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два сообщества,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граф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включает тридцать четыре члена клуба и семьдесят восемь рёбер,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идеален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для оценки алгоритмов community detection,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содержит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два неориентированных направления в качестве классов. </w:t>
      </w:r>
    </w:p>
    <w:p w14:paraId="0DEFC236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Cora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датасет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по социальной сети,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для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цитирования статей тематики машинного обучения,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подходит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по причине наличия направленности в виде семь тематических классов - статьи разделены по темам и цитируются одинаковые темы друг-другом.</w:t>
      </w:r>
    </w:p>
    <w:p w14:paraId="18093586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</w:p>
    <w:p w14:paraId="5CA59382">
      <w:pPr>
        <w:keepNext w:val="0"/>
        <w:keepLines w:val="0"/>
        <w:widowControl/>
        <w:suppressLineNumbers w:val="0"/>
        <w:wordWrap w:val="0"/>
        <w:ind w:firstLine="708" w:firstLineChars="0"/>
        <w:jc w:val="righ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>Таблица 1 - Характеристики выбранных наборов данных.</w:t>
      </w:r>
    </w:p>
    <w:p w14:paraId="267C7C37">
      <w:pPr>
        <w:keepNext w:val="0"/>
        <w:keepLines w:val="0"/>
        <w:widowControl/>
        <w:suppressLineNumbers w:val="0"/>
        <w:wordWrap/>
        <w:ind w:firstLine="708" w:firstLineChars="0"/>
        <w:jc w:val="righ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821"/>
        <w:gridCol w:w="829"/>
        <w:gridCol w:w="1995"/>
        <w:gridCol w:w="2112"/>
        <w:gridCol w:w="1529"/>
      </w:tblGrid>
      <w:tr w14:paraId="6FD0B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20" w:type="dxa"/>
          </w:tcPr>
          <w:p w14:paraId="04CF243A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  <w:t>Датасет</w:t>
            </w:r>
          </w:p>
        </w:tc>
        <w:tc>
          <w:tcPr>
            <w:tcW w:w="1420" w:type="dxa"/>
          </w:tcPr>
          <w:p w14:paraId="61A1DE0F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Количество узлов</w:t>
            </w:r>
          </w:p>
        </w:tc>
        <w:tc>
          <w:tcPr>
            <w:tcW w:w="1420" w:type="dxa"/>
          </w:tcPr>
          <w:p w14:paraId="0DCD1E16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Количество рёбер</w:t>
            </w:r>
          </w:p>
        </w:tc>
        <w:tc>
          <w:tcPr>
            <w:tcW w:w="1420" w:type="dxa"/>
          </w:tcPr>
          <w:p w14:paraId="6A008923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Направленность</w:t>
            </w:r>
          </w:p>
        </w:tc>
        <w:tc>
          <w:tcPr>
            <w:tcW w:w="1421" w:type="dxa"/>
          </w:tcPr>
          <w:p w14:paraId="796C036F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 xml:space="preserve">Ground truth </w:t>
            </w: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  <w:t>сообществ</w:t>
            </w:r>
          </w:p>
        </w:tc>
        <w:tc>
          <w:tcPr>
            <w:tcW w:w="1421" w:type="dxa"/>
          </w:tcPr>
          <w:p w14:paraId="56CF062C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Признаки узлов</w:t>
            </w:r>
          </w:p>
        </w:tc>
      </w:tr>
      <w:tr w14:paraId="7A670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1BCEF56E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Zachary’s Karate Club</w:t>
            </w:r>
          </w:p>
        </w:tc>
        <w:tc>
          <w:tcPr>
            <w:tcW w:w="1420" w:type="dxa"/>
          </w:tcPr>
          <w:p w14:paraId="7B1BE0D0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34</w:t>
            </w:r>
          </w:p>
        </w:tc>
        <w:tc>
          <w:tcPr>
            <w:tcW w:w="1420" w:type="dxa"/>
          </w:tcPr>
          <w:p w14:paraId="4C995315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78</w:t>
            </w:r>
          </w:p>
        </w:tc>
        <w:tc>
          <w:tcPr>
            <w:tcW w:w="1420" w:type="dxa"/>
          </w:tcPr>
          <w:p w14:paraId="66309093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Два неориентированных направления</w:t>
            </w:r>
          </w:p>
        </w:tc>
        <w:tc>
          <w:tcPr>
            <w:tcW w:w="1421" w:type="dxa"/>
          </w:tcPr>
          <w:p w14:paraId="255E59A2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  <w:t>Разделение</w:t>
            </w: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 xml:space="preserve"> после конфликта администраторов</w:t>
            </w:r>
          </w:p>
        </w:tc>
        <w:tc>
          <w:tcPr>
            <w:tcW w:w="1421" w:type="dxa"/>
          </w:tcPr>
          <w:p w14:paraId="38364589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Отсутсвуют</w:t>
            </w:r>
          </w:p>
        </w:tc>
      </w:tr>
      <w:tr w14:paraId="29F19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6F09BCB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Cora</w:t>
            </w:r>
          </w:p>
        </w:tc>
        <w:tc>
          <w:tcPr>
            <w:tcW w:w="1420" w:type="dxa"/>
          </w:tcPr>
          <w:p w14:paraId="29EE60E3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2708</w:t>
            </w:r>
          </w:p>
        </w:tc>
        <w:tc>
          <w:tcPr>
            <w:tcW w:w="1420" w:type="dxa"/>
          </w:tcPr>
          <w:p w14:paraId="7EE787D8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5429</w:t>
            </w:r>
          </w:p>
        </w:tc>
        <w:tc>
          <w:tcPr>
            <w:tcW w:w="1420" w:type="dxa"/>
          </w:tcPr>
          <w:p w14:paraId="0CABA372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Семь ориентированных направлений</w:t>
            </w:r>
          </w:p>
        </w:tc>
        <w:tc>
          <w:tcPr>
            <w:tcW w:w="1421" w:type="dxa"/>
          </w:tcPr>
          <w:p w14:paraId="3B290118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Тематические классы</w:t>
            </w:r>
          </w:p>
        </w:tc>
        <w:tc>
          <w:tcPr>
            <w:tcW w:w="1421" w:type="dxa"/>
          </w:tcPr>
          <w:p w14:paraId="594F1880">
            <w:pPr>
              <w:keepNext w:val="0"/>
              <w:keepLines w:val="0"/>
              <w:widowControl/>
              <w:suppressLineNumbers w:val="0"/>
              <w:wordWrap/>
              <w:spacing w:after="200" w:line="276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BOW “bag of words” 1433</w:t>
            </w:r>
          </w:p>
        </w:tc>
      </w:tr>
    </w:tbl>
    <w:p w14:paraId="16574C52">
      <w:pPr>
        <w:keepNext w:val="0"/>
        <w:keepLines w:val="0"/>
        <w:widowControl/>
        <w:suppressLineNumbers w:val="0"/>
        <w:wordWrap/>
        <w:ind w:firstLine="708" w:firstLineChars="0"/>
        <w:jc w:val="righ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</w:p>
    <w:p w14:paraId="34294234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</w:p>
    <w:p w14:paraId="363E6A88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</w:pPr>
    </w:p>
    <w:p w14:paraId="05C926DB">
      <w:pPr>
        <w:spacing w:before="0" w:after="0" w:line="240" w:lineRule="auto"/>
        <w:ind w:left="708" w:right="0"/>
        <w:jc w:val="center"/>
      </w:pPr>
      <w:r>
        <w:drawing>
          <wp:inline distT="0" distB="0" distL="114300" distR="114300">
            <wp:extent cx="3406140" cy="1066800"/>
            <wp:effectExtent l="0" t="0" r="7620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5A94B">
      <w:pPr>
        <w:spacing w:before="0" w:after="0" w:line="240" w:lineRule="auto"/>
        <w:ind w:left="708" w:right="0"/>
        <w:jc w:val="center"/>
      </w:pPr>
    </w:p>
    <w:p w14:paraId="12950FD1">
      <w:pPr>
        <w:keepNext w:val="0"/>
        <w:keepLines w:val="0"/>
        <w:widowControl/>
        <w:suppressLineNumbers w:val="0"/>
        <w:ind w:firstLine="708" w:firstLineChars="0"/>
        <w:jc w:val="center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Рисунок 1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.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Загруженный датасет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>.</w:t>
      </w:r>
    </w:p>
    <w:p w14:paraId="2C391550">
      <w:pPr>
        <w:keepNext w:val="0"/>
        <w:keepLines w:val="0"/>
        <w:widowControl/>
        <w:suppressLineNumbers w:val="0"/>
        <w:ind w:firstLine="708" w:firstLineChars="0"/>
        <w:jc w:val="center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</w:p>
    <w:p w14:paraId="21F67839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</w:pPr>
    </w:p>
    <w:p w14:paraId="51D137BB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</w:pPr>
    </w:p>
    <w:p w14:paraId="1F3EDD9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E7CBA5">
      <w:pPr>
        <w:pStyle w:val="2"/>
        <w:numPr>
          <w:ilvl w:val="0"/>
          <w:numId w:val="3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7" w:name="_Toc42166413"/>
      <w:bookmarkStart w:id="8" w:name="_Toc73211064"/>
      <w:bookmarkStart w:id="9" w:name="_Toc171423728"/>
      <w:bookmarkStart w:id="10" w:name="_Toc32453"/>
      <w:r>
        <w:rPr>
          <w:rFonts w:eastAsia="Calibri"/>
          <w:caps/>
          <w:sz w:val="28"/>
          <w:szCs w:val="20"/>
        </w:rPr>
        <w:t xml:space="preserve">Анализ </w:t>
      </w:r>
      <w:bookmarkEnd w:id="7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8"/>
      <w:bookmarkEnd w:id="9"/>
      <w:bookmarkEnd w:id="10"/>
    </w:p>
    <w:p w14:paraId="5958B75E"/>
    <w:p w14:paraId="149378AC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1" w:name="_Toc171423729"/>
      <w:bookmarkStart w:id="12" w:name="_Toc73211065"/>
      <w:bookmarkStart w:id="13" w:name="_Toc23230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1"/>
      <w:bookmarkEnd w:id="12"/>
      <w:bookmarkEnd w:id="13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Программа воссоздана в среде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Python Jupiter Notebook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для работы с блоками кода и предоставлением полного процесса обучения в одном скрипте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визуализацией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поясняющей процессы происходящие в блоках кода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Необходимые библиотеки установлены используя первую ячейку блока кода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командой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pip install,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установлены библиотеки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Pytorch, Geometric, NetworkX, Matplotlib, scikit-learn.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Only CPU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Ubuntu 23.08</w:t>
            </w:r>
          </w:p>
        </w:tc>
      </w:tr>
    </w:tbl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4" w:name="_Toc73211066"/>
      <w:bookmarkStart w:id="15" w:name="_Toc171423730"/>
      <w:bookmarkStart w:id="16" w:name="_Toc9990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4"/>
      <w:bookmarkEnd w:id="15"/>
      <w:bookmarkEnd w:id="16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D6F59D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Классические методы выявленная сообществ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 используют признаки узлов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графовые нейронные сети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GNN - Graph Neural Networks,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позволяют учитывать топологии графов и атрибуты узлов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FDE4D0A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  <w:t xml:space="preserve">GAE “Graph Auto-Encoder”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это модель учащаяся востанавливать входные данные структурированные в виде графа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,Varitional Graph Auto-Encoder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“VGAE”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учиться низкоразмерному скрытому предоставлению данных графа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его структуру и отношения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состоит 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encoder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принимает данные графа как вход и отображает их скрытое пространство 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decoder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принимает представление скрытого пространства и востанавливает оригинальные данные графа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BACB569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Реконструкция ребра в декодере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GAE/VGAE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рассчитывается по формуле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4CB202D4">
      <w:pPr>
        <w:spacing w:after="0" w:line="360" w:lineRule="auto"/>
        <w:jc w:val="both"/>
        <m:rPr/>
        <w:rPr>
          <w:rFonts w:hint="default" w:hAnsi="Cambria Math" w:eastAsia="Calibri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accPr>
              <m:e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A</m:t>
                </m:r>
                <m:ctrlPr>
                  <w:rPr>
                    <w:rFonts w:ascii="Cambria Math" w:hAnsi="Cambria Math" w:eastAsia="Calibri"/>
                    <w:sz w:val="28"/>
                  </w:rPr>
                </m:ctrlPr>
              </m:e>
            </m:acc>
            <m:ctrlPr>
              <w:rPr>
                <w:rFonts w:hint="default"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ij</m:t>
            </m:r>
            <m:ctrlPr>
              <w:rPr>
                <w:rFonts w:hint="default"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=σ(</m:t>
        </m:r>
        <m:sSubSup>
          <m:sSubSupPr>
            <m:ctrlPr>
              <w:rPr>
                <w:rFonts w:hint="default" w:ascii="Cambria Math" w:hAnsi="Cambria Math" w:eastAsia="Calibri"/>
                <w:sz w:val="28"/>
              </w:rPr>
            </m:ctrlPr>
          </m:sSubSup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z</m:t>
            </m:r>
            <m:ctrlPr>
              <w:rPr>
                <w:rFonts w:hint="default"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hint="default" w:ascii="Cambria Math" w:hAnsi="Cambria Math" w:eastAsia="Calibri"/>
                <w:sz w:val="28"/>
              </w:rPr>
            </m:ctrlPr>
          </m:sub>
          <m:sup>
            <m:r>
              <m:rPr/>
              <w:rPr>
                <w:rFonts w:hint="default" w:ascii="Cambria Math" w:hAnsi="Cambria Math" w:eastAsia="Calibri"/>
                <w:sz w:val="28"/>
              </w:rPr>
              <m:t>T</m:t>
            </m:r>
            <m:ctrlPr>
              <w:rPr>
                <w:rFonts w:hint="default" w:ascii="Cambria Math" w:hAnsi="Cambria Math" w:eastAsia="Calibri"/>
                <w:sz w:val="28"/>
              </w:rPr>
            </m:ctrlPr>
          </m:sup>
        </m:sSubSup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z</m:t>
            </m:r>
            <m:ctrlPr>
              <w:rPr>
                <w:rFonts w:hint="default"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j</m:t>
            </m:r>
            <m:ctrlPr>
              <w:rPr>
                <w:rFonts w:hint="default"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)</m:t>
        </m:r>
      </m:oMath>
      <w:r>
        <m:rPr/>
        <w:rPr>
          <w:rFonts w:hint="default" w:hAnsi="Cambria Math" w:eastAsia="Calibri"/>
          <w:i w:val="0"/>
          <w:sz w:val="28"/>
          <w:lang w:val="en-US"/>
        </w:rPr>
        <w:t xml:space="preserve">, </w:t>
      </w:r>
      <w:r>
        <m:rPr/>
        <w:rPr>
          <w:rFonts w:hint="default" w:hAnsi="Cambria Math" w:eastAsia="Calibri"/>
          <w:i w:val="0"/>
          <w:sz w:val="28"/>
          <w:lang w:val="ru-RU"/>
        </w:rPr>
        <w:t xml:space="preserve">где </w:t>
      </w:r>
      <m:oMath>
        <m:r>
          <m:rPr/>
          <w:rPr>
            <w:rFonts w:hint="default" w:ascii="Cambria Math" w:hAnsi="Cambria Math" w:eastAsia="Calibri"/>
            <w:sz w:val="28"/>
          </w:rPr>
          <m:t>σ</m:t>
        </m:r>
      </m:oMath>
      <w:r>
        <m:rPr/>
        <w:rPr>
          <w:rFonts w:hint="default" w:ascii="Times New Roman" w:hAnsi="Cambria Math" w:eastAsia="Calibri"/>
          <w:i w:val="0"/>
          <w:sz w:val="28"/>
          <w:lang w:val="ru-RU"/>
        </w:rPr>
        <w:t xml:space="preserve"> - сигмойда</w:t>
      </w:r>
      <w:r>
        <m:rPr/>
        <w:rPr>
          <w:rFonts w:hint="default" w:ascii="Times New Roman" w:hAnsi="Cambria Math" w:eastAsia="Calibri"/>
          <w:i w:val="0"/>
          <w:sz w:val="28"/>
          <w:lang w:val="en-US"/>
        </w:rPr>
        <w:t>;</w:t>
      </w:r>
    </w:p>
    <w:p w14:paraId="70879BA3">
      <w:pPr>
        <w:spacing w:after="0" w:line="360" w:lineRule="auto"/>
        <w:jc w:val="both"/>
        <m:rPr/>
        <w:rPr>
          <w:rFonts w:hint="default" w:hAnsi="Cambria Math" w:eastAsia="Calibri"/>
          <w:i w:val="0"/>
          <w:sz w:val="28"/>
          <w:lang w:val="en-US"/>
        </w:rPr>
      </w:pPr>
    </w:p>
    <w:p w14:paraId="2ABFDBEE">
      <w:pPr>
        <w:spacing w:after="0" w:line="360" w:lineRule="auto"/>
        <w:ind w:firstLine="708" w:firstLineChars="0"/>
        <w:jc w:val="both"/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m:rPr/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Распределение в энкодере </w:t>
      </w:r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>VGAE</w:t>
      </w:r>
      <w:r>
        <m:rPr/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формула</w:t>
      </w:r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</w:p>
    <w:p w14:paraId="76249AA4">
      <w:pPr>
        <w:spacing w:after="0" w:line="360" w:lineRule="auto"/>
        <w:jc w:val="both"/>
        <m:rPr/>
        <w:rPr>
          <w:rFonts w:hint="default" w:hAnsi="Cambria Math" w:eastAsia="Calibri"/>
          <w:i w:val="0"/>
          <w:sz w:val="28"/>
          <w:lang w:val="en-US"/>
        </w:rPr>
      </w:pPr>
    </w:p>
    <w:p w14:paraId="235E82C9">
      <w:pPr>
        <w:spacing w:after="0" w:line="360" w:lineRule="auto"/>
        <w:jc w:val="both"/>
        <m:rPr/>
        <w:rPr>
          <w:rFonts w:hint="default" w:hAnsi="Cambria Math" w:eastAsia="Calibri"/>
          <w:i w:val="0"/>
          <w:sz w:val="28"/>
          <w:lang w:val="en-US"/>
        </w:rPr>
      </w:pPr>
      <m:oMath>
        <m:r>
          <m:rPr/>
          <w:rPr>
            <w:rFonts w:hint="default" w:ascii="Cambria Math" w:hAnsi="Cambria Math" w:eastAsia="Calibri"/>
            <w:sz w:val="28"/>
          </w:rPr>
          <m:t>q(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z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|X,A)=</m:t>
        </m:r>
        <m:r>
          <m:rPr>
            <m:scr m:val="script"/>
          </m:rPr>
          <w:rPr>
            <w:rFonts w:hint="default" w:ascii="Cambria Math" w:hAnsi="Cambria Math" w:eastAsia="MS Mincho"/>
            <w:sz w:val="28"/>
          </w:rPr>
          <m:t>N</m:t>
        </m:r>
        <m:r>
          <m:rPr/>
          <w:rPr>
            <w:rFonts w:hint="default" w:ascii="Cambria Math" w:hAnsi="Cambria Math" w:eastAsia="Calibri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z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|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Calibri"/>
                <w:sz w:val="28"/>
              </w:rPr>
              <m:t>μ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,</m:t>
        </m:r>
        <m:r>
          <m:rPr>
            <m:sty m:val="p"/>
          </m:rPr>
          <w:rPr>
            <w:rFonts w:hint="default" w:ascii="Cambria Math" w:hAnsi="Cambria Math" w:eastAsia="Calibri"/>
            <w:sz w:val="28"/>
          </w:rPr>
          <m:t> diag</m:t>
        </m:r>
        <m:r>
          <m:rPr/>
          <w:rPr>
            <w:rFonts w:hint="default" w:ascii="Cambria Math" w:hAnsi="Cambria Math" w:eastAsia="Calibri"/>
            <w:sz w:val="28"/>
          </w:rPr>
          <m:t>(</m:t>
        </m:r>
        <m:sSubSup>
          <m:sSubSupPr>
            <m:ctrlPr>
              <w:rPr>
                <w:rFonts w:hint="default" w:ascii="Cambria Math" w:hAnsi="Cambria Math" w:eastAsia="Calibri"/>
                <w:sz w:val="28"/>
              </w:rPr>
            </m:ctrlPr>
          </m:sSubSupPr>
          <m:e>
            <m:r>
              <m:rPr/>
              <w:rPr>
                <w:rFonts w:hint="default" w:ascii="Cambria Math" w:hAnsi="Cambria Math" w:eastAsia="Calibri"/>
                <w:sz w:val="28"/>
              </w:rPr>
              <m:t>σ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ascii="Cambria Math" w:hAnsi="Cambria Math" w:eastAsia="Calibri"/>
                <w:sz w:val="28"/>
              </w:rPr>
            </m:ctrlPr>
          </m:sub>
          <m:sup>
            <m:r>
              <m:rPr/>
              <w:rPr>
                <w:rFonts w:hint="default" w:ascii="Cambria Math" w:hAnsi="Cambria Math" w:eastAsia="Calibri"/>
                <w:sz w:val="28"/>
              </w:rPr>
              <m:t>2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bSup>
        <m:r>
          <m:rPr/>
          <w:rPr>
            <w:rFonts w:hint="default" w:ascii="Cambria Math" w:hAnsi="Cambria Math" w:eastAsia="Calibri"/>
            <w:sz w:val="28"/>
          </w:rPr>
          <m:t>))</m:t>
        </m:r>
      </m:oMath>
      <w:r>
        <m:rPr/>
        <w:rPr>
          <w:rFonts w:hint="default" w:hAnsi="Cambria Math" w:eastAsia="Calibri"/>
          <w:i w:val="0"/>
          <w:sz w:val="28"/>
          <w:lang w:val="en-US"/>
        </w:rPr>
        <w:t>;</w:t>
      </w:r>
    </w:p>
    <w:p w14:paraId="5F7359EF">
      <w:pPr>
        <w:spacing w:after="0" w:line="360" w:lineRule="auto"/>
        <w:jc w:val="both"/>
        <m:rPr/>
        <w:rPr>
          <w:rFonts w:hint="default" w:hAnsi="Cambria Math" w:eastAsia="Calibri"/>
          <w:i w:val="0"/>
          <w:sz w:val="28"/>
          <w:lang w:val="en-US"/>
        </w:rPr>
      </w:pPr>
    </w:p>
    <w:p w14:paraId="11CF3BD5">
      <w:pPr>
        <w:spacing w:after="0" w:line="360" w:lineRule="auto"/>
        <w:jc w:val="both"/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m:rPr/>
        <w:rPr>
          <w:rFonts w:hint="default" w:hAnsi="Cambria Math" w:eastAsia="Calibri"/>
          <w:i w:val="0"/>
          <w:sz w:val="28"/>
          <w:lang w:val="en-US"/>
        </w:rPr>
        <w:tab/>
      </w:r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VGAE </w:t>
      </w:r>
      <w:r>
        <m:rPr/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имеет ряд преимущества</w:t>
      </w:r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m:rPr/>
        <w:rPr>
          <w:rFonts w:hint="default" w:ascii="Times New Roman" w:hAnsi="Times New Roman" w:eastAsia="Calibri"/>
          <w:sz w:val="28"/>
          <w:szCs w:val="28"/>
          <w:lang w:val="ru-RU" w:eastAsia="en-US"/>
        </w:rPr>
        <w:t>учет признаков узлов</w:t>
      </w:r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/>
          <w:sz w:val="28"/>
          <w:szCs w:val="28"/>
          <w:lang w:val="ru-RU" w:eastAsia="en-US"/>
        </w:rPr>
        <w:t>кластеризуемые эмбеддинги</w:t>
      </w:r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/>
          <w:sz w:val="28"/>
          <w:szCs w:val="28"/>
          <w:lang w:val="ru-RU" w:eastAsia="en-US"/>
        </w:rPr>
        <w:t>индуктивное обучение на новых узлах</w:t>
      </w:r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2D2BCFB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3 Сравнение методов выявления сообществ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502"/>
        <w:gridCol w:w="2580"/>
        <w:gridCol w:w="1403"/>
        <w:gridCol w:w="1392"/>
        <w:gridCol w:w="1645"/>
      </w:tblGrid>
      <w:tr w14:paraId="71889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  <w:vAlign w:val="top"/>
          </w:tcPr>
          <w:p w14:paraId="669CD90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Метод</w:t>
            </w:r>
          </w:p>
        </w:tc>
        <w:tc>
          <w:tcPr>
            <w:tcW w:w="1704" w:type="dxa"/>
            <w:vAlign w:val="top"/>
          </w:tcPr>
          <w:p w14:paraId="62E7377D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 обучения</w:t>
            </w:r>
          </w:p>
        </w:tc>
        <w:tc>
          <w:tcPr>
            <w:tcW w:w="1704" w:type="dxa"/>
            <w:vAlign w:val="top"/>
          </w:tcPr>
          <w:p w14:paraId="10B4CC3A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Учёт признаков узлов</w:t>
            </w:r>
          </w:p>
        </w:tc>
        <w:tc>
          <w:tcPr>
            <w:tcW w:w="1705" w:type="dxa"/>
            <w:vAlign w:val="top"/>
          </w:tcPr>
          <w:p w14:paraId="466B2EFC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Modularity Karate Club</w:t>
            </w:r>
          </w:p>
        </w:tc>
        <w:tc>
          <w:tcPr>
            <w:tcW w:w="1705" w:type="dxa"/>
            <w:vAlign w:val="top"/>
          </w:tcPr>
          <w:p w14:paraId="5A845D2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Сложность</w:t>
            </w:r>
          </w:p>
        </w:tc>
      </w:tr>
      <w:tr w14:paraId="7B2EF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26F21E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Louvain</w:t>
            </w:r>
          </w:p>
        </w:tc>
        <w:tc>
          <w:tcPr>
            <w:tcW w:w="1704" w:type="dxa"/>
            <w:vAlign w:val="top"/>
          </w:tcPr>
          <w:p w14:paraId="2D98E7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Неконтролируемый</w:t>
            </w:r>
          </w:p>
        </w:tc>
        <w:tc>
          <w:tcPr>
            <w:tcW w:w="1704" w:type="dxa"/>
            <w:vAlign w:val="top"/>
          </w:tcPr>
          <w:p w14:paraId="2059EFB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1705" w:type="dxa"/>
            <w:vAlign w:val="top"/>
          </w:tcPr>
          <w:p w14:paraId="432471B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,419</w:t>
            </w:r>
          </w:p>
        </w:tc>
        <w:tc>
          <w:tcPr>
            <w:tcW w:w="1705" w:type="dxa"/>
            <w:vAlign w:val="top"/>
          </w:tcPr>
          <w:p w14:paraId="0AB91683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O(n log n)</w:t>
            </w:r>
          </w:p>
        </w:tc>
      </w:tr>
      <w:tr w14:paraId="14E62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5F803D4F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Label Propagation</w:t>
            </w:r>
          </w:p>
        </w:tc>
        <w:tc>
          <w:tcPr>
            <w:tcW w:w="1704" w:type="dxa"/>
            <w:vAlign w:val="top"/>
          </w:tcPr>
          <w:p w14:paraId="6C0612A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Контролируемый</w:t>
            </w:r>
          </w:p>
        </w:tc>
        <w:tc>
          <w:tcPr>
            <w:tcW w:w="1704" w:type="dxa"/>
            <w:vAlign w:val="top"/>
          </w:tcPr>
          <w:p w14:paraId="3E66888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1705" w:type="dxa"/>
            <w:vAlign w:val="top"/>
          </w:tcPr>
          <w:p w14:paraId="16C9285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,38</w:t>
            </w:r>
          </w:p>
        </w:tc>
        <w:tc>
          <w:tcPr>
            <w:tcW w:w="1705" w:type="dxa"/>
            <w:vAlign w:val="top"/>
          </w:tcPr>
          <w:p w14:paraId="1AC45E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O(m)</w:t>
            </w:r>
          </w:p>
        </w:tc>
      </w:tr>
      <w:tr w14:paraId="20777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6FF002EC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Spectral Clustering</w:t>
            </w:r>
          </w:p>
        </w:tc>
        <w:tc>
          <w:tcPr>
            <w:tcW w:w="1704" w:type="dxa"/>
            <w:vAlign w:val="top"/>
          </w:tcPr>
          <w:p w14:paraId="744E03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Неконтролируемый</w:t>
            </w:r>
          </w:p>
        </w:tc>
        <w:tc>
          <w:tcPr>
            <w:tcW w:w="1704" w:type="dxa"/>
            <w:vAlign w:val="top"/>
          </w:tcPr>
          <w:p w14:paraId="23B0355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1705" w:type="dxa"/>
            <w:vAlign w:val="top"/>
          </w:tcPr>
          <w:p w14:paraId="093DA5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,35</w:t>
            </w:r>
          </w:p>
        </w:tc>
        <w:tc>
          <w:tcPr>
            <w:tcW w:w="1705" w:type="dxa"/>
            <w:vAlign w:val="top"/>
          </w:tcPr>
          <w:p w14:paraId="454876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n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3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lang w:val="en-US"/>
                  </w:rPr>
                  <m:t>)</m:t>
                </m:r>
              </m:oMath>
            </m:oMathPara>
          </w:p>
        </w:tc>
      </w:tr>
      <w:tr w14:paraId="5529C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5C05EE27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GAE/VGAE</w:t>
            </w:r>
          </w:p>
        </w:tc>
        <w:tc>
          <w:tcPr>
            <w:tcW w:w="1704" w:type="dxa"/>
            <w:vAlign w:val="top"/>
          </w:tcPr>
          <w:p w14:paraId="1258E8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Неконтролируемый</w:t>
            </w:r>
          </w:p>
        </w:tc>
        <w:tc>
          <w:tcPr>
            <w:tcW w:w="1704" w:type="dxa"/>
            <w:vAlign w:val="top"/>
          </w:tcPr>
          <w:p w14:paraId="10F4D9C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Да</w:t>
            </w:r>
          </w:p>
        </w:tc>
        <w:tc>
          <w:tcPr>
            <w:tcW w:w="1705" w:type="dxa"/>
            <w:vAlign w:val="top"/>
          </w:tcPr>
          <w:p w14:paraId="475614B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,38-0,42</w:t>
            </w:r>
          </w:p>
        </w:tc>
        <w:tc>
          <w:tcPr>
            <w:tcW w:w="1705" w:type="dxa"/>
            <w:vAlign w:val="top"/>
          </w:tcPr>
          <w:p w14:paraId="347D31E9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O(m * epochs)</w:t>
            </w:r>
          </w:p>
        </w:tc>
      </w:tr>
    </w:tbl>
    <w:p w14:paraId="718DE7C7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7" w:name="_Toc73211067"/>
      <w:bookmarkStart w:id="18" w:name="_Toc171423731"/>
      <w:bookmarkStart w:id="19" w:name="_Toc5694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7"/>
      <w:bookmarkEnd w:id="18"/>
      <w:bookmarkEnd w:id="19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1AF8D86">
      <w:pPr>
        <w:spacing w:after="0" w:line="24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Модель строится из блоков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Graph Convolutional Layer: </w:t>
      </w:r>
    </w:p>
    <w:p w14:paraId="264F49ED">
      <w:pPr>
        <w:spacing w:after="0" w:line="24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</w:p>
    <w:p w14:paraId="21376E07">
      <w:pPr>
        <w:spacing w:after="0" w:line="240" w:lineRule="auto"/>
        <w:ind w:firstLine="708" w:firstLineChars="0"/>
        <w:jc w:val="both"/>
        <w:rPr>
          <w:rFonts w:hint="default" w:hAnsi="Cambria Math" w:eastAsia="Calibri"/>
          <w:i w:val="0"/>
          <w:sz w:val="28"/>
          <w:lang w:val="en-US"/>
        </w:rPr>
      </w:pPr>
      <m:oMath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H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(l+1)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  <m:r>
          <m:rPr/>
          <w:rPr>
            <w:rFonts w:hint="default" w:ascii="Cambria Math" w:hAnsi="Cambria Math" w:eastAsia="Calibri"/>
            <w:sz w:val="28"/>
          </w:rPr>
          <m:t>=σ</m:t>
        </m:r>
        <m:d>
          <m:dPr>
            <m:ctrlPr>
              <w:rPr>
                <w:rFonts w:hint="default" w:ascii="Cambria Math" w:hAnsi="Cambria Math" w:eastAsia="Calibri"/>
                <w:i/>
                <w:sz w:val="28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D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eastAsia="Calibri"/>
                        <w:i/>
                        <w:sz w:val="28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Calibri"/>
                    <w:i/>
                    <w:sz w:val="28"/>
                  </w:rPr>
                </m:ctrlPr>
              </m:sup>
            </m:sSup>
            <m:acc>
              <m:accPr>
                <m:chr m:val="̃"/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accPr>
              <m:e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A</m:t>
                </m:r>
                <m:ctrlPr>
                  <w:rPr>
                    <w:rFonts w:hint="default" w:ascii="Cambria Math" w:hAnsi="Cambria Math" w:eastAsia="Calibri"/>
                    <w:i/>
                    <w:sz w:val="28"/>
                  </w:rPr>
                </m:ctrlPr>
              </m:e>
            </m:acc>
            <m:sSup>
              <m:sSupPr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D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eastAsia="Calibri"/>
                        <w:i/>
                        <w:sz w:val="28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Calibri"/>
                    <w:i/>
                    <w:sz w:val="28"/>
                  </w:rPr>
                </m:ctrlPr>
              </m:sup>
            </m:sSup>
            <m:sSup>
              <m:sSupPr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sSupPr>
              <m:e>
                <m:r>
                  <m:rPr>
                    <m:sty m:val="b"/>
                  </m:rPr>
                  <w:rPr>
                    <w:rFonts w:hint="default" w:ascii="Cambria Math" w:hAnsi="Cambria Math" w:eastAsia="Calibri"/>
                    <w:sz w:val="28"/>
                  </w:rPr>
                  <m:t>H</m:t>
                </m:r>
                <m:ctrlPr>
                  <w:rPr>
                    <w:rFonts w:hint="default" w:ascii="Cambria Math" w:hAnsi="Cambria Math" w:eastAsia="Calibri"/>
                    <w:i/>
                    <w:sz w:val="28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(l)</m:t>
                </m:r>
                <m:ctrlPr>
                  <w:rPr>
                    <w:rFonts w:hint="default" w:ascii="Cambria Math" w:hAnsi="Cambria Math" w:eastAsia="Calibri"/>
                    <w:i/>
                    <w:sz w:val="28"/>
                  </w:rPr>
                </m:ctrlPr>
              </m:sup>
            </m:sSup>
            <m:sSup>
              <m:sSupPr>
                <m:ctrlPr>
                  <w:rPr>
                    <w:rFonts w:hint="default" w:ascii="Cambria Math" w:hAnsi="Cambria Math" w:eastAsia="Calibri"/>
                    <w:sz w:val="28"/>
                  </w:rPr>
                </m:ctrlPr>
              </m:sSupPr>
              <m:e>
                <m:r>
                  <m:rPr>
                    <m:sty m:val="b"/>
                  </m:rPr>
                  <w:rPr>
                    <w:rFonts w:hint="default" w:ascii="Cambria Math" w:hAnsi="Cambria Math" w:eastAsia="Calibri"/>
                    <w:sz w:val="28"/>
                  </w:rPr>
                  <m:t>W</m:t>
                </m:r>
                <m:ctrlPr>
                  <w:rPr>
                    <w:rFonts w:hint="default" w:ascii="Cambria Math" w:hAnsi="Cambria Math" w:eastAsia="Calibri"/>
                    <w:i/>
                    <w:sz w:val="28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(l)</m:t>
                </m:r>
                <m:ctrlPr>
                  <w:rPr>
                    <w:rFonts w:hint="default" w:ascii="Cambria Math" w:hAnsi="Cambria Math" w:eastAsia="Calibri"/>
                    <w:i/>
                    <w:sz w:val="28"/>
                  </w:rPr>
                </m:ctrlPr>
              </m:sup>
            </m:sSup>
            <m:ctrlPr>
              <w:rPr>
                <w:rFonts w:hint="default" w:ascii="Cambria Math" w:hAnsi="Cambria Math" w:eastAsia="Calibri"/>
                <w:sz w:val="28"/>
              </w:rPr>
            </m:ctrlPr>
          </m:e>
        </m:d>
      </m:oMath>
      <w:r>
        <w:rPr>
          <w:rFonts w:hint="default" w:hAnsi="Cambria Math" w:eastAsia="Calibri"/>
          <w:i w:val="0"/>
          <w:sz w:val="28"/>
          <w:lang w:val="en-US"/>
        </w:rPr>
        <w:t xml:space="preserve">, </w:t>
      </w:r>
      <w:r>
        <w:rPr>
          <w:rFonts w:hint="default" w:hAnsi="Cambria Math" w:eastAsia="Calibri"/>
          <w:i w:val="0"/>
          <w:sz w:val="28"/>
          <w:lang w:val="ru-RU"/>
        </w:rPr>
        <w:t>где</w:t>
      </w:r>
      <w:r>
        <w:rPr>
          <w:rFonts w:hint="default" w:hAnsi="Cambria Math" w:eastAsia="Calibri"/>
          <w:i w:val="0"/>
          <w:sz w:val="28"/>
          <w:lang w:val="en-US"/>
        </w:rPr>
        <w:t>:</w:t>
      </w:r>
    </w:p>
    <w:p w14:paraId="2B4A5EE9">
      <w:pPr>
        <w:spacing w:after="0" w:line="240" w:lineRule="auto"/>
        <w:ind w:firstLine="708" w:firstLineChars="0"/>
        <w:jc w:val="both"/>
        <w:rPr>
          <w:rFonts w:hint="default" w:hAnsi="Cambria Math" w:eastAsia="Calibri"/>
          <w:i w:val="0"/>
          <w:sz w:val="28"/>
        </w:rPr>
      </w:pPr>
    </w:p>
    <w:p w14:paraId="3BC278E4">
      <w:pPr>
        <w:spacing w:after="0" w:line="240" w:lineRule="auto"/>
        <w:ind w:firstLine="708" w:firstLineChars="0"/>
        <w:jc w:val="both"/>
        <m:rPr/>
        <w:rPr>
          <w:rFonts w:hint="default" w:ascii="Times New Roman" w:hAnsi="Cambria Math" w:eastAsia="Calibri"/>
          <w:i w:val="0"/>
          <w:sz w:val="28"/>
          <w:lang w:val="en-US"/>
        </w:rPr>
      </w:pPr>
      <m:oMath>
        <m:acc>
          <m:accPr>
            <m:chr m:val="̃"/>
            <m:ctrlPr>
              <w:rPr>
                <w:rFonts w:hint="default" w:ascii="Cambria Math" w:hAnsi="Cambria Math" w:eastAsia="Calibri"/>
                <w:sz w:val="28"/>
              </w:rPr>
            </m:ctrlPr>
          </m:accPr>
          <m:e>
            <m:r>
              <m:rPr/>
              <w:rPr>
                <w:rFonts w:hint="default" w:ascii="Cambria Math" w:hAnsi="Cambria Math" w:eastAsia="Calibri"/>
                <w:sz w:val="28"/>
              </w:rPr>
              <m:t>A</m:t>
            </m:r>
            <m:ctrlPr>
              <w:rPr>
                <w:rFonts w:ascii="Cambria Math" w:hAnsi="Cambria Math" w:eastAsia="Calibri"/>
                <w:sz w:val="28"/>
              </w:rPr>
            </m:ctrlPr>
          </m:e>
        </m:acc>
        <m:r>
          <m:rPr/>
          <w:rPr>
            <w:rFonts w:hint="default" w:ascii="Cambria Math" w:hAnsi="Cambria Math" w:eastAsia="Calibri"/>
            <w:sz w:val="28"/>
          </w:rPr>
          <m:t>=A+I</m:t>
        </m:r>
      </m:oMath>
      <w:r>
        <m:rPr/>
        <w:rPr>
          <w:rFonts w:hint="default" w:ascii="Times New Roman" w:hAnsi="Cambria Math" w:eastAsia="Calibri"/>
          <w:i w:val="0"/>
          <w:sz w:val="28"/>
          <w:lang w:val="ru-RU"/>
        </w:rPr>
        <w:t xml:space="preserve"> - матрица смежности с добавленными петлями</w:t>
      </w:r>
      <w:r>
        <m:rPr/>
        <w:rPr>
          <w:rFonts w:hint="default" w:ascii="Times New Roman" w:hAnsi="Cambria Math" w:eastAsia="Calibri"/>
          <w:i w:val="0"/>
          <w:sz w:val="28"/>
          <w:lang w:val="en-US"/>
        </w:rPr>
        <w:t>;</w:t>
      </w:r>
    </w:p>
    <w:p w14:paraId="3057B70C">
      <w:pPr>
        <w:spacing w:after="0" w:line="240" w:lineRule="auto"/>
        <w:ind w:firstLine="708" w:firstLineChars="0"/>
        <w:jc w:val="both"/>
        <m:rPr/>
        <w:rPr>
          <w:rFonts w:hint="default" w:ascii="Times New Roman" w:hAnsi="Cambria Math" w:eastAsia="Calibri"/>
          <w:i w:val="0"/>
          <w:sz w:val="28"/>
          <w:lang w:val="en-US"/>
        </w:rPr>
      </w:pPr>
    </w:p>
    <w:p w14:paraId="0EE4AC69">
      <w:pPr>
        <w:spacing w:after="0" w:line="240" w:lineRule="auto"/>
        <w:ind w:firstLine="708" w:firstLineChars="0"/>
        <w:jc w:val="both"/>
        <m:rPr/>
        <w:rPr>
          <w:rFonts w:hint="default" w:ascii="Times New Roman" w:hAnsi="Cambria Math" w:eastAsia="Calibri"/>
          <w:i w:val="0"/>
          <w:sz w:val="28"/>
          <w:lang w:val="en-US"/>
        </w:rPr>
      </w:pPr>
      <w:r>
        <m:rPr/>
        <w:rPr>
          <w:rFonts w:hint="default" w:ascii="Times New Roman" w:hAnsi="Cambria Math" w:eastAsia="Calibri"/>
          <w:i w:val="0"/>
          <w:sz w:val="28"/>
          <w:lang w:val="ru-RU"/>
        </w:rPr>
        <w:t xml:space="preserve">В энкодере </w:t>
      </w:r>
      <w:r>
        <m:rPr/>
        <w:rPr>
          <w:rFonts w:hint="default" w:ascii="Times New Roman" w:hAnsi="Cambria Math" w:eastAsia="Calibri"/>
          <w:i w:val="0"/>
          <w:sz w:val="28"/>
          <w:lang w:val="en-US"/>
        </w:rPr>
        <w:t xml:space="preserve">VGAE </w:t>
      </w:r>
      <w:r>
        <m:rPr/>
        <w:rPr>
          <w:rFonts w:hint="default" w:ascii="Times New Roman" w:hAnsi="Cambria Math" w:eastAsia="Calibri"/>
          <w:i w:val="0"/>
          <w:sz w:val="28"/>
          <w:lang w:val="ru-RU"/>
        </w:rPr>
        <w:t xml:space="preserve">после общего промежуточного </w:t>
      </w:r>
      <w:r>
        <m:rPr/>
        <w:rPr>
          <w:rFonts w:hint="default" w:ascii="Times New Roman" w:hAnsi="Cambria Math" w:eastAsia="Calibri"/>
          <w:i w:val="0"/>
          <w:sz w:val="28"/>
          <w:lang w:val="en-US"/>
        </w:rPr>
        <w:t>GCN-</w:t>
      </w:r>
      <w:r>
        <m:rPr/>
        <w:rPr>
          <w:rFonts w:hint="default" w:ascii="Times New Roman" w:hAnsi="Cambria Math" w:eastAsia="Calibri"/>
          <w:i w:val="0"/>
          <w:sz w:val="28"/>
          <w:lang w:val="ru-RU"/>
        </w:rPr>
        <w:t>слоя формируются два вектора</w:t>
      </w:r>
      <w:r>
        <m:rPr/>
        <w:rPr>
          <w:rFonts w:hint="default" w:ascii="Times New Roman" w:hAnsi="Cambria Math" w:eastAsia="Calibri"/>
          <w:i w:val="0"/>
          <w:sz w:val="28"/>
          <w:lang w:val="en-US"/>
        </w:rPr>
        <w:t xml:space="preserve"> </w:t>
      </w:r>
      <w:r>
        <m:rPr/>
        <w:rPr>
          <w:rFonts w:hint="default" w:ascii="Times New Roman" w:hAnsi="Cambria Math" w:eastAsia="Calibri"/>
          <w:i w:val="0"/>
          <w:sz w:val="28"/>
          <w:lang w:val="ru-RU"/>
        </w:rPr>
        <w:t>по формуле</w:t>
      </w:r>
      <w:r>
        <m:rPr/>
        <w:rPr>
          <w:rFonts w:hint="default" w:ascii="Times New Roman" w:hAnsi="Cambria Math" w:eastAsia="Calibri"/>
          <w:i w:val="0"/>
          <w:sz w:val="28"/>
          <w:lang w:val="en-US"/>
        </w:rPr>
        <w:t>:</w:t>
      </w:r>
    </w:p>
    <w:p w14:paraId="4FFD75AA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</w:rPr>
      </w:pPr>
    </w:p>
    <w:p w14:paraId="3B4C61E1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  <w:lang w:val="en-US"/>
        </w:rPr>
      </w:pPr>
      <m:oMath>
        <m:r>
          <m:rPr/>
          <w:rPr>
            <w:rFonts w:hint="default" w:ascii="Cambria Math" w:hAnsi="Cambria Math" w:eastAsia="Calibri"/>
            <w:sz w:val="28"/>
          </w:rPr>
          <m:t>μ=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</w:rPr>
              <m:t> GCN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μ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(</m:t>
        </m:r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H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(1)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  <m:r>
          <m:rPr/>
          <w:rPr>
            <w:rFonts w:hint="default" w:ascii="Cambria Math" w:hAnsi="Cambria Math" w:eastAsia="Calibri"/>
            <w:sz w:val="28"/>
          </w:rPr>
          <m:t>,A)</m:t>
        </m:r>
        <m:func>
          <m:funcPr>
            <m:ctrlPr>
              <w:rPr>
                <w:rFonts w:hint="default" w:ascii="Cambria Math" w:hAnsi="Cambria Math" w:eastAsia="Calibri"/>
                <w:sz w:val="28"/>
              </w:rPr>
            </m:ctrlPr>
          </m:funcPr>
          <m:fNam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</w:rPr>
              <m:t>log</m:t>
            </m:r>
            <m:ctrlPr>
              <w:rPr>
                <w:rFonts w:ascii="Cambria Math" w:hAnsi="Cambria Math" w:eastAsia="Calibri"/>
                <w:sz w:val="28"/>
              </w:rPr>
            </m:ctrlPr>
          </m:fName>
          <m:e>
            <m:r>
              <m:rPr/>
              <w:rPr>
                <w:rFonts w:hint="default" w:ascii="Cambria Math" w:hAnsi="Cambria Math" w:eastAsia="Calibri"/>
                <w:sz w:val="28"/>
              </w:rPr>
              <m:t>σ</m:t>
            </m:r>
            <m:ctrlPr>
              <w:rPr>
                <w:rFonts w:ascii="Cambria Math" w:hAnsi="Cambria Math" w:eastAsia="Calibri"/>
                <w:sz w:val="28"/>
              </w:rPr>
            </m:ctrlPr>
          </m:e>
        </m:func>
        <m:r>
          <m:rPr/>
          <w:rPr>
            <w:rFonts w:hint="default" w:ascii="Cambria Math" w:hAnsi="Cambria Math" w:eastAsia="Calibri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</w:rPr>
              <m:t> GCN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σ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(</m:t>
        </m:r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H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(1)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  <m:r>
          <m:rPr/>
          <w:rPr>
            <w:rFonts w:hint="default" w:ascii="Cambria Math" w:hAnsi="Cambria Math" w:eastAsia="Calibri"/>
            <w:sz w:val="28"/>
          </w:rPr>
          <m:t>,A)</m:t>
        </m:r>
      </m:oMath>
      <w:r>
        <m:rPr/>
        <w:rPr>
          <w:rFonts w:hint="default" w:hAnsi="Cambria Math" w:eastAsia="Calibri"/>
          <w:i w:val="0"/>
          <w:sz w:val="28"/>
          <w:lang w:val="en-US"/>
        </w:rPr>
        <w:t>;</w:t>
      </w:r>
    </w:p>
    <w:p w14:paraId="6A7D9E90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  <w:lang w:val="en-US"/>
        </w:rPr>
      </w:pPr>
    </w:p>
    <w:p w14:paraId="24444680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  <w:lang w:val="en-US"/>
        </w:rPr>
      </w:pPr>
      <w:r>
        <m:rPr/>
        <w:rPr>
          <w:rFonts w:hint="default" w:hAnsi="Cambria Math" w:eastAsia="Calibri"/>
          <w:i w:val="0"/>
          <w:sz w:val="28"/>
          <w:lang w:val="ru-RU"/>
        </w:rPr>
        <w:t>Латентные эмбеддинги получаются с помощью репараметризации - формула</w:t>
      </w:r>
      <w:r>
        <m:rPr/>
        <w:rPr>
          <w:rFonts w:hint="default" w:hAnsi="Cambria Math" w:eastAsia="Calibri"/>
          <w:i w:val="0"/>
          <w:sz w:val="28"/>
          <w:lang w:val="en-US"/>
        </w:rPr>
        <w:t>:</w:t>
      </w:r>
    </w:p>
    <w:p w14:paraId="065EB2DB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</w:rPr>
      </w:pPr>
    </w:p>
    <w:p w14:paraId="34650CDB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Calibri"/>
                <w:sz w:val="28"/>
              </w:rPr>
              <m:t>z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Calibri"/>
                <w:sz w:val="28"/>
              </w:rPr>
              <m:t>μ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+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Calibri"/>
                <w:sz w:val="28"/>
              </w:rPr>
              <m:t>σ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i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⊙ε, ε∼</m:t>
        </m:r>
        <m:r>
          <m:rPr>
            <m:scr m:val="script"/>
          </m:rPr>
          <w:rPr>
            <w:rFonts w:hint="default" w:ascii="Cambria Math" w:hAnsi="Cambria Math" w:eastAsia="MS Mincho"/>
            <w:sz w:val="28"/>
          </w:rPr>
          <m:t>N</m:t>
        </m:r>
        <m:r>
          <m:rPr/>
          <w:rPr>
            <w:rFonts w:hint="default" w:ascii="Cambria Math" w:hAnsi="Cambria Math" w:eastAsia="Calibri"/>
            <w:sz w:val="28"/>
          </w:rPr>
          <m:t>(0,I)</m:t>
        </m:r>
      </m:oMath>
      <w:r>
        <m:rPr/>
        <w:rPr>
          <w:rFonts w:hint="default" w:hAnsi="Cambria Math" w:eastAsia="Calibri"/>
          <w:i w:val="0"/>
          <w:sz w:val="28"/>
          <w:lang w:val="en-US"/>
        </w:rPr>
        <w:t>;</w:t>
      </w:r>
    </w:p>
    <w:p w14:paraId="004729FD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  <w:lang w:val="en-US"/>
        </w:rPr>
      </w:pPr>
    </w:p>
    <w:p w14:paraId="6782068F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  <w:lang w:val="ru-RU"/>
        </w:rPr>
      </w:pPr>
      <w:r>
        <m:rPr/>
        <w:rPr>
          <w:rFonts w:hint="default" w:hAnsi="Cambria Math" w:eastAsia="Calibri"/>
          <w:i w:val="0"/>
          <w:sz w:val="28"/>
          <w:lang w:val="ru-RU"/>
        </w:rPr>
        <w:t>Полную функцию потерь можно рассчитать по формуле</w:t>
      </w:r>
      <w:r>
        <m:rPr/>
        <w:rPr>
          <w:rFonts w:hint="default" w:hAnsi="Cambria Math" w:eastAsia="Calibri"/>
          <w:i w:val="0"/>
          <w:sz w:val="28"/>
          <w:lang w:val="en-US"/>
        </w:rPr>
        <w:t xml:space="preserve">: </w:t>
      </w:r>
    </w:p>
    <w:p w14:paraId="338EDA81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</w:rPr>
      </w:pPr>
    </w:p>
    <w:p w14:paraId="0B06693B">
      <w:pPr>
        <w:spacing w:after="0" w:line="240" w:lineRule="auto"/>
        <w:ind w:firstLine="708" w:firstLineChars="0"/>
        <w:jc w:val="both"/>
        <m:rPr/>
        <w:rPr>
          <w:rFonts w:hint="default" w:hAnsi="Cambria Math" w:eastAsia="Calibri"/>
          <w:i w:val="0"/>
          <w:sz w:val="28"/>
          <w:lang w:val="en-US" w:eastAsia="en-US"/>
        </w:rPr>
      </w:pPr>
      <m:oMath>
        <m:r>
          <m:rPr>
            <m:scr m:val="script"/>
          </m:rPr>
          <w:rPr>
            <w:rFonts w:hint="default" w:ascii="Cambria Math" w:hAnsi="Cambria Math" w:eastAsia="MS Mincho"/>
            <w:sz w:val="28"/>
          </w:rPr>
          <m:t>ℒ</m:t>
        </m:r>
        <m:r>
          <m:rPr/>
          <w:rPr>
            <w:rFonts w:hint="default" w:ascii="Cambria Math" w:hAnsi="Cambria Math" w:eastAsia="Calibri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8"/>
              </w:rPr>
              <m:t>E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q(Z|X,A)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[</m:t>
        </m:r>
        <m:func>
          <m:funcPr>
            <m:ctrlPr>
              <w:rPr>
                <w:rFonts w:hint="default" w:ascii="Cambria Math" w:hAnsi="Cambria Math" w:eastAsia="Calibri"/>
                <w:sz w:val="28"/>
              </w:rPr>
            </m:ctrlPr>
          </m:funcPr>
          <m:fNam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</w:rPr>
              <m:t>log</m:t>
            </m:r>
            <m:ctrlPr>
              <w:rPr>
                <w:rFonts w:ascii="Cambria Math" w:hAnsi="Cambria Math" w:eastAsia="Calibri"/>
                <w:sz w:val="28"/>
              </w:rPr>
            </m:ctrlPr>
          </m:fName>
          <m:e>
            <m:r>
              <m:rPr/>
              <w:rPr>
                <w:rFonts w:hint="default" w:ascii="Cambria Math" w:hAnsi="Cambria Math" w:eastAsia="Calibri"/>
                <w:sz w:val="28"/>
              </w:rPr>
              <m:t>p</m:t>
            </m:r>
            <m:ctrlPr>
              <w:rPr>
                <w:rFonts w:ascii="Cambria Math" w:hAnsi="Cambria Math" w:eastAsia="Calibri"/>
                <w:sz w:val="28"/>
              </w:rPr>
            </m:ctrlPr>
          </m:e>
        </m:func>
        <m:r>
          <m:rPr/>
          <w:rPr>
            <w:rFonts w:hint="default" w:ascii="Cambria Math" w:hAnsi="Cambria Math" w:eastAsia="Calibri"/>
            <w:sz w:val="28"/>
          </w:rPr>
          <m:t>(A|Z)]−</m:t>
        </m:r>
        <m:sSub>
          <m:sSubPr>
            <m:ctrlPr>
              <w:rPr>
                <w:rFonts w:hint="default" w:ascii="Cambria Math" w:hAnsi="Cambria Math" w:eastAsia="Calibri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Calibri"/>
                <w:sz w:val="28"/>
              </w:rPr>
              <m:t>D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Calibri"/>
                <w:sz w:val="28"/>
              </w:rPr>
              <m:t>KL</m:t>
            </m:r>
            <m:ctrlPr>
              <w:rPr>
                <w:rFonts w:ascii="Cambria Math" w:hAnsi="Cambria Math" w:eastAsia="Calibri"/>
                <w:sz w:val="28"/>
              </w:rPr>
            </m:ctrlPr>
          </m:sub>
        </m:sSub>
        <m:r>
          <m:rPr/>
          <w:rPr>
            <w:rFonts w:hint="default" w:ascii="Cambria Math" w:hAnsi="Cambria Math" w:eastAsia="Calibri"/>
            <w:sz w:val="28"/>
          </w:rPr>
          <m:t>(q(Z|X,A)∥p(Z))</m:t>
        </m:r>
      </m:oMath>
      <w:r>
        <m:rPr/>
        <w:rPr>
          <w:rFonts w:hint="default" w:hAnsi="Cambria Math" w:eastAsia="Calibri"/>
          <w:i w:val="0"/>
          <w:sz w:val="28"/>
          <w:lang w:val="en-US"/>
        </w:rPr>
        <w:t>;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0" w:name="_Toc73211068"/>
      <w:bookmarkStart w:id="21" w:name="_Toc171423732"/>
      <w:bookmarkStart w:id="22" w:name="_Toc41916374"/>
      <w:bookmarkStart w:id="23" w:name="_Toc42166423"/>
      <w:bookmarkStart w:id="24" w:name="_Toc11863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0"/>
      <w:bookmarkEnd w:id="21"/>
      <w:bookmarkEnd w:id="22"/>
      <w:bookmarkEnd w:id="23"/>
      <w:bookmarkEnd w:id="24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Изучены основы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VGAE,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учитывания структуры графа и признаков узлов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изучены математические основы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GCN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блоков и вариационных автоэнкодеров для графов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5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3EA8DB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4390" w:type="dxa"/>
            <w:shd w:val="clear" w:color="auto" w:fill="D9D9D9"/>
          </w:tcPr>
          <w:p w14:paraId="47874D44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</w:tcPr>
          <w:p w14:paraId="3FC1AA0E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14:paraId="3E619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</w:tcPr>
          <w:p w14:paraId="5FD68C7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Разобраны принципы работы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GCN</w:t>
            </w:r>
          </w:p>
        </w:tc>
        <w:tc>
          <w:tcPr>
            <w:tcW w:w="5309" w:type="dxa"/>
            <w:vMerge w:val="restart"/>
          </w:tcPr>
          <w:p w14:paraId="6281AA55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 w14:paraId="37550C58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приложений, интеграции разнородных данных</w:t>
            </w:r>
          </w:p>
          <w:p w14:paraId="49CF8022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14:paraId="581C77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</w:tcPr>
          <w:p w14:paraId="792DDBE0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Изучены теоритические аспекты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VGAE</w:t>
            </w:r>
          </w:p>
        </w:tc>
        <w:tc>
          <w:tcPr>
            <w:tcW w:w="5309" w:type="dxa"/>
            <w:vMerge w:val="continue"/>
          </w:tcPr>
          <w:p w14:paraId="1F79DDC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</w:p>
        </w:tc>
      </w:tr>
      <w:tr w14:paraId="440982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</w:tcPr>
          <w:p w14:paraId="11FD4CFC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 xml:space="preserve">Разработана </w:t>
            </w:r>
            <w:r>
              <w:rPr>
                <w:rFonts w:ascii="Times New Roman" w:hAnsi="Times New Roman" w:eastAsia="Calibri"/>
                <w:sz w:val="24"/>
                <w:szCs w:val="24"/>
              </w:rPr>
              <w:t>математическая модель нейронной сети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/>
              </w:rPr>
              <w:t>GNN</w:t>
            </w:r>
          </w:p>
        </w:tc>
        <w:tc>
          <w:tcPr>
            <w:tcW w:w="5309" w:type="dxa"/>
          </w:tcPr>
          <w:p w14:paraId="7EAF0608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ПК-7.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</w:tc>
      </w:tr>
    </w:tbl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3B63F3BE">
      <w:pPr>
        <w:pStyle w:val="2"/>
        <w:numPr>
          <w:ilvl w:val="0"/>
          <w:numId w:val="3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5" w:name="_Toc171423733"/>
      <w:bookmarkStart w:id="26" w:name="_Toc73211069"/>
      <w:bookmarkStart w:id="27" w:name="_Toc20218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5"/>
      <w:bookmarkEnd w:id="26"/>
      <w:bookmarkEnd w:id="27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8" w:name="_Toc171423734"/>
      <w:bookmarkStart w:id="29" w:name="_Toc73211070"/>
      <w:bookmarkStart w:id="30" w:name="_Toc9144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8"/>
      <w:bookmarkEnd w:id="29"/>
      <w:bookmarkEnd w:id="30"/>
    </w:p>
    <w:p w14:paraId="3EB074C4"/>
    <w:p w14:paraId="162DD58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Variational Graph Auto-Encoder VGAE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состоит из графовых сверточных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реализуют сбор информации о соседних узлах в графе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Абривеатура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GCN - Graph Convolutional Neurons,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выполняет нормализованную свёртку по соседям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1B2B7246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m:oMath>
        <m:sSubSup>
          <m:sSubSupP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h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i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(l+1)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Calibri"/>
            <w:sz w:val="28"/>
            <w:szCs w:val="28"/>
            <w:lang w:val="en-US" w:eastAsia="en-US"/>
          </w:rPr>
          <m:t>=σ</m:t>
        </m:r>
        <m:d>
          <m:dP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dPr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naryPr>
              <m:sub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j∈</m:t>
                </m:r>
                <m:r>
                  <m:rPr>
                    <m:sty m:val="p"/>
                    <m:scr m:val="script"/>
                  </m:rPr>
                  <w:rPr>
                    <w:rFonts w:hint="default" w:ascii="Cambria Math" w:hAnsi="Cambria Math" w:eastAsia="MS Mincho"/>
                    <w:sz w:val="28"/>
                    <w:szCs w:val="28"/>
                    <w:lang w:val="en-US" w:eastAsia="en-US"/>
                  </w:rPr>
                  <m:t>N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(i)∪{i}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ub>
              <m:sup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up>
              <m:e>
                <m:f>
                  <m:fPr>
                    <m:ctrlPr>
                      <w:rPr>
                        <w:rFonts w:hint="default" w:ascii="Cambria Math" w:hAnsi="Cambria Math" w:eastAsia="Calibri"/>
                        <w:sz w:val="28"/>
                        <w:szCs w:val="28"/>
                        <w:lang w:val="en-US" w:eastAsia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default" w:ascii="Cambria Math" w:hAnsi="Cambria Math" w:eastAsia="Calibri"/>
                        <w:sz w:val="28"/>
                        <w:szCs w:val="28"/>
                        <w:lang w:val="en-US" w:eastAsia="en-US"/>
                      </w:rPr>
                      <m:t>1</m:t>
                    </m:r>
                    <m:ctrlPr>
                      <w:rPr>
                        <w:rFonts w:hint="default" w:ascii="Cambria Math" w:hAnsi="Cambria Math" w:eastAsia="Calibri"/>
                        <w:sz w:val="28"/>
                        <w:szCs w:val="28"/>
                        <w:lang w:val="en-US" w:eastAsia="en-US"/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eastAsia="Calibri"/>
                            <w:sz w:val="28"/>
                            <w:szCs w:val="28"/>
                            <w:lang w:val="en-US" w:eastAsia="en-US"/>
                          </w:rPr>
                        </m:ctrlPr>
                      </m:radPr>
                      <m:deg>
                        <m:ctrlPr>
                          <w:rPr>
                            <w:rFonts w:hint="default" w:ascii="Cambria Math" w:hAnsi="Cambria Math" w:eastAsia="Calibri"/>
                            <w:sz w:val="28"/>
                            <w:szCs w:val="28"/>
                            <w:lang w:val="en-US" w:eastAsia="en-US"/>
                          </w:rPr>
                        </m:ctrlPr>
                      </m:deg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hint="default" w:ascii="Cambria Math" w:hAnsi="Cambria Math" w:eastAsia="Calibri"/>
                                    <w:sz w:val="28"/>
                                    <w:szCs w:val="28"/>
                                    <w:lang w:val="en-US" w:eastAsia="en-US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Calibri"/>
                                    <w:sz w:val="28"/>
                                    <w:szCs w:val="28"/>
                                    <w:lang w:val="en-US" w:eastAsia="en-US"/>
                                  </w:rPr>
                                  <m:t>d</m:t>
                                </m:r>
                                <m:ctrlPr>
                                  <w:rPr>
                                    <w:rFonts w:hint="default" w:ascii="Cambria Math" w:hAnsi="Cambria Math" w:eastAsia="Calibri"/>
                                    <w:sz w:val="28"/>
                                    <w:szCs w:val="28"/>
                                    <w:lang w:val="en-US" w:eastAsia="en-US"/>
                                  </w:rPr>
                                </m:ctrlPr>
                              </m:e>
                            </m:acc>
                            <m:ctrl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  <m:t>ii</m:t>
                            </m:r>
                            <m:ctrl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</m:ctrlP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/>
                            <w:sz w:val="28"/>
                            <w:szCs w:val="28"/>
                            <w:lang w:val="en-US" w:eastAsia="en-US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hint="default" w:ascii="Cambria Math" w:hAnsi="Cambria Math" w:eastAsia="Calibri"/>
                                    <w:sz w:val="28"/>
                                    <w:szCs w:val="28"/>
                                    <w:lang w:val="en-US" w:eastAsia="en-US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hint="default" w:ascii="Cambria Math" w:hAnsi="Cambria Math" w:eastAsia="Calibri"/>
                                    <w:sz w:val="28"/>
                                    <w:szCs w:val="28"/>
                                    <w:lang w:val="en-US" w:eastAsia="en-US"/>
                                  </w:rPr>
                                  <m:t>d</m:t>
                                </m:r>
                                <m:ctrlPr>
                                  <w:rPr>
                                    <w:rFonts w:hint="default" w:ascii="Cambria Math" w:hAnsi="Cambria Math" w:eastAsia="Calibri"/>
                                    <w:sz w:val="28"/>
                                    <w:szCs w:val="28"/>
                                    <w:lang w:val="en-US" w:eastAsia="en-US"/>
                                  </w:rPr>
                                </m:ctrlPr>
                              </m:e>
                            </m:acc>
                            <m:ctrl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  <m:t>jj</m:t>
                            </m:r>
                            <m:ctrlPr>
                              <w:rPr>
                                <w:rFonts w:hint="default" w:ascii="Cambria Math" w:hAnsi="Cambria Math" w:eastAsia="Calibri"/>
                                <w:sz w:val="28"/>
                                <w:szCs w:val="28"/>
                                <w:lang w:val="en-US" w:eastAsia="en-US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Calibri"/>
                            <w:sz w:val="28"/>
                            <w:szCs w:val="28"/>
                            <w:lang w:val="en-US" w:eastAsia="en-US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eastAsia="Calibri"/>
                        <w:sz w:val="28"/>
                        <w:szCs w:val="28"/>
                        <w:lang w:val="en-US" w:eastAsia="en-US"/>
                      </w:rPr>
                    </m:ctrlPr>
                  </m:den>
                </m:f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e>
            </m:nary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 </m:t>
            </m:r>
            <m:sSubSup>
              <m:sSubSupP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h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j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ub>
              <m:sup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(l)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up>
            </m:sSubSup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 </m:t>
            </m:r>
            <m:sSup>
              <m:sSupP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w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(l)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up>
            </m:sSup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+</m:t>
            </m:r>
            <m:sSup>
              <m:sSupP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b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  <m:t>(l)</m:t>
                </m:r>
                <m:ctrlPr>
                  <w:rPr>
                    <w:rFonts w:hint="default" w:ascii="Cambria Math" w:hAnsi="Cambria Math" w:eastAsia="Calibri"/>
                    <w:sz w:val="28"/>
                    <w:szCs w:val="28"/>
                    <w:lang w:val="en-US" w:eastAsia="en-US"/>
                  </w:rPr>
                </m:ctrlPr>
              </m:sup>
            </m:sSup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e>
        </m:d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где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w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(l)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b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  <m:t>(l)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en-US" w:eastAsia="en-US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обучаемые параметры слоя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F84F44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вариационной части применяются два параллельных линейных нейрона для предсказания параметров распределения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μ</m:t>
        </m:r>
      </m:oMath>
      <w:r>
        <m:rPr/>
        <w:rPr>
          <w:rFonts w:hint="default" w:ascii="Times New Roman" w:hAnsi="Cambria Math" w:eastAsia="sans-serif" w:cs="Times New Roman"/>
          <w:i w:val="0"/>
          <w:sz w:val="28"/>
          <w:szCs w:val="28"/>
          <w:lang w:val="ru-RU"/>
        </w:rPr>
        <w:t xml:space="preserve"> 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logσ</m:t>
        </m:r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8301C89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Типы нейронов в разработанной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34DBD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E5022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Тип нейрона</w:t>
            </w:r>
          </w:p>
          <w:p w14:paraId="14F9CACD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4C0915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Функция активации</w:t>
            </w:r>
          </w:p>
          <w:p w14:paraId="48EBFF96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47C939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Назначение</w:t>
            </w:r>
          </w:p>
          <w:p w14:paraId="541C83D6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</w:tr>
      <w:tr w14:paraId="5587A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3A8C13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Graph Convolutional (GCN)</w:t>
            </w:r>
          </w:p>
          <w:p w14:paraId="245C4BFB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6566ADE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2841" w:type="dxa"/>
          </w:tcPr>
          <w:p w14:paraId="5A5575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Агрегация сообщений от соседей, захват локальной структуры</w:t>
            </w:r>
          </w:p>
          <w:p w14:paraId="3E947126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</w:tr>
      <w:tr w14:paraId="06945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9117B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 xml:space="preserve">Линейный (для </w:t>
            </w:r>
            <m:oMath>
              <m:r>
                <m:rPr>
                  <m:nor/>
                </m:rPr>
                <w:rPr>
                  <w:rFonts w:hint="default" w:ascii="Cambria Math" w:hAnsi="Cambria Math" w:eastAsia="sans-serif" w:cs="Times New Roman"/>
                  <w:i/>
                  <w:sz w:val="28"/>
                  <w:szCs w:val="28"/>
                </w:rPr>
                <m:t>μ</m:t>
              </m:r>
            </m:oMath>
            <w:r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>)</w:t>
            </w:r>
          </w:p>
          <w:p w14:paraId="32AF1FFB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6418CC3D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 xml:space="preserve">Линейная </w:t>
            </w:r>
          </w:p>
        </w:tc>
        <w:tc>
          <w:tcPr>
            <w:tcW w:w="2841" w:type="dxa"/>
          </w:tcPr>
          <w:p w14:paraId="167E20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Формирование среднего латентного вектора</w:t>
            </w:r>
          </w:p>
          <w:p w14:paraId="6A1428DF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</w:tr>
      <w:tr w14:paraId="77924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57F8E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 xml:space="preserve">Линейный (для </w:t>
            </w:r>
            <m:oMath>
              <m:r>
                <m:rPr>
                  <m:nor/>
                </m:rPr>
                <w:rPr>
                  <w:rFonts w:hint="default" w:ascii="Cambria Math" w:hAnsi="Cambria Math" w:eastAsia="sans-serif" w:cs="Times New Roman"/>
                  <w:i/>
                  <w:sz w:val="28"/>
                  <w:szCs w:val="28"/>
                </w:rPr>
                <m:t>logσ</m:t>
              </m:r>
            </m:oMath>
            <w:r>
              <m:rPr/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>)</w:t>
            </w:r>
          </w:p>
          <w:p w14:paraId="397A2B60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0A0A844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Линейная</w:t>
            </w:r>
          </w:p>
        </w:tc>
        <w:tc>
          <w:tcPr>
            <w:tcW w:w="2841" w:type="dxa"/>
          </w:tcPr>
          <w:p w14:paraId="2C2A03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Формирование логарифма стандартного отклонения</w:t>
            </w:r>
          </w:p>
          <w:p w14:paraId="271E3574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</w:tr>
      <w:tr w14:paraId="4593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6BE65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Декодер (скалярное произведение)</w:t>
            </w:r>
          </w:p>
          <w:p w14:paraId="1400F8AF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107AACC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Сигмоида</w:t>
            </w:r>
          </w:p>
        </w:tc>
        <w:tc>
          <w:tcPr>
            <w:tcW w:w="2841" w:type="dxa"/>
          </w:tcPr>
          <w:p w14:paraId="689D40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Реконструкция вероятности существования ребра</w:t>
            </w:r>
          </w:p>
          <w:p w14:paraId="56A79D01">
            <w:pPr>
              <w:spacing w:after="0" w:line="360" w:lineRule="auto"/>
              <w:jc w:val="righ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</w:tr>
    </w:tbl>
    <w:p w14:paraId="47E0F4A1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1" w:name="_Toc171423735"/>
      <w:bookmarkStart w:id="32" w:name="_Toc73211071"/>
      <w:bookmarkStart w:id="33" w:name="_Toc27962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1"/>
      <w:bookmarkEnd w:id="32"/>
      <w:bookmarkEnd w:id="33"/>
    </w:p>
    <w:p w14:paraId="0616C787"/>
    <w:p w14:paraId="7FBA358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VGAE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 двухслойным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GCN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-нейрона с агрегацией сообщений состоит 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входного слоя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первогог общего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GCN-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слоя для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μ</m:t>
        </m:r>
      </m:oMath>
      <w:r>
        <m:rPr/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</w:t>
      </w:r>
      <w:r>
        <m:rPr/>
        <w:rPr>
          <w:rFonts w:hint="default" w:hAnsi="Cambria Math" w:eastAsia="sans-serif" w:cs="Times New Roman"/>
          <w:i w:val="0"/>
          <w:sz w:val="28"/>
          <w:szCs w:val="28"/>
          <w:lang w:val="ru-RU"/>
        </w:rPr>
        <w:t xml:space="preserve">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logσ</m:t>
        </m:r>
      </m:oMath>
      <w:r>
        <m:rPr/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, </w:t>
      </w:r>
      <w:r>
        <m:rPr/>
        <w:rPr>
          <w:rFonts w:hint="default" w:hAnsi="Cambria Math" w:eastAsia="sans-serif" w:cs="Times New Roman"/>
          <w:i w:val="0"/>
          <w:sz w:val="28"/>
          <w:szCs w:val="28"/>
          <w:lang w:val="ru-RU"/>
        </w:rPr>
        <w:t>репараметризации для получения эмбеддингов</w:t>
      </w:r>
      <w:r>
        <m:rPr/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, </w:t>
      </w:r>
      <w:r>
        <m:rPr/>
        <w:rPr>
          <w:rFonts w:hint="default" w:hAnsi="Cambria Math" w:eastAsia="sans-serif" w:cs="Times New Roman"/>
          <w:i w:val="0"/>
          <w:sz w:val="28"/>
          <w:szCs w:val="28"/>
          <w:lang w:val="ru-RU"/>
        </w:rPr>
        <w:t>декодера</w:t>
      </w:r>
      <w:r>
        <m:rPr/>
        <w:rPr>
          <w:rFonts w:hint="default" w:hAnsi="Cambria Math" w:eastAsia="sans-serif" w:cs="Times New Roman"/>
          <w:i w:val="0"/>
          <w:sz w:val="28"/>
          <w:szCs w:val="28"/>
          <w:lang w:val="en-US"/>
        </w:rPr>
        <w:t>.</w:t>
      </w:r>
    </w:p>
    <w:p w14:paraId="386F78BE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3352800" cy="1805940"/>
            <wp:effectExtent l="0" t="0" r="0" b="762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80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499A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Архитектура разработанной 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VGAE.</w:t>
      </w:r>
    </w:p>
    <w:p w14:paraId="785E2FC8">
      <w:pPr>
        <w:spacing w:after="0" w:line="360" w:lineRule="auto"/>
        <w:ind w:firstLine="709"/>
        <w:jc w:val="right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Таблица 6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Характеристики слоёв модели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9B39A1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81"/>
        <w:gridCol w:w="3779"/>
        <w:gridCol w:w="2131"/>
        <w:gridCol w:w="2131"/>
      </w:tblGrid>
      <w:tr w14:paraId="546AE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81" w:type="dxa"/>
          </w:tcPr>
          <w:p w14:paraId="7F6AC84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779" w:type="dxa"/>
          </w:tcPr>
          <w:p w14:paraId="610594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131" w:type="dxa"/>
          </w:tcPr>
          <w:p w14:paraId="0EF9985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размерность</w:t>
            </w:r>
          </w:p>
        </w:tc>
        <w:tc>
          <w:tcPr>
            <w:tcW w:w="2131" w:type="dxa"/>
          </w:tcPr>
          <w:p w14:paraId="09F8790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параметров</w:t>
            </w:r>
          </w:p>
        </w:tc>
      </w:tr>
      <w:tr w14:paraId="236F9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81" w:type="dxa"/>
          </w:tcPr>
          <w:p w14:paraId="60DA75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779" w:type="dxa"/>
          </w:tcPr>
          <w:p w14:paraId="09D38E0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GCN 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вход - промежуточный)</w:t>
            </w:r>
          </w:p>
        </w:tc>
        <w:tc>
          <w:tcPr>
            <w:tcW w:w="2131" w:type="dxa"/>
          </w:tcPr>
          <w:p w14:paraId="0925170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64)</w:t>
            </w:r>
          </w:p>
        </w:tc>
        <w:tc>
          <w:tcPr>
            <w:tcW w:w="2131" w:type="dxa"/>
          </w:tcPr>
          <w:p w14:paraId="4DB747C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2 176</w:t>
            </w:r>
          </w:p>
        </w:tc>
      </w:tr>
      <w:tr w14:paraId="0C1DE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81" w:type="dxa"/>
          </w:tcPr>
          <w:p w14:paraId="766EB7B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779" w:type="dxa"/>
          </w:tcPr>
          <w:p w14:paraId="2AD121D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GCN </w:t>
            </w:r>
            <m:oMath>
              <m:r>
                <m:rPr>
                  <m:nor/>
                </m:rPr>
                <w:rPr>
                  <w:rFonts w:hint="default" w:ascii="Cambria Math" w:hAnsi="Cambria Math" w:eastAsia="sans-serif" w:cs="Times New Roman"/>
                  <w:i/>
                  <w:sz w:val="28"/>
                  <w:szCs w:val="28"/>
                </w:rPr>
                <m:t>μ</m:t>
              </m:r>
            </m:oMath>
          </w:p>
        </w:tc>
        <w:tc>
          <w:tcPr>
            <w:tcW w:w="2131" w:type="dxa"/>
          </w:tcPr>
          <w:p w14:paraId="54558D0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16)</w:t>
            </w:r>
          </w:p>
        </w:tc>
        <w:tc>
          <w:tcPr>
            <w:tcW w:w="2131" w:type="dxa"/>
          </w:tcPr>
          <w:p w14:paraId="0B07FED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1040</w:t>
            </w:r>
          </w:p>
        </w:tc>
      </w:tr>
      <w:tr w14:paraId="20E01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81" w:type="dxa"/>
          </w:tcPr>
          <w:p w14:paraId="3EFACF5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779" w:type="dxa"/>
          </w:tcPr>
          <w:p w14:paraId="620E39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GCN </w:t>
            </w:r>
            <m:oMath>
              <m:r>
                <m:rPr>
                  <m:nor/>
                </m:rPr>
                <w:rPr>
                  <w:rFonts w:hint="default" w:ascii="Cambria Math" w:hAnsi="Cambria Math" w:eastAsia="sans-serif" w:cs="Times New Roman"/>
                  <w:i/>
                  <w:sz w:val="28"/>
                  <w:szCs w:val="28"/>
                </w:rPr>
                <m:t>logσ</m:t>
              </m:r>
            </m:oMath>
          </w:p>
        </w:tc>
        <w:tc>
          <w:tcPr>
            <w:tcW w:w="2131" w:type="dxa"/>
          </w:tcPr>
          <w:p w14:paraId="021ACC8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(N, 16)</w:t>
            </w:r>
          </w:p>
        </w:tc>
        <w:tc>
          <w:tcPr>
            <w:tcW w:w="2131" w:type="dxa"/>
          </w:tcPr>
          <w:p w14:paraId="75BCA9E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1040</w:t>
            </w:r>
          </w:p>
        </w:tc>
      </w:tr>
      <w:tr w14:paraId="7A9C2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391" w:type="dxa"/>
            <w:gridSpan w:val="3"/>
          </w:tcPr>
          <w:p w14:paraId="46052B9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Итого</w:t>
            </w:r>
          </w:p>
        </w:tc>
        <w:tc>
          <w:tcPr>
            <w:tcW w:w="2131" w:type="dxa"/>
          </w:tcPr>
          <w:p w14:paraId="1CCD46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4256</w:t>
            </w:r>
          </w:p>
        </w:tc>
      </w:tr>
    </w:tbl>
    <w:p w14:paraId="3EA09734">
      <w:pPr>
        <w:spacing w:after="0" w:line="360" w:lineRule="auto"/>
        <w:jc w:val="both"/>
        <w:rPr>
          <w:rFonts w:hint="default"/>
          <w:lang w:val="ru-RU" w:eastAsia="en-US"/>
        </w:rPr>
      </w:pPr>
    </w:p>
    <w:p w14:paraId="258FDE7F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34" w:name="_Toc73211076"/>
      <w:bookmarkStart w:id="35" w:name="_Toc171423740"/>
      <w:bookmarkStart w:id="36" w:name="_Toc13939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34"/>
      <w:bookmarkEnd w:id="35"/>
      <w:bookmarkEnd w:id="36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63F66FBB">
      <w:pPr>
        <w:spacing w:after="0" w:line="360" w:lineRule="auto"/>
        <w:ind w:left="708" w:leftChars="0"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Обучение проводилось оптимизатором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Adam learning rate =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01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две сотни эпох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предотвращения переобучения использовался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callbacks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раней остановкой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 отсутсвия улучшения на 20 эпохах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Картинки ниже приведены для датасета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Cora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семью классами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6BB0D02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4820285" cy="4453255"/>
            <wp:effectExtent l="0" t="0" r="10795" b="1206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2C33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Динамика функции потерь</w:t>
      </w:r>
    </w:p>
    <w:p w14:paraId="35AECFF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0500" cy="4676140"/>
            <wp:effectExtent l="0" t="0" r="2540" b="2540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67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AF567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Метрики качества реконструкции</w:t>
      </w:r>
    </w:p>
    <w:p w14:paraId="2CBA12F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66690" cy="4502785"/>
            <wp:effectExtent l="0" t="0" r="6350" b="8255"/>
            <wp:docPr id="10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50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49CD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Выбор оптимального числа кластеров</w:t>
      </w:r>
    </w:p>
    <w:p w14:paraId="3F217BA1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2405" cy="4993640"/>
            <wp:effectExtent l="0" t="0" r="635" b="5080"/>
            <wp:docPr id="11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9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5C2E6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Визуализация эмбеддингов</w:t>
      </w:r>
    </w:p>
    <w:p w14:paraId="02B00CFD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69865" cy="4984115"/>
            <wp:effectExtent l="0" t="0" r="3175" b="14605"/>
            <wp:docPr id="1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8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4DB48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Обнаруженные сообщества в сети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Cora.</w:t>
      </w:r>
    </w:p>
    <w:p w14:paraId="20A08D8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drawing>
          <wp:inline distT="0" distB="0" distL="114300" distR="114300">
            <wp:extent cx="5270500" cy="4827905"/>
            <wp:effectExtent l="0" t="0" r="2540" b="3175"/>
            <wp:docPr id="13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82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4FFF1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Матрица соответствия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0032BA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2667000" cy="2042160"/>
            <wp:effectExtent l="0" t="0" r="0" b="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90C2C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Результаты сравнения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VGAE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классическими методами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0DBEAF7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drawing>
          <wp:inline distT="0" distB="0" distL="114300" distR="114300">
            <wp:extent cx="5267960" cy="3712210"/>
            <wp:effectExtent l="0" t="0" r="5080" b="6350"/>
            <wp:docPr id="14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1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57CA0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 10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Динамика компонентов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7EEA1AE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3667125"/>
            <wp:effectExtent l="0" t="0" r="1905" b="5715"/>
            <wp:docPr id="1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4D374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адекватности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валидационной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709C377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drawing>
          <wp:inline distT="0" distB="0" distL="114300" distR="114300">
            <wp:extent cx="5270500" cy="3668395"/>
            <wp:effectExtent l="0" t="0" r="2540" b="4445"/>
            <wp:docPr id="1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261DD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Мониторинг градиентов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DB33566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drawing>
          <wp:inline distT="0" distB="0" distL="114300" distR="114300">
            <wp:extent cx="5270500" cy="3568065"/>
            <wp:effectExtent l="0" t="0" r="2540" b="13335"/>
            <wp:docPr id="17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34C68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7AE1BABD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13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Расписание скорости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30DA63A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EAE4429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37" w:name="_Toc171423744"/>
      <w:bookmarkStart w:id="38" w:name="_Toc73211080"/>
      <w:bookmarkStart w:id="39" w:name="_Toc41935264"/>
      <w:bookmarkStart w:id="40" w:name="_Toc42166432"/>
      <w:bookmarkStart w:id="41" w:name="_Toc12983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37"/>
      <w:bookmarkEnd w:id="38"/>
      <w:bookmarkEnd w:id="39"/>
      <w:bookmarkEnd w:id="40"/>
      <w:bookmarkEnd w:id="41"/>
    </w:p>
    <w:p w14:paraId="698FEEB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657A1BB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разделе 3 выполнена разработка графовой нейронной сети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VGAE,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решения задачи выявления сообществ в графах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Были достигнуты высокие показатели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Modularity 0,40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NMI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,89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датасете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Cora.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5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7E1E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  <w:vAlign w:val="top"/>
          </w:tcPr>
          <w:p w14:paraId="77BDBA07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5EDD04E0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3616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  <w:vAlign w:val="top"/>
          </w:tcPr>
          <w:p w14:paraId="7B908322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Р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еализована и обучена 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VGAE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с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GCN-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энкодером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задачи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community detection.</w:t>
            </w:r>
          </w:p>
          <w:p w14:paraId="33FC974C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2592BAA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Подобраны оптимальные гиперпараметры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достижения высоких оценок метриками качества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VGAE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и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GCN.</w:t>
            </w:r>
          </w:p>
          <w:p w14:paraId="70AA2EF1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2B16B152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Проведена оценка адекватности обучения 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с визуализацией результатов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4912" w:type="dxa"/>
          </w:tcPr>
          <w:p w14:paraId="2ACE5B01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 Разработка сложной многоуровневой архитектуры нейронной сети для решения задач прогнозироваания временных рядов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способность применять разные методы машинного обучения для решения задач имеющих разный контекст и особенности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разработка прикладного программного обеспечения для решения задач на предприятии с интеграции сбора базы данных с датчиков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IoT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и внутренних сборщиков баз данных на предприятии аналогичному Московскому университету имени Витте или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IBM.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 </w:t>
            </w:r>
          </w:p>
          <w:p w14:paraId="31F0211E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</w:p>
          <w:p w14:paraId="13172775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ПК-8 Необходимо уметь находить нужные гипер параметры для выполнения конкретной задачи связанной с предсказанием тренда и сезоности временного ряда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.</w:t>
            </w:r>
          </w:p>
          <w:p w14:paraId="7BBE455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</w:p>
          <w:p w14:paraId="041C390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A7BA529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655FA11B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7E4D9E0C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3D51F643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3D857B91">
      <w:pPr>
        <w:spacing w:after="0" w:line="240" w:lineRule="auto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D4B9C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42" w:name="_Toc171423745"/>
      <w:bookmarkStart w:id="43" w:name="_Toc73211081"/>
      <w:bookmarkStart w:id="44" w:name="_Toc6802"/>
      <w:r>
        <w:rPr>
          <w:sz w:val="28"/>
          <w:szCs w:val="28"/>
        </w:rPr>
        <w:t>Заключение</w:t>
      </w:r>
      <w:bookmarkEnd w:id="42"/>
      <w:bookmarkEnd w:id="43"/>
      <w:bookmarkEnd w:id="44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Эксплутационная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практика научила применять графовые нейронные сети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автоматического выявления сообществ в графах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разработанная модель обучена на датасетах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Cora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Zachary’s Karate Club,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показала высокое качество выявления сообществ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полученное решение превзошло классические методы при сравнении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разработка обладает практической значимостью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анализа реальных подграфов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сособствуя повышению уровня влияния на сообщество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управление эмоциональной тональностью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увеличение эффективности рекомендательного контекста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выявлением групп с целью проведения таргетинговой рекламы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использование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unsupervised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подходов на основе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GNN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позволяет решать задачу без размеченных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45" w:name="_Toc171423746"/>
      <w:bookmarkStart w:id="46" w:name="_Toc73211082"/>
      <w:bookmarkStart w:id="47" w:name="_Toc41935271"/>
      <w:bookmarkStart w:id="48" w:name="_Toc24513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45"/>
      <w:bookmarkEnd w:id="46"/>
      <w:bookmarkEnd w:id="47"/>
      <w:bookmarkEnd w:id="48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4F204FE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Kipf T. N., Welling M. Variational Graph Auto-Encoders // arXiv preprint arXiv:1611.07308. – 2016.</w:t>
      </w:r>
    </w:p>
    <w:p w14:paraId="545152E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Kipf T. N., Welling M. Semi-Supervised Classification with Graph Convolutional Networks // International Conference on Learning Representations (ICLR). – 2017.</w:t>
      </w:r>
    </w:p>
    <w:p w14:paraId="5434418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Hamilton W. L., Ying R., Leskovec J. Inductive Representation Learning on Large Graphs // Advances in Neural Information Processing Systems (NeurIPS). – 2017.</w:t>
      </w:r>
    </w:p>
    <w:p w14:paraId="794C897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Veličković P. et al. Graph Attention Networks // International Conference on Learning Representations (ICLR). – 2018.</w:t>
      </w:r>
    </w:p>
    <w:p w14:paraId="32FDFBD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Blondel V. D. et al. Fast unfolding of communities in large networks // Journal of Statistical Mechanics: Theory and Experiment. – 2008. – Vol. 2008. – № 10. – P. P10008.</w:t>
      </w:r>
    </w:p>
    <w:p w14:paraId="12F267E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Zachary W. W. An Information Flow Model for Conflict and Fission in Small Groups // Journal of Anthropological Research. – 1977. – Vol. 33. – № 4. – P. 452–473.</w:t>
      </w:r>
    </w:p>
    <w:p w14:paraId="290A133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Leskovec J., Krevl A. SNAP Datasets: Stanford Large Network Dataset Collection //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begin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instrText xml:space="preserve"> HYPERLINK "http://snap.stanford.edu/data" \t "_blank" </w:instrTex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eastAsia="sans-serif" w:cs="Times New Roman"/>
          <w:color w:val="000000"/>
          <w:sz w:val="28"/>
          <w:szCs w:val="28"/>
        </w:rPr>
        <w:t>http://snap.stanford.edu/data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end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. – 2014.</w:t>
      </w:r>
    </w:p>
    <w:p w14:paraId="5583A5D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Goodfellow I., Bengio Y., Courville A. Deep Learning. – MIT Press, 2016. – 800 p.</w:t>
      </w:r>
    </w:p>
    <w:p w14:paraId="74240DE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Гудфеллоу Я., Бенджио И., Курвилль А. Глубокое обучение. – М.: ДМК Пресс, 2018. – 652 с.</w:t>
      </w:r>
    </w:p>
    <w:p w14:paraId="23CD235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Хасти Т., Тибширани Р., Фридман Дж. Основы статистического обучения. – М.: ДМК Пресс, 2019. – 768 с.</w:t>
      </w:r>
    </w:p>
    <w:p w14:paraId="597E78E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Бишоп К. М. Распознавание образов и машинное обучение. – М.: ДМК Пресс, 2019. – 488 с.</w:t>
      </w:r>
    </w:p>
    <w:p w14:paraId="434F9D1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Василевский А. В. Графовые нейронные сети: обзор методов и приложений // Информатика и её применения. – 2023. – Т. 17. – № 2. – С. 45–58.</w:t>
      </w:r>
    </w:p>
    <w:p w14:paraId="1B0AD89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Иванов В. В. Анализ социальных сетей с использованием машинного обучения // Вестник МГУ. Серия 20: Информатика. – 2024. – № 3. – С. 112–125.</w:t>
      </w:r>
    </w:p>
    <w:p w14:paraId="6AB2400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PyTorch Geometric Documentation [Электронный ресурс]. – URL: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begin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instrText xml:space="preserve"> HYPERLINK "https://pytorch-geometric.readthedocs.io" \t "_blank" </w:instrTex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eastAsia="sans-serif" w:cs="Times New Roman"/>
          <w:color w:val="000000"/>
          <w:sz w:val="28"/>
          <w:szCs w:val="28"/>
        </w:rPr>
        <w:t>https://pytorch-geometric.readthedocs.io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end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 (дата обращения: 19.12.2025).</w:t>
      </w:r>
    </w:p>
    <w:p w14:paraId="00B81B4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NetworkX Documentation [Электронный ресурс]. – URL: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begin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instrText xml:space="preserve"> HYPERLINK "https://networkx.org/documentation/stable/" \t "_blank" </w:instrTex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eastAsia="sans-serif" w:cs="Times New Roman"/>
          <w:color w:val="000000"/>
          <w:sz w:val="28"/>
          <w:szCs w:val="28"/>
        </w:rPr>
        <w:t>https://networkx.org/documentation/stable/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end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 (дата обращения: 19.12.2025).</w:t>
      </w:r>
    </w:p>
    <w:p w14:paraId="1B00615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Newman M. E. J. Networks: An Introduction. – Oxford University Press, 2010. – 720 p.</w:t>
      </w:r>
    </w:p>
    <w:p w14:paraId="3DECAA8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Fortunato S. Community detection in graphs // Physics Reports. – 2010. – Vol. 486. – № 3–5. – P. 75–174.</w:t>
      </w:r>
    </w:p>
    <w:p w14:paraId="10270DC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Yang J., Leskovec J. Defining and Evaluating Network Communities based on Ground-truth // Knowledge and Information Systems. – 2015. – Vol. 42. – P. 181–213.</w:t>
      </w:r>
    </w:p>
    <w:p w14:paraId="4EFB179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Kingma D. P., Welling M. Auto-Encoding Variational Bayes // arXiv preprint arXiv:1312.6114. – 2013.</w:t>
      </w:r>
    </w:p>
    <w:p w14:paraId="418E3EC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Scarselli F. et al. The Graph Neural Network Model // IEEE Transactions on Neural Networks. – 2009. – Vol. 20. – № 1. – P. 61–80.</w:t>
      </w:r>
    </w:p>
    <w:p w14:paraId="6DA41D08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Git Hub: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"https://github.com/Slavik993/Practica_Orehov_community_finding"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Slavik993/Practica_Orehov_community_finding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</w:p>
    <w:p w14:paraId="278842A8">
      <w:pPr>
        <w:rPr>
          <w:rFonts w:hint="default"/>
        </w:rPr>
      </w:pPr>
    </w:p>
    <w:p w14:paraId="4B2DAF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>
    <w:nsid w:val="0462165F"/>
    <w:multiLevelType w:val="singleLevel"/>
    <w:tmpl w:val="0462165F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B4E1B9F"/>
    <w:multiLevelType w:val="multilevel"/>
    <w:tmpl w:val="2B4E1B9F"/>
    <w:lvl w:ilvl="0" w:tentative="0">
      <w:start w:val="1"/>
      <w:numFmt w:val="decimal"/>
      <w:pStyle w:val="12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933997"/>
    <w:rsid w:val="00BF7DE5"/>
    <w:rsid w:val="013A0CBD"/>
    <w:rsid w:val="013F48F6"/>
    <w:rsid w:val="01417C64"/>
    <w:rsid w:val="016F43BB"/>
    <w:rsid w:val="01775219"/>
    <w:rsid w:val="01DF0C51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5508BA"/>
    <w:rsid w:val="035A61F2"/>
    <w:rsid w:val="0366599D"/>
    <w:rsid w:val="03713232"/>
    <w:rsid w:val="03BE76CA"/>
    <w:rsid w:val="03DC2C52"/>
    <w:rsid w:val="03E147EA"/>
    <w:rsid w:val="03EF1DB7"/>
    <w:rsid w:val="042538CC"/>
    <w:rsid w:val="0426646C"/>
    <w:rsid w:val="0446275E"/>
    <w:rsid w:val="045C5F9D"/>
    <w:rsid w:val="04724BCD"/>
    <w:rsid w:val="04AC4FFA"/>
    <w:rsid w:val="04B638C9"/>
    <w:rsid w:val="04DC287B"/>
    <w:rsid w:val="04F94F5F"/>
    <w:rsid w:val="050C783E"/>
    <w:rsid w:val="055943D7"/>
    <w:rsid w:val="05690402"/>
    <w:rsid w:val="05710B18"/>
    <w:rsid w:val="057161FA"/>
    <w:rsid w:val="05862CF6"/>
    <w:rsid w:val="05AD0B6B"/>
    <w:rsid w:val="05DF023C"/>
    <w:rsid w:val="05E80A3D"/>
    <w:rsid w:val="0617220C"/>
    <w:rsid w:val="06213272"/>
    <w:rsid w:val="06602E5E"/>
    <w:rsid w:val="0669602D"/>
    <w:rsid w:val="06A93A70"/>
    <w:rsid w:val="06F56377"/>
    <w:rsid w:val="072262F7"/>
    <w:rsid w:val="07465CE6"/>
    <w:rsid w:val="076C2B3D"/>
    <w:rsid w:val="078B0F5C"/>
    <w:rsid w:val="07CF70FB"/>
    <w:rsid w:val="07E6794D"/>
    <w:rsid w:val="07F46FEF"/>
    <w:rsid w:val="07F71A6E"/>
    <w:rsid w:val="081B19DC"/>
    <w:rsid w:val="08306DEB"/>
    <w:rsid w:val="083309D2"/>
    <w:rsid w:val="08367069"/>
    <w:rsid w:val="089F2A70"/>
    <w:rsid w:val="08BC52C9"/>
    <w:rsid w:val="08C47915"/>
    <w:rsid w:val="08F2025D"/>
    <w:rsid w:val="0985741A"/>
    <w:rsid w:val="098B5BDC"/>
    <w:rsid w:val="099111BE"/>
    <w:rsid w:val="09A20F25"/>
    <w:rsid w:val="09C14DB9"/>
    <w:rsid w:val="09CA0B1C"/>
    <w:rsid w:val="09E21E49"/>
    <w:rsid w:val="09F50F48"/>
    <w:rsid w:val="0A025C68"/>
    <w:rsid w:val="0A43792E"/>
    <w:rsid w:val="0A4A6522"/>
    <w:rsid w:val="0A883567"/>
    <w:rsid w:val="0A891756"/>
    <w:rsid w:val="0AA73D54"/>
    <w:rsid w:val="0ADF27E4"/>
    <w:rsid w:val="0B5B374C"/>
    <w:rsid w:val="0B622204"/>
    <w:rsid w:val="0B6636C2"/>
    <w:rsid w:val="0B6F078F"/>
    <w:rsid w:val="0B76395D"/>
    <w:rsid w:val="0B930EA1"/>
    <w:rsid w:val="0BC00DEE"/>
    <w:rsid w:val="0BE93E1F"/>
    <w:rsid w:val="0BFE313E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5A085B"/>
    <w:rsid w:val="0D7766FF"/>
    <w:rsid w:val="0D9C32E2"/>
    <w:rsid w:val="0DC823EA"/>
    <w:rsid w:val="0DCB2402"/>
    <w:rsid w:val="0DD55AD2"/>
    <w:rsid w:val="0DDC3BD8"/>
    <w:rsid w:val="0E4B33CD"/>
    <w:rsid w:val="0E956D7D"/>
    <w:rsid w:val="0ECE66B2"/>
    <w:rsid w:val="0EF51157"/>
    <w:rsid w:val="0F00541F"/>
    <w:rsid w:val="0F415B8D"/>
    <w:rsid w:val="0F4E2499"/>
    <w:rsid w:val="0F4E5569"/>
    <w:rsid w:val="0F551881"/>
    <w:rsid w:val="0F5752EC"/>
    <w:rsid w:val="0F6C700F"/>
    <w:rsid w:val="0FC44875"/>
    <w:rsid w:val="0FDC4E2D"/>
    <w:rsid w:val="0FEE1C08"/>
    <w:rsid w:val="10583A7A"/>
    <w:rsid w:val="1058777E"/>
    <w:rsid w:val="107C2907"/>
    <w:rsid w:val="10A95523"/>
    <w:rsid w:val="10D475C5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C3459"/>
    <w:rsid w:val="14BE7B39"/>
    <w:rsid w:val="14C0309A"/>
    <w:rsid w:val="14C05076"/>
    <w:rsid w:val="15090F10"/>
    <w:rsid w:val="15314596"/>
    <w:rsid w:val="15507CFD"/>
    <w:rsid w:val="157A6D9B"/>
    <w:rsid w:val="157E1963"/>
    <w:rsid w:val="15DA10F2"/>
    <w:rsid w:val="15DF08B8"/>
    <w:rsid w:val="16257E16"/>
    <w:rsid w:val="162C7035"/>
    <w:rsid w:val="16997DC9"/>
    <w:rsid w:val="16AE479B"/>
    <w:rsid w:val="16CC53F5"/>
    <w:rsid w:val="16D9191F"/>
    <w:rsid w:val="16DB4F08"/>
    <w:rsid w:val="173536D4"/>
    <w:rsid w:val="174B1B73"/>
    <w:rsid w:val="177A138D"/>
    <w:rsid w:val="17A76AD1"/>
    <w:rsid w:val="17D578FC"/>
    <w:rsid w:val="17DD5BBA"/>
    <w:rsid w:val="17EF68CD"/>
    <w:rsid w:val="17FE4CD2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1A1878"/>
    <w:rsid w:val="195B19B9"/>
    <w:rsid w:val="19AC150A"/>
    <w:rsid w:val="19B51395"/>
    <w:rsid w:val="19BA38F8"/>
    <w:rsid w:val="19DA6FC4"/>
    <w:rsid w:val="19F02DAB"/>
    <w:rsid w:val="19F177F1"/>
    <w:rsid w:val="19FF275E"/>
    <w:rsid w:val="1A140E49"/>
    <w:rsid w:val="1A454F4F"/>
    <w:rsid w:val="1A661BDB"/>
    <w:rsid w:val="1A6A4BCA"/>
    <w:rsid w:val="1AAB1406"/>
    <w:rsid w:val="1B100279"/>
    <w:rsid w:val="1B1500B3"/>
    <w:rsid w:val="1B1A7CD4"/>
    <w:rsid w:val="1B42447A"/>
    <w:rsid w:val="1B731482"/>
    <w:rsid w:val="1B7C43B8"/>
    <w:rsid w:val="1B8439CA"/>
    <w:rsid w:val="1B901651"/>
    <w:rsid w:val="1B9F104C"/>
    <w:rsid w:val="1BA3321E"/>
    <w:rsid w:val="1BCC78C6"/>
    <w:rsid w:val="1BDF3BF5"/>
    <w:rsid w:val="1BF53751"/>
    <w:rsid w:val="1C0221CE"/>
    <w:rsid w:val="1C08267A"/>
    <w:rsid w:val="1C0E6C19"/>
    <w:rsid w:val="1C177AE5"/>
    <w:rsid w:val="1C1A5BB7"/>
    <w:rsid w:val="1C2870E7"/>
    <w:rsid w:val="1C4D6DEF"/>
    <w:rsid w:val="1C597334"/>
    <w:rsid w:val="1CF33244"/>
    <w:rsid w:val="1CFC00EB"/>
    <w:rsid w:val="1D144C6E"/>
    <w:rsid w:val="1D323B04"/>
    <w:rsid w:val="1D3838DC"/>
    <w:rsid w:val="1D3C3403"/>
    <w:rsid w:val="1D5C71BB"/>
    <w:rsid w:val="1D7652EC"/>
    <w:rsid w:val="1D7D279D"/>
    <w:rsid w:val="1D8058CD"/>
    <w:rsid w:val="1D826422"/>
    <w:rsid w:val="1D8B1923"/>
    <w:rsid w:val="1D9E3C5A"/>
    <w:rsid w:val="1DC97276"/>
    <w:rsid w:val="1E070116"/>
    <w:rsid w:val="1E0C1A8B"/>
    <w:rsid w:val="1E177140"/>
    <w:rsid w:val="1E1C37CD"/>
    <w:rsid w:val="1E310498"/>
    <w:rsid w:val="1E495B3F"/>
    <w:rsid w:val="1E635C56"/>
    <w:rsid w:val="1E656462"/>
    <w:rsid w:val="1E672BF1"/>
    <w:rsid w:val="1E885BE3"/>
    <w:rsid w:val="1EB14ED1"/>
    <w:rsid w:val="1ECC643B"/>
    <w:rsid w:val="1EE869A7"/>
    <w:rsid w:val="1F0F0FD2"/>
    <w:rsid w:val="1F1A2460"/>
    <w:rsid w:val="1F6B6906"/>
    <w:rsid w:val="1F70522D"/>
    <w:rsid w:val="1FC34FCA"/>
    <w:rsid w:val="1FDC2234"/>
    <w:rsid w:val="200A1C59"/>
    <w:rsid w:val="2012512B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894F1D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4A7D37"/>
    <w:rsid w:val="235D255C"/>
    <w:rsid w:val="23B05AC1"/>
    <w:rsid w:val="23B52D23"/>
    <w:rsid w:val="23D3314B"/>
    <w:rsid w:val="23E866E5"/>
    <w:rsid w:val="241A4E26"/>
    <w:rsid w:val="242B219E"/>
    <w:rsid w:val="243D75F3"/>
    <w:rsid w:val="246A3ACB"/>
    <w:rsid w:val="247E276B"/>
    <w:rsid w:val="249E0AA2"/>
    <w:rsid w:val="24A6668C"/>
    <w:rsid w:val="24A75360"/>
    <w:rsid w:val="24B027D4"/>
    <w:rsid w:val="24BB2CAD"/>
    <w:rsid w:val="24EE3D24"/>
    <w:rsid w:val="25063411"/>
    <w:rsid w:val="25116886"/>
    <w:rsid w:val="2511775C"/>
    <w:rsid w:val="252E7B8D"/>
    <w:rsid w:val="255933B9"/>
    <w:rsid w:val="255C7F9B"/>
    <w:rsid w:val="255D690A"/>
    <w:rsid w:val="256C658B"/>
    <w:rsid w:val="25743A87"/>
    <w:rsid w:val="258F07B6"/>
    <w:rsid w:val="25987046"/>
    <w:rsid w:val="25A07EAF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C0182E"/>
    <w:rsid w:val="26EA1C7A"/>
    <w:rsid w:val="27001ADD"/>
    <w:rsid w:val="27041ED3"/>
    <w:rsid w:val="272C23FA"/>
    <w:rsid w:val="272C7198"/>
    <w:rsid w:val="276247B6"/>
    <w:rsid w:val="278D69BB"/>
    <w:rsid w:val="27940DA0"/>
    <w:rsid w:val="27994E67"/>
    <w:rsid w:val="27B84691"/>
    <w:rsid w:val="27BA566D"/>
    <w:rsid w:val="27C70F4E"/>
    <w:rsid w:val="27CB1C9E"/>
    <w:rsid w:val="27D32580"/>
    <w:rsid w:val="27DA216D"/>
    <w:rsid w:val="27F1444B"/>
    <w:rsid w:val="27F75178"/>
    <w:rsid w:val="27FD03A1"/>
    <w:rsid w:val="285442E0"/>
    <w:rsid w:val="285932E7"/>
    <w:rsid w:val="28793615"/>
    <w:rsid w:val="28E06745"/>
    <w:rsid w:val="28E765AF"/>
    <w:rsid w:val="28FB5AC8"/>
    <w:rsid w:val="28FF7467"/>
    <w:rsid w:val="290F204E"/>
    <w:rsid w:val="29171565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3F0281"/>
    <w:rsid w:val="2B4D4158"/>
    <w:rsid w:val="2B6F6851"/>
    <w:rsid w:val="2B88503C"/>
    <w:rsid w:val="2BA75354"/>
    <w:rsid w:val="2BB91F9A"/>
    <w:rsid w:val="2BBF0D03"/>
    <w:rsid w:val="2BC43604"/>
    <w:rsid w:val="2BCD0952"/>
    <w:rsid w:val="2BE9306A"/>
    <w:rsid w:val="2C1E07A6"/>
    <w:rsid w:val="2CD61610"/>
    <w:rsid w:val="2CE231CD"/>
    <w:rsid w:val="2D047A30"/>
    <w:rsid w:val="2D1F0559"/>
    <w:rsid w:val="2D2A1950"/>
    <w:rsid w:val="2D316C87"/>
    <w:rsid w:val="2D424D34"/>
    <w:rsid w:val="2D6B03C7"/>
    <w:rsid w:val="2D817536"/>
    <w:rsid w:val="2D835CC8"/>
    <w:rsid w:val="2D835EDD"/>
    <w:rsid w:val="2D8800B2"/>
    <w:rsid w:val="2D9B4C73"/>
    <w:rsid w:val="2DD033D6"/>
    <w:rsid w:val="2DDA0585"/>
    <w:rsid w:val="2DDD51FA"/>
    <w:rsid w:val="2DEF7CA9"/>
    <w:rsid w:val="2DF01A0C"/>
    <w:rsid w:val="2E1C30BA"/>
    <w:rsid w:val="2E262354"/>
    <w:rsid w:val="2EA709F6"/>
    <w:rsid w:val="2EB21EA8"/>
    <w:rsid w:val="2EB37960"/>
    <w:rsid w:val="2EB775B3"/>
    <w:rsid w:val="2EBD258D"/>
    <w:rsid w:val="2EC2295B"/>
    <w:rsid w:val="2F3F4928"/>
    <w:rsid w:val="2F452A6A"/>
    <w:rsid w:val="2F4F4680"/>
    <w:rsid w:val="2F523ABD"/>
    <w:rsid w:val="2F611FCA"/>
    <w:rsid w:val="2F66459C"/>
    <w:rsid w:val="2F72726C"/>
    <w:rsid w:val="2FA631ED"/>
    <w:rsid w:val="2FBB2678"/>
    <w:rsid w:val="2FCA6D7F"/>
    <w:rsid w:val="2FDC0137"/>
    <w:rsid w:val="2FE80A81"/>
    <w:rsid w:val="3028070E"/>
    <w:rsid w:val="304B702F"/>
    <w:rsid w:val="305F5CBD"/>
    <w:rsid w:val="306453B6"/>
    <w:rsid w:val="3066058D"/>
    <w:rsid w:val="309B7884"/>
    <w:rsid w:val="30F82350"/>
    <w:rsid w:val="310857FE"/>
    <w:rsid w:val="31290532"/>
    <w:rsid w:val="312C1182"/>
    <w:rsid w:val="313C3C3D"/>
    <w:rsid w:val="31673B61"/>
    <w:rsid w:val="316C01F1"/>
    <w:rsid w:val="31742B75"/>
    <w:rsid w:val="318769F7"/>
    <w:rsid w:val="319A6273"/>
    <w:rsid w:val="31DA6D2F"/>
    <w:rsid w:val="31F11FD7"/>
    <w:rsid w:val="31FE7C56"/>
    <w:rsid w:val="323050A8"/>
    <w:rsid w:val="32605F39"/>
    <w:rsid w:val="32C273B3"/>
    <w:rsid w:val="32C77F74"/>
    <w:rsid w:val="32D51876"/>
    <w:rsid w:val="32E15179"/>
    <w:rsid w:val="32ED176D"/>
    <w:rsid w:val="32F24425"/>
    <w:rsid w:val="32F64FD4"/>
    <w:rsid w:val="330F3435"/>
    <w:rsid w:val="332A7E02"/>
    <w:rsid w:val="33395737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1C52A6"/>
    <w:rsid w:val="352136FB"/>
    <w:rsid w:val="353C70AD"/>
    <w:rsid w:val="35423C8E"/>
    <w:rsid w:val="3548237A"/>
    <w:rsid w:val="35682720"/>
    <w:rsid w:val="356D4F55"/>
    <w:rsid w:val="357F3BAB"/>
    <w:rsid w:val="35C75553"/>
    <w:rsid w:val="35CD1445"/>
    <w:rsid w:val="35DA0D9B"/>
    <w:rsid w:val="35F01ABE"/>
    <w:rsid w:val="363302A0"/>
    <w:rsid w:val="365903E1"/>
    <w:rsid w:val="36630549"/>
    <w:rsid w:val="36B57593"/>
    <w:rsid w:val="36BD3C49"/>
    <w:rsid w:val="36F206C5"/>
    <w:rsid w:val="370279FC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848634F"/>
    <w:rsid w:val="390C1143"/>
    <w:rsid w:val="390C22BF"/>
    <w:rsid w:val="39494CC1"/>
    <w:rsid w:val="3973632A"/>
    <w:rsid w:val="398E773F"/>
    <w:rsid w:val="39A84589"/>
    <w:rsid w:val="39D0561F"/>
    <w:rsid w:val="3A0E55C0"/>
    <w:rsid w:val="3A625555"/>
    <w:rsid w:val="3A717D6E"/>
    <w:rsid w:val="3A727464"/>
    <w:rsid w:val="3A7B57D6"/>
    <w:rsid w:val="3AC726AF"/>
    <w:rsid w:val="3ACC0959"/>
    <w:rsid w:val="3AD45894"/>
    <w:rsid w:val="3B17449E"/>
    <w:rsid w:val="3B337CD7"/>
    <w:rsid w:val="3B624474"/>
    <w:rsid w:val="3B8A33D0"/>
    <w:rsid w:val="3BF67023"/>
    <w:rsid w:val="3C0B5911"/>
    <w:rsid w:val="3C777494"/>
    <w:rsid w:val="3C7F5A1D"/>
    <w:rsid w:val="3C983396"/>
    <w:rsid w:val="3CA71725"/>
    <w:rsid w:val="3CB52527"/>
    <w:rsid w:val="3CBE35EF"/>
    <w:rsid w:val="3D0A17A7"/>
    <w:rsid w:val="3D0A2E41"/>
    <w:rsid w:val="3D2D7C39"/>
    <w:rsid w:val="3D3103CE"/>
    <w:rsid w:val="3D5D3C39"/>
    <w:rsid w:val="3D5E546B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F407F7"/>
    <w:rsid w:val="40F732A4"/>
    <w:rsid w:val="40F9630B"/>
    <w:rsid w:val="41087004"/>
    <w:rsid w:val="414304FC"/>
    <w:rsid w:val="416751FF"/>
    <w:rsid w:val="417954BC"/>
    <w:rsid w:val="41AD61AF"/>
    <w:rsid w:val="41B11ADD"/>
    <w:rsid w:val="41BC57E8"/>
    <w:rsid w:val="41BE50D3"/>
    <w:rsid w:val="41E864D0"/>
    <w:rsid w:val="41F27582"/>
    <w:rsid w:val="41FD0AC8"/>
    <w:rsid w:val="4205704C"/>
    <w:rsid w:val="422C0E20"/>
    <w:rsid w:val="42371199"/>
    <w:rsid w:val="42427B2C"/>
    <w:rsid w:val="424512BE"/>
    <w:rsid w:val="42BB7A68"/>
    <w:rsid w:val="42CB1ACF"/>
    <w:rsid w:val="42D52512"/>
    <w:rsid w:val="42E30E32"/>
    <w:rsid w:val="42E85458"/>
    <w:rsid w:val="430414DA"/>
    <w:rsid w:val="431C3D77"/>
    <w:rsid w:val="4329466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A416B0"/>
    <w:rsid w:val="44EC0A31"/>
    <w:rsid w:val="44F3512F"/>
    <w:rsid w:val="45046868"/>
    <w:rsid w:val="45510E4D"/>
    <w:rsid w:val="45533A70"/>
    <w:rsid w:val="4567122B"/>
    <w:rsid w:val="459C7046"/>
    <w:rsid w:val="45A706E8"/>
    <w:rsid w:val="45C444FC"/>
    <w:rsid w:val="45C75F72"/>
    <w:rsid w:val="45F73E72"/>
    <w:rsid w:val="4662762C"/>
    <w:rsid w:val="466E0B17"/>
    <w:rsid w:val="469D27CB"/>
    <w:rsid w:val="469E6370"/>
    <w:rsid w:val="46A11BA1"/>
    <w:rsid w:val="46E930B2"/>
    <w:rsid w:val="46FC5729"/>
    <w:rsid w:val="46FC6031"/>
    <w:rsid w:val="470E2204"/>
    <w:rsid w:val="472E48D4"/>
    <w:rsid w:val="477A5A9E"/>
    <w:rsid w:val="479357EC"/>
    <w:rsid w:val="47A6578C"/>
    <w:rsid w:val="47C85450"/>
    <w:rsid w:val="47DF3A74"/>
    <w:rsid w:val="47F26D8C"/>
    <w:rsid w:val="480C42C3"/>
    <w:rsid w:val="482B7039"/>
    <w:rsid w:val="48391369"/>
    <w:rsid w:val="487429ED"/>
    <w:rsid w:val="48C9234E"/>
    <w:rsid w:val="48D732BA"/>
    <w:rsid w:val="48D905B9"/>
    <w:rsid w:val="49026C22"/>
    <w:rsid w:val="490779DE"/>
    <w:rsid w:val="490B65E1"/>
    <w:rsid w:val="49307AC0"/>
    <w:rsid w:val="4959661D"/>
    <w:rsid w:val="495A04B4"/>
    <w:rsid w:val="49670139"/>
    <w:rsid w:val="499D2E36"/>
    <w:rsid w:val="49B7374A"/>
    <w:rsid w:val="49DD6C65"/>
    <w:rsid w:val="4A0764D3"/>
    <w:rsid w:val="4A5B288E"/>
    <w:rsid w:val="4A5B6AE5"/>
    <w:rsid w:val="4A7C62C7"/>
    <w:rsid w:val="4A876BD5"/>
    <w:rsid w:val="4A97538A"/>
    <w:rsid w:val="4A977ACD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92472D"/>
    <w:rsid w:val="4BCE1A60"/>
    <w:rsid w:val="4BD26D40"/>
    <w:rsid w:val="4BD304AC"/>
    <w:rsid w:val="4BD44628"/>
    <w:rsid w:val="4BE7296C"/>
    <w:rsid w:val="4BF17159"/>
    <w:rsid w:val="4BF9435B"/>
    <w:rsid w:val="4BFB7B1E"/>
    <w:rsid w:val="4C005593"/>
    <w:rsid w:val="4C027B16"/>
    <w:rsid w:val="4C1C48A2"/>
    <w:rsid w:val="4C2A0E0A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460626"/>
    <w:rsid w:val="4D583E78"/>
    <w:rsid w:val="4D91777C"/>
    <w:rsid w:val="4DA4588A"/>
    <w:rsid w:val="4DB87D11"/>
    <w:rsid w:val="4DBA5862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757E04"/>
    <w:rsid w:val="4E816E39"/>
    <w:rsid w:val="4E8D3A8D"/>
    <w:rsid w:val="4EAA3AA0"/>
    <w:rsid w:val="4EB93137"/>
    <w:rsid w:val="4EBF723F"/>
    <w:rsid w:val="4EC66AF5"/>
    <w:rsid w:val="4F003E56"/>
    <w:rsid w:val="4F0E361E"/>
    <w:rsid w:val="4F3D23BC"/>
    <w:rsid w:val="4F4A4F3E"/>
    <w:rsid w:val="4F707062"/>
    <w:rsid w:val="4F7930E1"/>
    <w:rsid w:val="4F7C19D7"/>
    <w:rsid w:val="4FE122E3"/>
    <w:rsid w:val="4FE17210"/>
    <w:rsid w:val="4FF91545"/>
    <w:rsid w:val="5026588C"/>
    <w:rsid w:val="504321F5"/>
    <w:rsid w:val="504E60B8"/>
    <w:rsid w:val="505066D1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04749A"/>
    <w:rsid w:val="53444904"/>
    <w:rsid w:val="534D4075"/>
    <w:rsid w:val="535422FA"/>
    <w:rsid w:val="536B5669"/>
    <w:rsid w:val="5390390E"/>
    <w:rsid w:val="53C93E27"/>
    <w:rsid w:val="53EA66CB"/>
    <w:rsid w:val="540B3A76"/>
    <w:rsid w:val="544736F6"/>
    <w:rsid w:val="54542CF5"/>
    <w:rsid w:val="54A84E02"/>
    <w:rsid w:val="54A87544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4F1F29"/>
    <w:rsid w:val="56532C9B"/>
    <w:rsid w:val="567C6D10"/>
    <w:rsid w:val="56A14C13"/>
    <w:rsid w:val="56B77C50"/>
    <w:rsid w:val="56C0689F"/>
    <w:rsid w:val="56D106EB"/>
    <w:rsid w:val="57154464"/>
    <w:rsid w:val="57213681"/>
    <w:rsid w:val="57620C73"/>
    <w:rsid w:val="577479A3"/>
    <w:rsid w:val="5787250B"/>
    <w:rsid w:val="579726EA"/>
    <w:rsid w:val="57BF5603"/>
    <w:rsid w:val="57DB09A7"/>
    <w:rsid w:val="57EE07B9"/>
    <w:rsid w:val="58133704"/>
    <w:rsid w:val="583C7B24"/>
    <w:rsid w:val="584B45E2"/>
    <w:rsid w:val="58840844"/>
    <w:rsid w:val="58A34D89"/>
    <w:rsid w:val="58C24D8B"/>
    <w:rsid w:val="58DC348C"/>
    <w:rsid w:val="58EF1AD1"/>
    <w:rsid w:val="58FB6BAD"/>
    <w:rsid w:val="5910252B"/>
    <w:rsid w:val="595465C4"/>
    <w:rsid w:val="59615513"/>
    <w:rsid w:val="59F34BDD"/>
    <w:rsid w:val="5A050D40"/>
    <w:rsid w:val="5A353866"/>
    <w:rsid w:val="5A5E5BE6"/>
    <w:rsid w:val="5A6545DD"/>
    <w:rsid w:val="5A832D04"/>
    <w:rsid w:val="5A8C0F2A"/>
    <w:rsid w:val="5A93401E"/>
    <w:rsid w:val="5A950AB4"/>
    <w:rsid w:val="5AA80549"/>
    <w:rsid w:val="5AC01473"/>
    <w:rsid w:val="5AF11F10"/>
    <w:rsid w:val="5AF50835"/>
    <w:rsid w:val="5AFE2EBC"/>
    <w:rsid w:val="5B1204B4"/>
    <w:rsid w:val="5B4F1FDC"/>
    <w:rsid w:val="5B6E1EEF"/>
    <w:rsid w:val="5BC24519"/>
    <w:rsid w:val="5BF63A6F"/>
    <w:rsid w:val="5C0056E3"/>
    <w:rsid w:val="5C036B11"/>
    <w:rsid w:val="5C5060C3"/>
    <w:rsid w:val="5C50630F"/>
    <w:rsid w:val="5C650063"/>
    <w:rsid w:val="5C6E7D9F"/>
    <w:rsid w:val="5C792BB7"/>
    <w:rsid w:val="5C7D0D7C"/>
    <w:rsid w:val="5C8C3A7D"/>
    <w:rsid w:val="5CA222E6"/>
    <w:rsid w:val="5CB54D70"/>
    <w:rsid w:val="5CC8034D"/>
    <w:rsid w:val="5CD808C6"/>
    <w:rsid w:val="5CF96E2D"/>
    <w:rsid w:val="5CFE649F"/>
    <w:rsid w:val="5D2F4A70"/>
    <w:rsid w:val="5D3024F2"/>
    <w:rsid w:val="5D310D37"/>
    <w:rsid w:val="5D3874C9"/>
    <w:rsid w:val="5D421438"/>
    <w:rsid w:val="5D676456"/>
    <w:rsid w:val="5D7C58DB"/>
    <w:rsid w:val="5D7E2A17"/>
    <w:rsid w:val="5D921A7A"/>
    <w:rsid w:val="5DE02CF0"/>
    <w:rsid w:val="5DEB6233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22460"/>
    <w:rsid w:val="5F6F4F9F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C143B"/>
    <w:rsid w:val="602F4723"/>
    <w:rsid w:val="60582C11"/>
    <w:rsid w:val="60937300"/>
    <w:rsid w:val="609F5D2B"/>
    <w:rsid w:val="60B718BC"/>
    <w:rsid w:val="60CC075F"/>
    <w:rsid w:val="60D64A61"/>
    <w:rsid w:val="60F76A09"/>
    <w:rsid w:val="611115F9"/>
    <w:rsid w:val="61616CF0"/>
    <w:rsid w:val="61764A40"/>
    <w:rsid w:val="61925EEC"/>
    <w:rsid w:val="61CB229C"/>
    <w:rsid w:val="61E9114E"/>
    <w:rsid w:val="61F96E5C"/>
    <w:rsid w:val="61FC15EF"/>
    <w:rsid w:val="62574A14"/>
    <w:rsid w:val="627611FC"/>
    <w:rsid w:val="62805BE7"/>
    <w:rsid w:val="62A328E3"/>
    <w:rsid w:val="62A6099C"/>
    <w:rsid w:val="62C400C1"/>
    <w:rsid w:val="62DA4137"/>
    <w:rsid w:val="62EE674D"/>
    <w:rsid w:val="62FB2C69"/>
    <w:rsid w:val="63053881"/>
    <w:rsid w:val="63142095"/>
    <w:rsid w:val="634420DC"/>
    <w:rsid w:val="636715F1"/>
    <w:rsid w:val="63722616"/>
    <w:rsid w:val="639E22E8"/>
    <w:rsid w:val="64002E59"/>
    <w:rsid w:val="642D6052"/>
    <w:rsid w:val="646036C4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0F2122"/>
    <w:rsid w:val="673F17B5"/>
    <w:rsid w:val="675C7F85"/>
    <w:rsid w:val="676D5D3F"/>
    <w:rsid w:val="678278F4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AB1726"/>
    <w:rsid w:val="68D02A25"/>
    <w:rsid w:val="68D06A0D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461931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60021"/>
    <w:rsid w:val="6C7A1884"/>
    <w:rsid w:val="6CE04AAC"/>
    <w:rsid w:val="6CE46703"/>
    <w:rsid w:val="6CF2784B"/>
    <w:rsid w:val="6D0B14CF"/>
    <w:rsid w:val="6D1B36B8"/>
    <w:rsid w:val="6D236E20"/>
    <w:rsid w:val="6D392725"/>
    <w:rsid w:val="6D3D6554"/>
    <w:rsid w:val="6D442A7B"/>
    <w:rsid w:val="6D480C98"/>
    <w:rsid w:val="6D49674F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B63CED"/>
    <w:rsid w:val="6ECD55A7"/>
    <w:rsid w:val="6EDD3944"/>
    <w:rsid w:val="6F031688"/>
    <w:rsid w:val="6F0D3201"/>
    <w:rsid w:val="6F5F0425"/>
    <w:rsid w:val="6F822B79"/>
    <w:rsid w:val="6F822E81"/>
    <w:rsid w:val="6F841748"/>
    <w:rsid w:val="6F855772"/>
    <w:rsid w:val="6F95127D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0B679FB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6B5BFD"/>
    <w:rsid w:val="72BE7381"/>
    <w:rsid w:val="72E2003D"/>
    <w:rsid w:val="731A6C33"/>
    <w:rsid w:val="73582660"/>
    <w:rsid w:val="735A3430"/>
    <w:rsid w:val="73A66A49"/>
    <w:rsid w:val="73A957CF"/>
    <w:rsid w:val="73D51816"/>
    <w:rsid w:val="74A03654"/>
    <w:rsid w:val="74C5400D"/>
    <w:rsid w:val="74E9714C"/>
    <w:rsid w:val="755C79D6"/>
    <w:rsid w:val="756979AE"/>
    <w:rsid w:val="7576351C"/>
    <w:rsid w:val="759F3625"/>
    <w:rsid w:val="75A93410"/>
    <w:rsid w:val="75F76FC9"/>
    <w:rsid w:val="7613496D"/>
    <w:rsid w:val="761D362F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32A2D"/>
    <w:rsid w:val="782E0D4D"/>
    <w:rsid w:val="784B0FF1"/>
    <w:rsid w:val="786B327E"/>
    <w:rsid w:val="786E0052"/>
    <w:rsid w:val="787F6001"/>
    <w:rsid w:val="78E811D1"/>
    <w:rsid w:val="78E93ADE"/>
    <w:rsid w:val="78EA0EF7"/>
    <w:rsid w:val="79014D58"/>
    <w:rsid w:val="790B5629"/>
    <w:rsid w:val="792451CB"/>
    <w:rsid w:val="79512248"/>
    <w:rsid w:val="79891677"/>
    <w:rsid w:val="799338D8"/>
    <w:rsid w:val="79CD5E57"/>
    <w:rsid w:val="7A141937"/>
    <w:rsid w:val="7A225D2C"/>
    <w:rsid w:val="7A3370D3"/>
    <w:rsid w:val="7A41346F"/>
    <w:rsid w:val="7A4A3EBE"/>
    <w:rsid w:val="7A4A422C"/>
    <w:rsid w:val="7A80238E"/>
    <w:rsid w:val="7A922611"/>
    <w:rsid w:val="7AB46E9F"/>
    <w:rsid w:val="7ADA6863"/>
    <w:rsid w:val="7AEE1351"/>
    <w:rsid w:val="7AFB13A5"/>
    <w:rsid w:val="7AFB4CD4"/>
    <w:rsid w:val="7B0E5057"/>
    <w:rsid w:val="7B221178"/>
    <w:rsid w:val="7B2C0B37"/>
    <w:rsid w:val="7B4959ED"/>
    <w:rsid w:val="7B5438FF"/>
    <w:rsid w:val="7B716274"/>
    <w:rsid w:val="7B86755B"/>
    <w:rsid w:val="7BB153E0"/>
    <w:rsid w:val="7BC42E63"/>
    <w:rsid w:val="7BD63614"/>
    <w:rsid w:val="7BF5023D"/>
    <w:rsid w:val="7BFD7E77"/>
    <w:rsid w:val="7C29336A"/>
    <w:rsid w:val="7C353AFC"/>
    <w:rsid w:val="7C611D76"/>
    <w:rsid w:val="7CEA5CAA"/>
    <w:rsid w:val="7D206CD5"/>
    <w:rsid w:val="7D2B68C6"/>
    <w:rsid w:val="7D5457CE"/>
    <w:rsid w:val="7D5A1439"/>
    <w:rsid w:val="7D84412B"/>
    <w:rsid w:val="7D8A0732"/>
    <w:rsid w:val="7DBE513D"/>
    <w:rsid w:val="7DE50961"/>
    <w:rsid w:val="7DF85F36"/>
    <w:rsid w:val="7DFB5E34"/>
    <w:rsid w:val="7E6142BA"/>
    <w:rsid w:val="7E627D6D"/>
    <w:rsid w:val="7E784ECC"/>
    <w:rsid w:val="7E8249E0"/>
    <w:rsid w:val="7E8958C4"/>
    <w:rsid w:val="7E9479A4"/>
    <w:rsid w:val="7EAC2092"/>
    <w:rsid w:val="7EB459DD"/>
    <w:rsid w:val="7EF014CF"/>
    <w:rsid w:val="7F24018A"/>
    <w:rsid w:val="7F37710A"/>
    <w:rsid w:val="7F776DB3"/>
    <w:rsid w:val="7F785F75"/>
    <w:rsid w:val="7F7878FB"/>
    <w:rsid w:val="7F871AF4"/>
    <w:rsid w:val="7F9C3EF5"/>
    <w:rsid w:val="7F9E4AEB"/>
    <w:rsid w:val="7FA11266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19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3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4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5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6">
    <w:name w:val="Загаловок Оглавления"/>
    <w:basedOn w:val="1"/>
    <w:next w:val="17"/>
    <w:link w:val="18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7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8">
    <w:name w:val="Загаловок Оглавления_character"/>
    <w:link w:val="16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19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20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1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2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2025-12-19T13:43:25Z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