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Clinic Platform — User Manual</w:t>
      </w:r>
    </w:p>
    <w:p>
      <w:r>
        <w:t>This manual describes the Clinic Platform — a multi-tenant clinical and practice management system. It covers every module from master data (CRUD) through transactional workflows (requisitions, dispensing, payments) to end-to-end clinical and supply-chain processes. Each section includes screenshots, step-by-step instructions, and the permissions required. A quick-guide FAQ at the end answers the questions users ask most often.</w:t>
      </w:r>
    </w:p>
    <w:p>
      <w:pPr>
        <w:pStyle w:val="Heading1"/>
      </w:pPr>
      <w:r>
        <w:t>Table of Contents</w:t>
      </w:r>
    </w:p>
    <w:p>
      <w:r>
        <w:t>1. Getting Started — Login, Navigation, Dashboard</w:t>
        <w:br/>
        <w:t>2. Tenant Administration — Users, Roles, Branches, Settings</w:t>
        <w:br/>
        <w:t>3. Patients — Registration, Records, Documents</w:t>
        <w:br/>
        <w:t>4. Clinical — Appointments, Visits, Notes, Prescriptions, Orders</w:t>
        <w:br/>
        <w:t>5. Laboratory — Test Catalog, Worklist, Specimens, Results, Verification, Reports</w:t>
        <w:br/>
        <w:t>6. Pharmacy — Drug Master, Prescription Verification, Dispensing, Controlled Drugs</w:t>
        <w:br/>
        <w:t>7. Central Supply — Item Master, Requisitions, POs, GRN, Issues, Adjustments, Counts</w:t>
        <w:br/>
        <w:t>8. Billing &amp; Cashiering — Charges, Invoices, Payments, Shifts, Credit Notes</w:t>
        <w:br/>
        <w:t>9. Compliance &amp; Audit — Audit Trail, PHI Access Log, Consents, DSRs</w:t>
        <w:br/>
        <w:t>10. Reports &amp; Exports</w:t>
        <w:br/>
        <w:t>11. Frequently Asked Questions (Quick Guide)</w:t>
      </w:r>
    </w:p>
    <w:p>
      <w:pPr>
        <w:pStyle w:val="Heading1"/>
      </w:pPr>
      <w:r>
        <w:t>1. Getting Started</w:t>
      </w:r>
    </w:p>
    <w:p>
      <w:pPr>
        <w:pStyle w:val="Heading2"/>
      </w:pPr>
      <w:r>
        <w:t>1.1 Login</w:t>
      </w:r>
    </w:p>
    <w:p>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login.png"/>
                    <pic:cNvPicPr/>
                  </pic:nvPicPr>
                  <pic:blipFill>
                    <a:blip r:embed="rId9"/>
                    <a:stretch>
                      <a:fillRect/>
                    </a:stretch>
                  </pic:blipFill>
                  <pic:spPr>
                    <a:xfrm>
                      <a:off x="0" y="0"/>
                      <a:ext cx="5943600" cy="3343275"/>
                    </a:xfrm>
                    <a:prstGeom prst="rect"/>
                  </pic:spPr>
                </pic:pic>
              </a:graphicData>
            </a:graphic>
          </wp:inline>
        </w:drawing>
      </w:r>
    </w:p>
    <w:p>
      <w:r>
        <w:t>To log in, enter your tenant slug (e.g. demo-a), your email address, and your password, then click "Sign In to Clinic". The tenant slug identifies your organization — each tenant is fully isolated with its own data, users, and settings. If you do not know your slug, ask your tenant administrator.</w:t>
      </w:r>
    </w:p>
    <w:p>
      <w:pPr>
        <w:pStyle w:val="Heading2"/>
      </w:pPr>
      <w:r>
        <w:t>1.2 Navigation</w:t>
      </w:r>
    </w:p>
    <w:p>
      <w:r>
        <w:t>The left sidebar contains the main navigation menu, organized by module: Clinical Care, Laboratory, Pharmacy, Supply &amp; Inventory, Billing, Compliance, and System (admin). Each module expands to show its screens. The top bar shows the current branch, a global search (Ctrl+K), notifications, and the user menu. The workspace switcher lets you move between functional areas quickly.</w:t>
      </w:r>
    </w:p>
    <w:p>
      <w:pPr>
        <w:pStyle w:val="Heading2"/>
      </w:pPr>
      <w:r>
        <w:t>1.3 Dashboard</w:t>
      </w:r>
    </w:p>
    <w:p>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43600" cy="3343275"/>
                    </a:xfrm>
                    <a:prstGeom prst="rect"/>
                  </pic:spPr>
                </pic:pic>
              </a:graphicData>
            </a:graphic>
          </wp:inline>
        </w:drawing>
      </w:r>
    </w:p>
    <w:p>
      <w:r>
        <w:t>The dashboard is your home screen after login. It shows a summary of today's activity: appointments scheduled, pending lab orders, prescriptions awaiting verification, requisitions in progress, and billing totals. Use it to get a quick overview of what needs attention across the clinic.</w:t>
      </w:r>
    </w:p>
    <w:p>
      <w:pPr>
        <w:pStyle w:val="Heading1"/>
      </w:pPr>
      <w:r>
        <w:t>2. Tenant Administration</w:t>
      </w:r>
    </w:p>
    <w:p>
      <w:pPr>
        <w:pStyle w:val="Heading2"/>
      </w:pPr>
      <w:r>
        <w:t>2.1 Users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admin-users.png"/>
                    <pic:cNvPicPr/>
                  </pic:nvPicPr>
                  <pic:blipFill>
                    <a:blip r:embed="rId11"/>
                    <a:stretch>
                      <a:fillRect/>
                    </a:stretch>
                  </pic:blipFill>
                  <pic:spPr>
                    <a:xfrm>
                      <a:off x="0" y="0"/>
                      <a:ext cx="5943600" cy="3343275"/>
                    </a:xfrm>
                    <a:prstGeom prst="rect"/>
                  </pic:spPr>
                </pic:pic>
              </a:graphicData>
            </a:graphic>
          </wp:inline>
        </w:drawing>
      </w:r>
    </w:p>
    <w:p>
      <w:r>
        <w:t>The Users screen (System &gt; Users) lets tenant administrators create, update, deactivate, and reset passwords for all user accounts. Each user has an email, name, role assignment(s), and status. To create a user, click "New User", fill in the details, assign one or more roles, and save. To reset a password, open the user and click "Reset Password" — the system generates a temporary password that must be changed on first login. Deactivating a user immediately revokes their access without deleting their audit history.</w:t>
      </w:r>
    </w:p>
    <w:p>
      <w:pPr>
        <w:pStyle w:val="Heading2"/>
      </w:pPr>
      <w:r>
        <w:t>2.2 Roles &amp; Permissions</w:t>
      </w:r>
    </w:p>
    <w:p>
      <w:r>
        <w:t>Roles define what each user can see and do. The platform ships with system role templates (Doctor, Nurse, Cashier, Pharmacist, Lab Technologist, Lab Verifier, Storekeeper, Supply Approver, Inventory Controller, etc.) that can be cloned and customized per tenant. Each role is a named set of permissions following the pattern module.resource.action (e.g. lab.result.verify, supply.po.approve). The permission catalogue is organized by module: platform, admin, patient, clinical, lab, pharmacy, supply, billing, and compliance. Tenant admins can create new roles, assign existing permissions, and preview the effective access before saving.</w:t>
      </w:r>
    </w:p>
    <w:p>
      <w:pPr>
        <w:pStyle w:val="Heading2"/>
      </w:pPr>
      <w:r>
        <w:t>2.3 Branches</w:t>
      </w:r>
    </w:p>
    <w:p>
      <w:r>
        <w:t>Branches represent physical locations of your organization. Each branch has its own stock locations, service units, and operating hours. Users can be assigned to one or more branches. The branch switcher in the top bar changes the active branch context — all data shown is scoped to the selected branch.</w:t>
      </w:r>
    </w:p>
    <w:p>
      <w:pPr>
        <w:pStyle w:val="Heading1"/>
      </w:pPr>
      <w:r>
        <w:t>3. Patients</w:t>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patients.png"/>
                    <pic:cNvPicPr/>
                  </pic:nvPicPr>
                  <pic:blipFill>
                    <a:blip r:embed="rId12"/>
                    <a:stretch>
                      <a:fillRect/>
                    </a:stretch>
                  </pic:blipFill>
                  <pic:spPr>
                    <a:xfrm>
                      <a:off x="0" y="0"/>
                      <a:ext cx="5943600" cy="3343275"/>
                    </a:xfrm>
                    <a:prstGeom prst="rect"/>
                  </pic:spPr>
                </pic:pic>
              </a:graphicData>
            </a:graphic>
          </wp:inline>
        </w:drawing>
      </w:r>
    </w:p>
    <w:p>
      <w:pPr>
        <w:pStyle w:val="Heading2"/>
      </w:pPr>
      <w:r>
        <w:t>3.1 Patient Registration (CRUD)</w:t>
      </w:r>
    </w:p>
    <w:p>
      <w:r>
        <w:t>The Patients screen is the master patient index. To register a new patient, click "New Patient" and fill in demographics (name, date of birth, sex, contact information, address). The system generates a unique MRN (Medical Record Number). To search, use the search bar at the top — it matches name, MRN, or contact number. Click a row to open the full patient record, which shows demographics, allergies, diagnoses, visit history, documents, and billing summary. Patient records can be updated (e.g. correcting a contact number) and archived (soft-delete) but never hard-deleted, preserving the audit trail.</w:t>
      </w:r>
    </w:p>
    <w:p>
      <w:pPr>
        <w:pStyle w:val="Heading2"/>
      </w:pPr>
      <w:r>
        <w:t>3.2 Patient Documents</w:t>
      </w:r>
    </w:p>
    <w:p>
      <w:r>
        <w:t>Patient documents (consent forms, lab results, imaging reports, referrals) can be uploaded and attached to a patient record. Each document is stored with a tenant-prefixed key in object storage and is accessible only to users with the patient.document.read permission. Documents can be viewed inline or downloaded.</w:t>
      </w:r>
    </w:p>
    <w:p>
      <w:pPr>
        <w:pStyle w:val="Heading1"/>
      </w:pPr>
      <w:r>
        <w:t>4. Clinical</w:t>
      </w:r>
    </w:p>
    <w:p>
      <w:pPr>
        <w:pStyle w:val="Heading2"/>
      </w:pPr>
      <w:r>
        <w:t>4.1 Appointments &amp; Scheduling</w:t>
      </w:r>
    </w:p>
    <w:p>
      <w:r>
        <w:t>The Appointments screen shows a calendar view of all scheduled appointments. To book an appointment, click on a time slot or click "New Appointment", select the patient, practitioner, service unit, date, and time. The system checks for conflicts and shows availability. Appointments can be confirmed, rescheduled, cancelled, or marked as no-show. The queue screen shows the current patient queue for the day, with the ability to call the next patient, skip, or mark as complete.</w:t>
      </w:r>
    </w:p>
    <w:p>
      <w:pPr>
        <w:pStyle w:val="Heading2"/>
      </w:pPr>
      <w:r>
        <w:t>4.2 Visits &amp; Clinical Notes</w:t>
      </w:r>
    </w:p>
    <w:p>
      <w:r>
        <w:t>A visit is created when a patient is checked in for a consultation. The visit record captures the chief complaint, vitals (blood pressure, heart rate, temperature, weight, height, SpO2), and the clinical note. Clinical notes support structured templates (SOAP format) and free-text entry. Notes can be signed (locked from further editing) or amended (with a reason and full audit trail). Diagnoses (ICD-10 coded) and procedures are recorded against the visit.</w:t>
      </w:r>
    </w:p>
    <w:p>
      <w:pPr>
        <w:pStyle w:val="Heading2"/>
      </w:pPr>
      <w:r>
        <w:t>4.3 Prescriptions</w:t>
      </w:r>
    </w:p>
    <w:p>
      <w:r>
        <w:t>Prescriptions are created during a visit by a doctor. Each prescription contains one or more line items (drug, dose, frequency, duration, quantity). The system checks for drug interactions, allergies, and duplicate therapy before the prescription can be signed. Signed prescriptions appear in the pharmacy queue for verification and dispensing. Prescriptions can be cancelled (with reason) but not edited after signing.</w:t>
      </w:r>
    </w:p>
    <w:p>
      <w:pPr>
        <w:pStyle w:val="Heading1"/>
      </w:pPr>
      <w:r>
        <w:t>5. Laboratory</w:t>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lab-worklist.png"/>
                    <pic:cNvPicPr/>
                  </pic:nvPicPr>
                  <pic:blipFill>
                    <a:blip r:embed="rId13"/>
                    <a:stretch>
                      <a:fillRect/>
                    </a:stretch>
                  </pic:blipFill>
                  <pic:spPr>
                    <a:xfrm>
                      <a:off x="0" y="0"/>
                      <a:ext cx="5943600" cy="3343275"/>
                    </a:xfrm>
                    <a:prstGeom prst="rect"/>
                  </pic:spPr>
                </pic:pic>
              </a:graphicData>
            </a:graphic>
          </wp:inline>
        </w:drawing>
      </w:r>
    </w:p>
    <w:p>
      <w:pPr>
        <w:pStyle w:val="Heading2"/>
      </w:pPr>
      <w:r>
        <w:t>5.1 Test Catalog &amp; Pricing</w:t>
      </w:r>
    </w:p>
    <w:p>
      <w:r>
        <w:t>The Test Catalog defines all laboratory tests offered by the clinic. Each test has a code (LOINC), name, section (e.g. Hematology, Chemistry, Microbiology), specimen type, container/tube color, reference ranges, turnaround time, and price. Tests can be created, updated, and deactivated by users with lab.config permissions. The catalog drives ordering, specimen collection, and result entry.</w:t>
      </w:r>
    </w:p>
    <w:p>
      <w:pPr>
        <w:pStyle w:val="Heading2"/>
      </w:pPr>
      <w:r>
        <w:t>5.2 Lab Orders &amp; Worklist</w:t>
      </w:r>
    </w:p>
    <w:p>
      <w:r>
        <w:t>Lab orders are created by doctors during a visit or by encoders from the order screen. Each order contains one or more test items. The worklist shows all orders with their current status (ORDERED, COLLECTED, RECEIVED, IN_PROGRESS, COMPLETED). The worklist is the primary screen for lab staff — it shows patient name, MRN, order number, priority (ROUTINE, URGENT, STAT), test items, and the next action available. Orders can be filtered by status, priority, or date.</w:t>
      </w:r>
    </w:p>
    <w:p>
      <w:pPr>
        <w:pStyle w:val="Heading2"/>
      </w:pPr>
      <w:r>
        <w:t>5.3 Specimen Collection &amp; Receiving</w:t>
      </w:r>
    </w:p>
    <w:p>
      <w:r>
        <w:t>When a specimen is collected (by a phlebotomist or nurse), the lab tech selects the order item on the worklist and clicks "Collect Specimen". The system generates an accession number and records the specimen type, collection time, and condition (OK, HEMOLYZED, CLOTTED, INSUFFICIENT, etc.). If the specimen condition is not OK, the tech can reject it with a reason. Once collected, the specimen is received at the bench by the lab technologist, who confirms the specimen matches the order and transitions it to RECEIVED status.</w:t>
      </w:r>
    </w:p>
    <w:p>
      <w:pPr>
        <w:pStyle w:val="Heading2"/>
      </w:pPr>
      <w:r>
        <w:t>5.4 Result Entry</w:t>
      </w:r>
    </w:p>
    <w:p>
      <w:r>
        <w:t>The lab technologist enters results for each analyte on the test. The result entry screen shows the analyte name, unit, reference range, and a field for the observed value. The system automatically flags results as Normal (N), Low (L), High (H), Critical Low (LL), or Critical High (HH) based on the reference range. Delta checking compares the result to the patient's previous result and flags significant changes. Results are saved as ENTERED status, meaning they are pending verification.</w:t>
      </w:r>
    </w:p>
    <w:p>
      <w:pPr>
        <w:pStyle w:val="Heading2"/>
      </w:pPr>
      <w:r>
        <w:t>5.5 Result Verification (AC-17)</w:t>
      </w:r>
    </w:p>
    <w:p>
      <w:r>
        <w:t>Result verification is a mandatory second-person check. The lab verifier (a different person from the one who entered the result) reviews each entered result on the Verification Queue screen and either verifies it or requests amendment. The system enforces segregation of duties (AC-17): the person who entered a result cannot verify it. Once all results on an order are verified, the order status becomes VERIFIED and the report can be released.</w:t>
      </w:r>
    </w:p>
    <w:p>
      <w:pPr>
        <w:pStyle w:val="Heading2"/>
      </w:pPr>
      <w:r>
        <w:t>5.6 Critical Values &amp; Alerts</w:t>
      </w:r>
    </w:p>
    <w:p>
      <w:r>
        <w:t>When a result is flagged as critical (LL or HH), the system creates a critical alert that appears on the Critical Alerts screen. The alert must be acknowledged by a qualified user, and the acknowledgment is logged with the user, timestamp, and any action taken. Critical alerts cannot be dismissed without acknowledgment.</w:t>
      </w:r>
    </w:p>
    <w:p>
      <w:pPr>
        <w:pStyle w:val="Heading2"/>
      </w:pPr>
      <w:r>
        <w:t>5.7 Released Reports</w:t>
      </w:r>
    </w:p>
    <w:p>
      <w:r>
        <w:t>Once all results are verified, the lab verifier releases the official report. The Released Reports screen shows all finalized reports with patient name, MRN, order number, test name, and release date. Reports can be viewed as a PDF (rendered by the background job system), printed, or downloaded. Each report includes the patient demographics, test results with reference ranges, flags, the name of the person who entered and verified each result, and the pathologist's interpretive comment if applicable. Reports are immutable once released — corrections require an amendment with a new version.</w:t>
      </w:r>
    </w:p>
    <w:p>
      <w:pPr>
        <w:pStyle w:val="Heading1"/>
      </w:pPr>
      <w:r>
        <w:t>6. Pharmacy</w:t>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pharmacy-queue.png"/>
                    <pic:cNvPicPr/>
                  </pic:nvPicPr>
                  <pic:blipFill>
                    <a:blip r:embed="rId14"/>
                    <a:stretch>
                      <a:fillRect/>
                    </a:stretch>
                  </pic:blipFill>
                  <pic:spPr>
                    <a:xfrm>
                      <a:off x="0" y="0"/>
                      <a:ext cx="5943600" cy="3343275"/>
                    </a:xfrm>
                    <a:prstGeom prst="rect"/>
                  </pic:spPr>
                </pic:pic>
              </a:graphicData>
            </a:graphic>
          </wp:inline>
        </w:drawing>
      </w:r>
    </w:p>
    <w:p>
      <w:pPr>
        <w:pStyle w:val="Heading2"/>
      </w:pPr>
      <w:r>
        <w:t>6.1 Drug Master</w:t>
      </w:r>
    </w:p>
    <w:p>
      <w:r>
        <w:t>The Drug Master is the catalog of all medications available in the pharmacy. Each drug has a generic name, brand name, strength, dosage form, UOM (unit of measure), category, controlled substance flag, reorder level, and price. Drugs can be created, updated, and deactivated. The drug master drives prescribing, dispensing, and stock management.</w:t>
      </w:r>
    </w:p>
    <w:p>
      <w:pPr>
        <w:pStyle w:val="Heading2"/>
      </w:pPr>
      <w:r>
        <w:t>6.2 Prescription Verification</w:t>
      </w:r>
    </w:p>
    <w:p>
      <w:r>
        <w:t>When a prescription is signed by a doctor, it appears in the Pharmacy Queue. The pharmacist reviews each prescription for correctness, drug interactions, allergies, duplicate therapy, and appropriateness of dose and duration. The pharmacist can verify the prescription (sending it to dispensing) or intervene (contacting the doctor for clarification). The verification screen shows the patient's allergy list, current medications, and any interaction warnings.</w:t>
      </w:r>
    </w:p>
    <w:p>
      <w:pPr>
        <w:pStyle w:val="Heading2"/>
      </w:pPr>
      <w:r>
        <w:t>6.3 Dispensing (FEFO)</w:t>
      </w:r>
    </w:p>
    <w:p>
      <w:r>
        <w:t>Dispensing is the process of allocating stock to a verified prescription. The system uses FEFO (First-Expired, First-Out) to select the batch with the earliest expiry date. The pharmacist selects the prescription, reviews the suggested batch allocation, and can override it with a reason if needed. Once confirmed, the system creates a stock movement (deducting from the selected batch), generates a dispensing record, and creates a billing charge for the medication. The dispensing label can be printed with patient name, drug name, dose, quantity, and instructions.</w:t>
      </w:r>
    </w:p>
    <w:p>
      <w:pPr>
        <w:pStyle w:val="Heading2"/>
      </w:pPr>
      <w:r>
        <w:t>6.4 Controlled Drugs</w:t>
      </w:r>
    </w:p>
    <w:p>
      <w:r>
        <w:t>Controlled substances (dangerous drugs under RA 9165) require additional controls. The system enforces special prescription requirements (no refills, specific prescription format), requires a witness for dispensing, and maintains a controlled drug register that tracks every receipt, dispensing, and disposal. The register is reportable to regulatory authorities. Only users with pharmacy.controlled permissions can handle controlled drugs.</w:t>
      </w:r>
    </w:p>
    <w:p>
      <w:pPr>
        <w:pStyle w:val="Heading1"/>
      </w:pPr>
      <w:r>
        <w:t>7. Central Supply</w:t>
      </w:r>
    </w:p>
    <w:p>
      <w:r>
        <w:drawing>
          <wp:inline xmlns:a="http://schemas.openxmlformats.org/drawingml/2006/main" xmlns:pic="http://schemas.openxmlformats.org/drawingml/2006/picture">
            <wp:extent cx="5943600" cy="3343275"/>
            <wp:docPr id="7" name="Picture 7"/>
            <wp:cNvGraphicFramePr>
              <a:graphicFrameLocks noChangeAspect="1"/>
            </wp:cNvGraphicFramePr>
            <a:graphic>
              <a:graphicData uri="http://schemas.openxmlformats.org/drawingml/2006/picture">
                <pic:pic>
                  <pic:nvPicPr>
                    <pic:cNvPr id="0" name="supply-requisitions.png"/>
                    <pic:cNvPicPr/>
                  </pic:nvPicPr>
                  <pic:blipFill>
                    <a:blip r:embed="rId15"/>
                    <a:stretch>
                      <a:fillRect/>
                    </a:stretch>
                  </pic:blipFill>
                  <pic:spPr>
                    <a:xfrm>
                      <a:off x="0" y="0"/>
                      <a:ext cx="5943600" cy="3343275"/>
                    </a:xfrm>
                    <a:prstGeom prst="rect"/>
                  </pic:spPr>
                </pic:pic>
              </a:graphicData>
            </a:graphic>
          </wp:inline>
        </w:drawing>
      </w:r>
    </w:p>
    <w:p>
      <w:pPr>
        <w:pStyle w:val="Heading2"/>
      </w:pPr>
      <w:r>
        <w:t>7.1 Item Master &amp; Locations</w:t>
      </w:r>
    </w:p>
    <w:p>
      <w:r>
        <w:t>The Item Master is the catalog of all supply items (medical supplies, consumables, reagents, office supplies). Each item has a code, name, category, UOM, reorder level, and par stock. Locations define the physical storage hierarchy: tenant → branch → store → bin. Each location has a name, type (central store, department, pharmacy, lab), and parent location. Items can be assigned to specific locations.</w:t>
      </w:r>
    </w:p>
    <w:p>
      <w:pPr>
        <w:pStyle w:val="Heading2"/>
      </w:pPr>
      <w:r>
        <w:t>7.2 Department Requisitions</w:t>
      </w:r>
    </w:p>
    <w:p>
      <w:r>
        <w:t>Department requisitions are requests from clinical departments (OPD, Emergency, Ward) to the central store for supplies. The requesting department creates a requisition with one or more line items (item, quantity needed). The requisition is submitted to the supply approver, who reviews and approves or rejects it. Once approved, the storekeeper picks the items from stock and issues them to the requesting department. The department receives and verifies the items, acknowledging any discrepancies.</w:t>
      </w:r>
    </w:p>
    <w:p>
      <w:pPr>
        <w:pStyle w:val="Heading2"/>
      </w:pPr>
      <w:r>
        <w:t>7.3 Purchase Orders &amp; GRN</w:t>
      </w:r>
    </w:p>
    <w:p>
      <w:r>
        <w:t>Purchase Orders (POs) are created by the purchaser to order stock from suppliers. The PO workflow follows a three-stage approval chain: the purchaser creates and submits the PO, the supply approver reviews and approves it, and the PO is sent to the supplier. When goods arrive, the storekeeper creates a Goods Receipt Note (GRN) against the PO, recording what was received, quantities, batch numbers, and expiry dates. The GRN is posted to update stock balances.</w:t>
      </w:r>
    </w:p>
    <w:p>
      <w:pPr>
        <w:pStyle w:val="Heading2"/>
      </w:pPr>
      <w:r>
        <w:t>7.4 Invoice Matching (3-Way Match)</w:t>
      </w:r>
    </w:p>
    <w:p>
      <w:r>
        <w:t>When the supplier invoice arrives, the inventory controller performs a three-way match: the invoice is matched against the purchase order (what was ordered) and the GRN (what was received). The system verifies that quantities and prices agree across all three documents. Only when the match is successful can the invoice be approved for payment. This prevents overpayment for goods not ordered or not received.</w:t>
      </w:r>
    </w:p>
    <w:p>
      <w:pPr>
        <w:pStyle w:val="Heading2"/>
      </w:pPr>
      <w:r>
        <w:t>7.5 Stock Adjustments</w:t>
      </w:r>
    </w:p>
    <w:p>
      <w:r>
        <w:t>Stock adjustments correct discrepancies between physical stock and system stock. The storekeeper creates an adjustment (increase or decrease) with a reason (damage, expiry, theft, correction). The adjustment is submitted to the supply approver, who approves or rejects it. Once approved, the inventory controller posts the adjustment, which updates the stock balance and creates an audit trail entry. Adjustments cannot be posted by the same person who approved them.</w:t>
      </w:r>
    </w:p>
    <w:p>
      <w:pPr>
        <w:pStyle w:val="Heading2"/>
      </w:pPr>
      <w:r>
        <w:t>7.6 Cycle Counts</w:t>
      </w:r>
    </w:p>
    <w:p>
      <w:r>
        <w:t>Cycle counts are periodic physical stock counts to verify system accuracy. The storekeeper creates a count sheet for a location or item category, enters the physical quantities, and submits it. The system compares physical count to system balance and flags variances. The supply approver reviews and approves the count, and the inventory controller posts any resulting adjustments.</w:t>
      </w:r>
    </w:p>
    <w:p>
      <w:pPr>
        <w:pStyle w:val="Heading1"/>
      </w:pPr>
      <w:r>
        <w:t>8. Billing &amp; Cashiering</w:t>
      </w:r>
    </w:p>
    <w:p>
      <w:r>
        <w:drawing>
          <wp:inline xmlns:a="http://schemas.openxmlformats.org/drawingml/2006/main" xmlns:pic="http://schemas.openxmlformats.org/drawingml/2006/picture">
            <wp:extent cx="5943600" cy="3343275"/>
            <wp:docPr id="8" name="Picture 8"/>
            <wp:cNvGraphicFramePr>
              <a:graphicFrameLocks noChangeAspect="1"/>
            </wp:cNvGraphicFramePr>
            <a:graphic>
              <a:graphicData uri="http://schemas.openxmlformats.org/drawingml/2006/picture">
                <pic:pic>
                  <pic:nvPicPr>
                    <pic:cNvPr id="0" name="billing-pos.png"/>
                    <pic:cNvPicPr/>
                  </pic:nvPicPr>
                  <pic:blipFill>
                    <a:blip r:embed="rId16"/>
                    <a:stretch>
                      <a:fillRect/>
                    </a:stretch>
                  </pic:blipFill>
                  <pic:spPr>
                    <a:xfrm>
                      <a:off x="0" y="0"/>
                      <a:ext cx="5943600" cy="3343275"/>
                    </a:xfrm>
                    <a:prstGeom prst="rect"/>
                  </pic:spPr>
                </pic:pic>
              </a:graphicData>
            </a:graphic>
          </wp:inline>
        </w:drawing>
      </w:r>
    </w:p>
    <w:p>
      <w:pPr>
        <w:pStyle w:val="Heading2"/>
      </w:pPr>
      <w:r>
        <w:t>8.1 Charges &amp; Invoices</w:t>
      </w:r>
    </w:p>
    <w:p>
      <w:r>
        <w:t>Charges are created when services are rendered (consultations, lab tests, medications, procedures). Each charge links to a patient, a service or item, a quantity, and a unit price. Charges accumulate on the patient's account until an invoice is generated. The cashier can create an invoice from outstanding charges, apply discounts (with authorization), and send the invoice to the patient. Invoices can be voided (with reason) but not edited after posting.</w:t>
      </w:r>
    </w:p>
    <w:p>
      <w:pPr>
        <w:pStyle w:val="Heading2"/>
      </w:pPr>
      <w:r>
        <w:t>8.2 Payments &amp; POS</w:t>
      </w:r>
    </w:p>
    <w:p>
      <w:r>
        <w:t>The Point of Sale (POS) screen is the cashier's primary work surface. It shows the patient's outstanding balance, allows the cashier to select payment method (cash, card, insurance, etc.), enter the tendered amount, and calculate change. Once payment is confirmed, the system generates an official receipt (OR) with a unique receipt number, updates the invoice status to PAID, and prints the receipt. The POS supports split payments (e.g. partial cash + partial card).</w:t>
      </w:r>
    </w:p>
    <w:p>
      <w:pPr>
        <w:pStyle w:val="Heading2"/>
      </w:pPr>
      <w:r>
        <w:t>8.3 Cashier Shifts</w:t>
      </w:r>
    </w:p>
    <w:p>
      <w:r>
        <w:t>Cashier shifts track the cash drawer across a working period. The cashier opens a shift with a starting float amount, processes payments throughout the day, and closes the shift by counting the physical cash and comparing it to the system total. Any overage or shortage is recorded with a reason. Shift close is a guided wizard that shows expected vs actual totals by payment method.</w:t>
      </w:r>
    </w:p>
    <w:p>
      <w:pPr>
        <w:pStyle w:val="Heading2"/>
      </w:pPr>
      <w:r>
        <w:t>8.4 Credit Notes</w:t>
      </w:r>
    </w:p>
    <w:p>
      <w:r>
        <w:t>Credit notes are issued when a patient is overpaid or a service is cancelled after payment. The cashier creates a credit note against the original invoice, specifying the amount and reason. The credit note is submitted for approval (by a branch manager or tenant admin), and once approved, it can be applied to future invoices or refunded. Credit notes maintain a full audit trail linking back to the original payment.</w:t>
      </w:r>
    </w:p>
    <w:p>
      <w:pPr>
        <w:pStyle w:val="Heading1"/>
      </w:pPr>
      <w:r>
        <w:t>9. Compliance &amp; Audit</w:t>
      </w:r>
    </w:p>
    <w:p>
      <w:pPr>
        <w:pStyle w:val="Heading2"/>
      </w:pPr>
      <w:r>
        <w:t>9.1 Audit Trail</w:t>
      </w:r>
    </w:p>
    <w:p>
      <w:r>
        <w:t>The Audit Trail screen shows a chronological log of every action taken in the system — who did what, when, and from which IP address. It covers patient record access, clinical note creation and signing, prescription changes, result entry and verification, stock movements, payment posting, and administrative actions. The audit trail is immutable and cannot be edited or deleted. It can be filtered by user, date range, module, or action type, and exported for regulatory review.</w:t>
      </w:r>
    </w:p>
    <w:p>
      <w:pPr>
        <w:pStyle w:val="Heading2"/>
      </w:pPr>
      <w:r>
        <w:t>9.2 PHI Access Log</w:t>
      </w:r>
    </w:p>
    <w:p>
      <w:r>
        <w:t>The PHI Access Log is a specialized view of the audit trail that shows every access to patient health information. Under the Data Privacy Act (RA 10173), clinics must be able to demonstrate who accessed patient data and when. The log captures the user, patient, type of data accessed, timestamp, and purpose (if break-glass was used). The DPO can review this log and generate access reports for data subject requests.</w:t>
      </w:r>
    </w:p>
    <w:p>
      <w:pPr>
        <w:pStyle w:val="Heading2"/>
      </w:pPr>
      <w:r>
        <w:t>9.3 Consents</w:t>
      </w:r>
    </w:p>
    <w:p>
      <w:r>
        <w:t>Patient consents are recorded and tracked in the system. Each consent captures the patient, the type of consent (treatment, data processing, research, etc.), the date given, and the consenting party. Consents can be created, updated, and revoked. The system enforces that certain procedures cannot proceed without valid consent on file.</w:t>
      </w:r>
    </w:p>
    <w:p>
      <w:pPr>
        <w:pStyle w:val="Heading2"/>
      </w:pPr>
      <w:r>
        <w:t>9.4 Data Subject Requests (DSR)</w:t>
      </w:r>
    </w:p>
    <w:p>
      <w:r>
        <w:t>Data Subject Requests allow patients to exercise their rights under the Data Privacy Act — to access, correct, or delete their personal data. The DPO receives a DSR, verifies the patient's identity, and processes the request through a defined workflow: receive, verify, start, complete, or reject. Each step is logged with timestamps and the DPO's notes. The system tracks SLA deadlines for DSR completion.</w:t>
      </w:r>
    </w:p>
    <w:p>
      <w:pPr>
        <w:pStyle w:val="Heading1"/>
      </w:pPr>
      <w:r>
        <w:t>10. Reports &amp; Exports</w:t>
      </w:r>
    </w:p>
    <w:p>
      <w:r>
        <w:t>The Reports module provides a comprehensive set of operational and regulatory reports across all modules. Each report can be filtered by date range, branch, and other parameters, and exported to CSV or XLSX. Key reports include: Patient Census (daily/monthly patient counts), Laboratory TAT (turnaround time analysis), Pharmacy Dispensing Summary, Stock Movement Ledger, Accounts Receivable Aging, Cashier Shift Summary, Controlled Drug Register, and Audit Trail Export. Reports are accessible based on the user's role and permissions.</w:t>
      </w:r>
    </w:p>
    <w:p>
      <w:pPr>
        <w:pStyle w:val="Heading1"/>
      </w:pPr>
      <w:r>
        <w:t>11. Frequently Asked Questions (Quick Guide)</w:t>
      </w:r>
    </w:p>
    <w:p>
      <w:pPr>
        <w:pStyle w:val="Heading2"/>
      </w:pPr>
      <w:r>
        <w:t>11.1 Login &amp; Access</w:t>
      </w:r>
    </w:p>
    <w:p>
      <w:r>
        <w:t>Q: I forgot my password. What do I do?</w:t>
        <w:br/>
        <w:t>A: Contact your tenant administrator. They can reset your password from the Users screen. You will receive a temporary password that you must change on your first login.</w:t>
        <w:br/>
        <w:br/>
        <w:t>Q: Why can't I see a module in the navigation?</w:t>
        <w:br/>
        <w:t>A: Your role may not have permission for that module. Contact your tenant administrator to review your role assignments and permissions.</w:t>
        <w:br/>
        <w:br/>
        <w:t>Q: What is the tenant slug?</w:t>
        <w:br/>
        <w:t>A: The tenant slug is a short identifier for your organization (e.g. "demo-a"). It is assigned when your tenant is created and is required at login. If you do not know it, ask your tenant administrator.</w:t>
        <w:br/>
        <w:br/>
        <w:t>Q: Can I be logged in on multiple devices?</w:t>
        <w:br/>
        <w:t>A: Yes, but each session is independent. For security, sessions expire after a period of inactivity.</w:t>
      </w:r>
    </w:p>
    <w:p>
      <w:pPr>
        <w:pStyle w:val="Heading2"/>
      </w:pPr>
      <w:r>
        <w:t>11.2 Patients &amp; Clinical</w:t>
      </w:r>
    </w:p>
    <w:p>
      <w:r>
        <w:t>Q: How do I register a walk-in patient?</w:t>
        <w:br/>
        <w:t>A: Go to Patients, click "New Patient", fill in the minimum required fields (name, date of birth, sex), and save. The system generates an MRN automatically. You can add more details later.</w:t>
        <w:br/>
        <w:br/>
        <w:t>Q: Can I edit a patient's name after registration?</w:t>
        <w:br/>
        <w:t>A: Yes, but the change is logged in the audit trail. Go to the patient record, click Update, make the correction, and save.</w:t>
        <w:br/>
        <w:br/>
        <w:t>Q: How do I merge duplicate patient records?</w:t>
        <w:br/>
        <w:t>A: A user with patient.merge permission can open one record, select "Merge", and choose the duplicate record to merge into it. The merged record is archived and all data is consolidated.</w:t>
        <w:br/>
        <w:br/>
        <w:t>Q: Why can't I sign a clinical note?</w:t>
        <w:br/>
        <w:t>A: You may not have the clinical.note.sign permission, or the note may already be signed by another user. Signed notes are locked; corrections require an amendment.</w:t>
      </w:r>
    </w:p>
    <w:p>
      <w:pPr>
        <w:pStyle w:val="Heading2"/>
      </w:pPr>
      <w:r>
        <w:t>11.3 Laboratory</w:t>
      </w:r>
    </w:p>
    <w:p>
      <w:r>
        <w:t>Q: Why can't I verify a lab result I entered?</w:t>
        <w:br/>
        <w:t>A: The system enforces segregation of duties (AC-17). The person who enters a result cannot verify it. A different user with the lab_verifier role must perform the verification.</w:t>
        <w:br/>
        <w:br/>
        <w:t>Q: What do the result flags (N, L, H, LL, HH) mean?</w:t>
        <w:br/>
        <w:t>A: N = Normal (within reference range), L = Low, H = High, LL = Critical Low, HH = Critical High. Critical values (LL/HH) trigger an alert that must be acknowledged.</w:t>
        <w:br/>
        <w:br/>
        <w:t>Q: How do I release a lab report?</w:t>
        <w:br/>
        <w:t>A: All results on the order must be verified first. Then a user with lab.report.release permission can open the order on the Verification Queue and click "Release Official Report". The report is generated as a PDF by the background job system.</w:t>
        <w:br/>
        <w:br/>
        <w:t>Q: What happens if a specimen is rejected?</w:t>
        <w:br/>
        <w:t>A: The specimen is marked as rejected with a reason (e.g. hemolyzed, clotted, insufficient volume). The ordering doctor is notified and may need to order a recollect.</w:t>
      </w:r>
    </w:p>
    <w:p>
      <w:pPr>
        <w:pStyle w:val="Heading2"/>
      </w:pPr>
      <w:r>
        <w:t>11.4 Pharmacy</w:t>
      </w:r>
    </w:p>
    <w:p>
      <w:r>
        <w:t>Q: Why is the system suggesting a specific batch for dispensing?</w:t>
        <w:br/>
        <w:t>A: The system uses FEFO (First-Expired, First-Out) to select the batch with the earliest expiry date, minimizing waste. You can override the suggestion but must provide a reason.</w:t>
        <w:br/>
        <w:br/>
        <w:t>Q: What is a controlled drug?</w:t>
        <w:br/>
        <w:t>A: A controlled substance (dangerous drug under RA 9165) that requires special prescription handling, witness verification for dispensing, and registration in the controlled drug register. Only users with pharmacy.controlled permissions can handle these.</w:t>
        <w:br/>
        <w:br/>
        <w:t>Q: How do I handle a prescription with a drug interaction?</w:t>
        <w:br/>
        <w:t>A: The system flags potential interactions during verification. The pharmacist can verify with an override note, or intervene to contact the prescribing doctor for clarification.</w:t>
        <w:br/>
        <w:br/>
        <w:t>Q: Can I dispense a prescription without verification?</w:t>
        <w:br/>
        <w:t>A: No. All prescriptions must be verified by a pharmacist before dispensing. This is a safety requirement.</w:t>
      </w:r>
    </w:p>
    <w:p>
      <w:pPr>
        <w:pStyle w:val="Heading2"/>
      </w:pPr>
      <w:r>
        <w:t>11.5 Central Supply</w:t>
      </w:r>
    </w:p>
    <w:p>
      <w:r>
        <w:t>Q: Why can't I approve a purchase order I created?</w:t>
        <w:br/>
        <w:t>A: The system enforces segregation of duties (G-11). The person who creates a PO cannot approve it. A different user with the supply_approver role must perform the approval.</w:t>
        <w:br/>
        <w:br/>
        <w:t>Q: What is a 3-way match?</w:t>
        <w:br/>
        <w:t>A: A 3-way match verifies that the purchase order (what was ordered), the GRN (what was received), and the supplier invoice (what was billed) all agree on quantities and prices. Only when all three match can the invoice be approved for payment.</w:t>
        <w:br/>
        <w:br/>
        <w:t>Q: How do I handle a stock discrepancy found during a count?</w:t>
        <w:br/>
        <w:t>A: Create a stock adjustment with the variance and a reason. The adjustment goes through the approval chain (supply_approver approves, inventory_controller posts). The adjustment updates the stock balance and creates an audit trail entry.</w:t>
        <w:br/>
        <w:br/>
        <w:t>Q: What is the difference between a requisition and a purchase order?</w:t>
        <w:br/>
        <w:t>A: A requisition is an internal request from a department to the central store for supplies. A purchase order is an external order to a supplier for stock replenishment.</w:t>
      </w:r>
    </w:p>
    <w:p>
      <w:pPr>
        <w:pStyle w:val="Heading2"/>
      </w:pPr>
      <w:r>
        <w:t>11.6 Billing &amp; Cashiering</w:t>
      </w:r>
    </w:p>
    <w:p>
      <w:r>
        <w:t>Q: How do I process a refund?</w:t>
        <w:br/>
        <w:t>A: Create a credit note against the original invoice with the refund amount and reason. The credit note requires approval, and once approved, the refund can be processed. The credit note links back to the original payment for audit purposes.</w:t>
        <w:br/>
        <w:br/>
        <w:t>Q: What happens if the cash drawer doesn't match at shift close?</w:t>
        <w:br/>
        <w:t>A: The system shows the variance (over or short). Enter the reason for the discrepancy and confirm. The variance is recorded in the shift report and visible to the branch manager.</w:t>
        <w:br/>
        <w:br/>
        <w:t>Q: Can I apply a discount to an invoice?</w:t>
        <w:br/>
        <w:t>A: Yes, if you have billing.discount permissions. Discounts can be percentage or fixed amount, and require a reason. Discounted amounts are shown separately on the invoice.</w:t>
        <w:br/>
        <w:br/>
        <w:t>Q: How do I handle a patient with no cash?</w:t>
        <w:br/>
        <w:t>A: You can create an invoice and leave it as OPEN (unpaid). The patient can pay later, or the invoice can be sent to insurance for billing.</w:t>
      </w:r>
    </w:p>
    <w:p>
      <w:pPr>
        <w:pStyle w:val="Heading2"/>
      </w:pPr>
      <w:r>
        <w:t>11.7 Keyboard Shortcuts</w:t>
      </w:r>
    </w:p>
    <w:p>
      <w:r>
        <w:t>Ctrl+K — Global search (patients, orders, invoices, items)</w:t>
        <w:br/>
        <w:t>Enter — Submit form / confirm dialog</w:t>
        <w:br/>
        <w:t>Escape — Close dialog / cancel action</w:t>
        <w:br/>
        <w:t>Tab — Move to next field</w:t>
        <w:br/>
        <w:t>Shift+Tab — Move to previous field</w:t>
        <w:br/>
        <w:t>Ctrl+S — Save (on supported forms)</w:t>
        <w:br/>
        <w:t>F1-F12 — Reserved for system functions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Clinic Platform User Manual</dc:title>
  <dc:subject/>
  <dc:creator>Clinic Platform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