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Calibri"/>
          <w:b/>
          <w:color w:val="0B1D3A"/>
          <w:sz w:val="72"/>
        </w:rPr>
        <w:t>SITHEMR</w:t>
      </w:r>
    </w:p>
    <w:p>
      <w:pPr>
        <w:jc w:val="center"/>
      </w:pPr>
      <w:r>
        <w:rPr>
          <w:rFonts w:ascii="Calibri" w:hAnsi="Calibri" w:eastAsia="Calibri"/>
          <w:b w:val="0"/>
          <w:color w:val="616161"/>
          <w:sz w:val="28"/>
        </w:rPr>
        <w:t>System for Integrated Tertiary Hospital</w:t>
      </w:r>
    </w:p>
    <w:p>
      <w:pPr>
        <w:jc w:val="center"/>
      </w:pPr>
      <w:r>
        <w:rPr>
          <w:rFonts w:ascii="Calibri" w:hAnsi="Calibri" w:eastAsia="Calibri"/>
          <w:b w:val="0"/>
          <w:color w:val="616161"/>
          <w:sz w:val="28"/>
        </w:rPr>
        <w:t>Electronic Medical Records</w:t>
      </w:r>
    </w:p>
    <w:p/>
    <w:p>
      <w:pPr>
        <w:spacing w:before="40" w:after="40"/>
        <w:pBdr>
          <w:bottom w:val="single" w:sz="16" w:space="1" w:color="1A73E8"/>
        </w:pBdr>
      </w:pPr>
    </w:p>
    <w:p/>
    <w:p>
      <w:pPr>
        <w:jc w:val="center"/>
      </w:pPr>
      <w:r>
        <w:rPr>
          <w:rFonts w:ascii="Calibri" w:hAnsi="Calibri" w:eastAsia="Calibri"/>
          <w:b/>
          <w:color w:val="0B1D3A"/>
          <w:sz w:val="44"/>
        </w:rPr>
        <w:t>BUSINESS PROPOSAL &amp; QUOTATION</w:t>
      </w:r>
    </w:p>
    <w:p/>
    <w:p>
      <w:pPr>
        <w:jc w:val="center"/>
      </w:pPr>
      <w:r>
        <w:rPr>
          <w:rFonts w:ascii="Calibri" w:hAnsi="Calibri" w:eastAsia="Calibri"/>
          <w:b w:val="0"/>
          <w:color w:val="616161"/>
          <w:sz w:val="26"/>
        </w:rPr>
        <w:t>Enterprise Hospital Information System</w:t>
      </w:r>
    </w:p>
    <w:p>
      <w:pPr>
        <w:jc w:val="center"/>
      </w:pPr>
      <w:r>
        <w:rPr>
          <w:rFonts w:ascii="Calibri" w:hAnsi="Calibri" w:eastAsia="Calibri"/>
          <w:b w:val="0"/>
          <w:color w:val="1A73E8"/>
          <w:sz w:val="26"/>
        </w:rPr>
        <w:t>PhilHealth eClaims 3.0 Compliant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2"/>
              </w:rPr>
              <w:t>Proposal Date: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July 15, 2026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2"/>
              </w:rPr>
              <w:t>Valid Until: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August 15, 2026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2"/>
              </w:rPr>
              <w:t>Document Ref: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SITHEMR-QTN-20260715-001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2"/>
              </w:rPr>
              <w:t>Version: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1.0</w:t>
            </w:r>
          </w:p>
        </w:tc>
      </w:tr>
    </w:tbl>
    <w:p>
      <w:r>
        <w:br w:type="page"/>
      </w:r>
    </w:p>
    <w:p/>
    <w:p>
      <w:r>
        <w:rPr>
          <w:rFonts w:ascii="Calibri" w:hAnsi="Calibri" w:eastAsia="Calibri"/>
          <w:b/>
          <w:color w:val="0B1D3A"/>
          <w:sz w:val="36"/>
        </w:rPr>
        <w:t>TABLE OF CONTENTS</w:t>
      </w:r>
    </w:p>
    <w:p>
      <w:pPr>
        <w:spacing w:before="40" w:after="40"/>
        <w:pBdr>
          <w:bottom w:val="single" w:sz="8" w:space="1" w:color="1A73E8"/>
        </w:pBdr>
      </w:pP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1. Executive Summary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2. Project Scope &amp; Objectives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3. Technical Architecture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4. Module Breakdown &amp; Pricing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5. Summary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6. Terms &amp; Conditions</w:t>
      </w:r>
    </w:p>
    <w:p>
      <w:pPr>
        <w:spacing w:before="80" w:after="80"/>
      </w:pPr>
      <w:r>
        <w:rPr>
          <w:rFonts w:ascii="Calibri" w:hAnsi="Calibri" w:eastAsia="Calibri"/>
          <w:b w:val="0"/>
          <w:color w:val="212121"/>
          <w:sz w:val="24"/>
        </w:rPr>
        <w:t>7. Acceptance</w:t>
      </w:r>
    </w:p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1. Executive Summary</w:t>
      </w:r>
    </w:p>
    <w:p>
      <w:pPr>
        <w:spacing w:before="40" w:after="40"/>
        <w:pBdr>
          <w:bottom w:val="single" w:sz="8" w:space="1" w:color="0B1D3A"/>
        </w:pBdr>
      </w:pPr>
    </w:p>
    <w:p>
      <w:pPr>
        <w:spacing w:before="120"/>
      </w:pPr>
      <w:r>
        <w:rPr>
          <w:rFonts w:ascii="Calibri" w:hAnsi="Calibri" w:eastAsia="Calibri"/>
          <w:b w:val="0"/>
          <w:color w:val="212121"/>
          <w:sz w:val="22"/>
        </w:rPr>
        <w:t>SITHEMR (System for Integrated Tertiary Hospital Electronic Medical Records) is a comprehensive, enterprise-grade Hospital Information System (HIS) designed specifically for Philippine tertiary hospitals. The system provides end-to-end coverage of the entire hospital workflow — from patient registration and clinical encounters through ancillary services, billing, and PhilHealth eClaims submission.</w:t>
      </w:r>
    </w:p>
    <w:p>
      <w:r>
        <w:rPr>
          <w:rFonts w:ascii="Calibri" w:hAnsi="Calibri" w:eastAsia="Calibri"/>
          <w:b w:val="0"/>
          <w:color w:val="212121"/>
          <w:sz w:val="22"/>
        </w:rPr>
        <w:t>Built on Laravel 12 with Livewire, Tailwind CSS, and Microsoft SQL Server, SITHEMR delivers a modern, reactive single-page application experience with multi-tenant architecture, granular role-based access control (65 permissions), and full PhilHealth eClaims 3.0 compliance including CF1-CF5 form generation, XML submission, and API integration.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25+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150+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95+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65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145+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A73E8"/>
                <w:sz w:val="40"/>
              </w:rPr>
              <w:t>5</w:t>
            </w:r>
          </w:p>
        </w:tc>
      </w:tr>
      <w:tr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Functional Modules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Database Tables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Livewire Components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RBAC Permissions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EECL Items</w:t>
            </w:r>
          </w:p>
        </w:tc>
        <w:tc>
          <w:tcPr>
            <w:tcW w:type="dxa" w:w="1568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16161"/>
                <w:sz w:val="18"/>
              </w:rPr>
              <w:t>PhilHealth Claim Forms</w:t>
            </w:r>
          </w:p>
        </w:tc>
      </w:tr>
    </w:tbl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2. Project Scope &amp; Objectives</w:t>
      </w:r>
    </w:p>
    <w:p>
      <w:pPr>
        <w:spacing w:before="40" w:after="40"/>
        <w:pBdr>
          <w:bottom w:val="single" w:sz="8" w:space="1" w:color="0B1D3A"/>
        </w:pBdr>
      </w:pP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Digitize and streamline all hospital operations from admission through discharge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Achieve full PhilHealth eClaims 3.0 compliance for seamless claims submission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Implement multi-tenant architecture supporting multiple hospital facilities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Provide granular role-based access control with full audit trail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Deliver real-time inventory management across Pharmacy and Central Supply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Enable DICOM/PACS integration for radiology imaging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Generate all required PhilHealth forms (CF1-CF5, EECL, eSOA) as PDF</w:t>
      </w:r>
    </w:p>
    <w:p>
      <w:pPr>
        <w:spacing w:before="40" w:after="40"/>
      </w:pPr>
      <w:r>
        <w:rPr>
          <w:rFonts w:ascii="Calibri" w:hAnsi="Calibri" w:eastAsia="Calibri"/>
          <w:b w:val="0"/>
          <w:color w:val="212121"/>
          <w:sz w:val="22"/>
        </w:rPr>
        <w:t xml:space="preserve">  •  Support mobile-responsive access for clinicians and nursing staff</w:t>
      </w:r>
    </w:p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3. Technical Architecture</w:t>
      </w:r>
    </w:p>
    <w:p>
      <w:pPr>
        <w:spacing w:before="40" w:after="40"/>
        <w:pBdr>
          <w:bottom w:val="single" w:sz="8" w:space="1" w:color="0B1D3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040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Backend Framework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Laravel 12 (PHP 8.2+)</w:t>
            </w:r>
          </w:p>
        </w:tc>
      </w:tr>
      <w:tr>
        <w:tc>
          <w:tcPr>
            <w:tcW w:type="dxa" w:w="3600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Frontend Stack</w:t>
            </w:r>
          </w:p>
        </w:tc>
        <w:tc>
          <w:tcPr>
            <w:tcW w:type="dxa" w:w="5040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Livewire 4.3 + Alpine.js + Tailwind CSS 4.3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Build Tool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Vite 7.0</w:t>
            </w:r>
          </w:p>
        </w:tc>
      </w:tr>
      <w:tr>
        <w:tc>
          <w:tcPr>
            <w:tcW w:type="dxa" w:w="3600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Database</w:t>
            </w:r>
          </w:p>
        </w:tc>
        <w:tc>
          <w:tcPr>
            <w:tcW w:type="dxa" w:w="5040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Microsoft SQL Server (sqlsrv)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Authentication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JWT (tymon/jwt-auth 2.3)</w:t>
            </w:r>
          </w:p>
        </w:tc>
      </w:tr>
      <w:tr>
        <w:tc>
          <w:tcPr>
            <w:tcW w:type="dxa" w:w="3600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PDF Generation</w:t>
            </w:r>
          </w:p>
        </w:tc>
        <w:tc>
          <w:tcPr>
            <w:tcW w:type="dxa" w:w="5040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DomPDF 3.1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Spreadsheet Export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PhpSpreadsheet 5.8</w:t>
            </w:r>
          </w:p>
        </w:tc>
      </w:tr>
      <w:tr>
        <w:tc>
          <w:tcPr>
            <w:tcW w:type="dxa" w:w="3600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Vector Database</w:t>
            </w:r>
          </w:p>
        </w:tc>
        <w:tc>
          <w:tcPr>
            <w:tcW w:type="dxa" w:w="5040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Qdrant (RAG/Embeddings)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External Integration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PhilHealth CEWS, ECS, Cloud Storage, DICOM/PACS</w:t>
            </w:r>
          </w:p>
        </w:tc>
      </w:tr>
    </w:tbl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4. Module Breakdown &amp; Pricing</w:t>
      </w:r>
    </w:p>
    <w:p>
      <w:pPr>
        <w:spacing w:before="40" w:after="40"/>
        <w:pBdr>
          <w:bottom w:val="single" w:sz="8" w:space="1" w:color="0B1D3A"/>
        </w:pBdr>
      </w:pPr>
    </w:p>
    <w:p>
      <w:r>
        <w:rPr>
          <w:rFonts w:ascii="Calibri" w:hAnsi="Calibri" w:eastAsia="Calibri"/>
          <w:b w:val="0"/>
          <w:color w:val="616161"/>
          <w:sz w:val="22"/>
        </w:rPr>
        <w:t>Rate per hour: ₱2,500.00</w:t>
      </w:r>
    </w:p>
    <w:p/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1. Core Infrastructure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Multi-Tenant Architecture</w:t>
              <w:br/>
              <w:t>Tenant isolation, global scopes, composite keys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Authentication &amp; JWT Integration</w:t>
              <w:br/>
              <w:t>JWT auth, session hybrid, persistent claims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Role-Based Access Control (RBAC)</w:t>
              <w:br/>
              <w:t>65 permissions, 4 roles, overrides, audit trail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₱500,000.00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Master Data Management</w:t>
              <w:br/>
              <w:t>15+ CRUD modules (countries, regions, barangays, etc.)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140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₱350,000.00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Core Infrastructure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540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₱1,350,000.00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2. Patient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Patient Registration</w:t>
              <w:br/>
              <w:t>Full demographics, PhilHealth member linking, auto-codes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Medical Records &amp; Certificates</w:t>
              <w:br/>
              <w:t>Patient chart, 5 certificate types, PDF generation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Patient Management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180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₱450,000.00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3. Emergency Room (ER)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ER Triage</w:t>
              <w:br/>
              <w:t>Patient search, quick registration, acuity levels, vitals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ER Area &amp; Bed Management</w:t>
              <w:br/>
              <w:t>Zone/bed management, admission workflow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ER Treatment</w:t>
              <w:br/>
              <w:t>3-tab clinical form, orders, disposition workflow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OECB / EECL</w:t>
              <w:br/>
              <w:t>Essential care list, PhilHealth Annex D PDF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₱150,000.00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Emergency Room (ER)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360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₱900,000.00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4. In-Patient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OPD Consultation</w:t>
              <w:br/>
              <w:t>Visit types, referral sources, YAKAP integration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Admission &amp; Ward Management</w:t>
              <w:br/>
              <w:t>Admit workflow, room assignment, discharge, calendar-day billing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140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₱350,000.00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Nursing Module</w:t>
              <w:br/>
              <w:t>Orders (5 types), room transfer, discharge confirmation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OB/GYN Consultation</w:t>
              <w:br/>
              <w:t>Fetal presentations, delivery types, OB-specific fields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Delivery Room</w:t>
              <w:br/>
              <w:t>Schedule management, treatment, integration with OB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70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₱175,000.00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Operating Room (OR)</w:t>
              <w:br/>
              <w:t>OR rooms, schedule management, surgical procedures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70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₱175,000.00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Renal Care / Dialysis</w:t>
              <w:br/>
              <w:t>Dialysis types, session management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₱125,000.00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MICU</w:t>
              <w:br/>
              <w:t>Patient management, assessment parameters, value tracking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₱125,000.00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In-Patient Services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640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₱1,600,000.00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5. Ancillary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Laboratory</w:t>
              <w:br/>
              <w:t>Tests, panels, reference ranges, dispensing, results, verification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₱450,000.00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Radiology</w:t>
              <w:br/>
              <w:t>Modalities, exam types, DICOM/PACS integration, C-STORE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160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₱400,000.00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Pharmacy</w:t>
              <w:br/>
              <w:t>Drug management, batches, inventory, PO, dispensing, PMR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₱500,000.00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Central Supply Room (CSR)</w:t>
              <w:br/>
              <w:t>Supply items, categories, suppliers, batch tracking, dispensing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140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₱350,000.00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Procedures</w:t>
              <w:br/>
              <w:t>Categories, procedure master, dispensing workflow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₱150,000.00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Ancillary Services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740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₱1,850,000.00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6. Financial / Billing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Billing Module</w:t>
              <w:br/>
              <w:t>4-tab UI, invoices, payments, manual charges, ledger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₱625,000.00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Fund Source Management</w:t>
              <w:br/>
              <w:t>Budget tracking, fund source allocation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₱150,000.00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Patient Ledger &amp; Statement</w:t>
              <w:br/>
              <w:t>Audit trail, cancel/revoke, PDF statement generation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Auto-Invoice &amp; Room Billing</w:t>
              <w:br/>
              <w:t>Scheduled billing, calendar-day noon cutoff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70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₱175,000.00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Financial / Billing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460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₱1,150,000.00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7. PhilHealth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eClaims 3.0 Module</w:t>
              <w:br/>
              <w:t>CF1-CF4 data entry, dynamic line items, 5 components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₱750,000.00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XML Generator &amp; API Client</w:t>
              <w:br/>
              <w:t>PhilHealth schema compliance, CEWS/ECS/Cloud services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₱500,000.00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PDF Form Generation</w:t>
              <w:br/>
              <w:t>CF1-CF5, EECL, eSOA via DomPDF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OECB System</w:t>
              <w:br/>
              <w:t>Multi-entry OECB, 145 fixed-fee EECL items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CF5 DRG Shadow Billing</w:t>
              <w:br/>
              <w:t>DRG code, weight, base rate, variance analysis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YAKAP (Primary Care)</w:t>
              <w:br/>
              <w:t>Dashboard, empanelment, FPE, screenings, capitation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₱250,000.00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Konsulta</w:t>
              <w:br/>
              <w:t>Enrollment, consultations, prescriptions, lab referrals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PhilHealth Integration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940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₱2,350,000.00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8. Doctors Portal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Doctors Dashboard</w:t>
              <w:br/>
              <w:t>OPD/ER/Ward views, patient chart, SOAP notes, history timeline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₱300,000.00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Doctors Portal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120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₱300,000.00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9. Administration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Role &amp; Permission Management</w:t>
              <w:br/>
              <w:t>CRUD, user overrides, full audit trail with JSON diff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Audit Trail System</w:t>
              <w:br/>
              <w:t>Change logging, diff display, export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50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₱125,000.00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Hospital Transfer</w:t>
              <w:br/>
              <w:t>Inter-facility patient transfer management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₱100,000.00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Administration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170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₱425,000.00</w:t>
            </w:r>
          </w:p>
        </w:tc>
      </w:tr>
    </w:tbl>
    <w:p>
      <w:pPr>
        <w:spacing w:before="240" w:after="80"/>
      </w:pPr>
      <w:r>
        <w:rPr>
          <w:rFonts w:ascii="Calibri" w:hAnsi="Calibri" w:eastAsia="Calibri"/>
          <w:b/>
          <w:color w:val="0B1D3A"/>
          <w:sz w:val="26"/>
        </w:rPr>
        <w:t>10. Frontend &amp; UI/UX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160"/>
            <w:shd w:fill="0B1D3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Tailwind CSS Premium UI</w:t>
              <w:br/>
              <w:t>Glassmorphism, gradients, section-accent navigation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₱250,000.00</w:t>
            </w:r>
          </w:p>
        </w:tc>
      </w:tr>
      <w:tr>
        <w:tc>
          <w:tcPr>
            <w:tcW w:type="dxa" w:w="576"/>
            <w:shd w:fill="F4F7FC" w:val="clear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4032"/>
            <w:shd w:fill="F4F7FC" w:val="clear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Livewire SPA Navigation</w:t>
              <w:br/>
              <w:t>95+ components, event-driven, reactive UI</w:t>
            </w:r>
          </w:p>
        </w:tc>
        <w:tc>
          <w:tcPr>
            <w:tcW w:type="dxa" w:w="144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2160"/>
            <w:shd w:fill="F4F7FC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₱200,000.00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 w:eastAsia="Calibr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Calibri" w:hAnsi="Calibri" w:eastAsia="Calibri"/>
                <w:b/>
                <w:color w:val="212121"/>
                <w:sz w:val="18"/>
              </w:rPr>
              <w:t>Responsive Design</w:t>
              <w:br/>
              <w:t>Mobile/tablet/desktop layouts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18"/>
              </w:rPr>
              <w:t>₱150,000.00</w:t>
            </w:r>
          </w:p>
        </w:tc>
      </w:tr>
      <w:tr>
        <w:tc>
          <w:tcPr>
            <w:tcW w:type="dxa" w:w="4608"/>
            <w:gridSpan w:val="2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Subtotal — Frontend &amp; UI/UX</w:t>
            </w:r>
          </w:p>
        </w:tc>
        <w:tc>
          <w:tcPr>
            <w:tcW w:type="dxa" w:w="1440"/>
            <w:shd w:fill="E8F0FE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240</w:t>
            </w:r>
          </w:p>
        </w:tc>
        <w:tc>
          <w:tcPr>
            <w:tcW w:type="dxa" w:w="2160"/>
            <w:shd w:fill="E8F0FE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B1D3A"/>
                <w:sz w:val="20"/>
              </w:rPr>
              <w:t>₱600,000.00</w:t>
            </w:r>
          </w:p>
        </w:tc>
      </w:tr>
    </w:tbl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5. Summary</w:t>
      </w:r>
    </w:p>
    <w:p>
      <w:pPr>
        <w:spacing w:before="40" w:after="40"/>
        <w:pBdr>
          <w:bottom w:val="single" w:sz="8" w:space="1" w:color="0B1D3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E8F0FE" w:val="clear"/>
          </w:tcPr>
          <w:p>
            <w:r>
              <w:rPr>
                <w:rFonts w:ascii="Calibri" w:hAnsi="Calibri" w:eastAsia="Calibri"/>
                <w:b/>
                <w:color w:val="0B1D3A"/>
                <w:sz w:val="22"/>
              </w:rPr>
              <w:t>Total Estimated Hours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4390</w:t>
            </w:r>
          </w:p>
        </w:tc>
      </w:tr>
      <w:tr>
        <w:tc>
          <w:tcPr>
            <w:tcW w:type="dxa" w:w="4320"/>
            <w:shd w:fill="E8F0FE" w:val="clear"/>
          </w:tcPr>
          <w:p>
            <w:r>
              <w:rPr>
                <w:rFonts w:ascii="Calibri" w:hAnsi="Calibri" w:eastAsia="Calibri"/>
                <w:b/>
                <w:color w:val="0B1D3A"/>
                <w:sz w:val="22"/>
              </w:rPr>
              <w:t>Hourly Rate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₱2,500.00</w:t>
            </w:r>
          </w:p>
        </w:tc>
      </w:tr>
      <w:tr>
        <w:tc>
          <w:tcPr>
            <w:tcW w:type="dxa" w:w="4320"/>
            <w:shd w:fill="E8F0FE" w:val="clear"/>
            <w:shd w:fill="0B1D3A" w:val="clear"/>
          </w:tcPr>
          <w:p>
            <w:r>
              <w:rPr>
                <w:rFonts w:ascii="Calibri" w:hAnsi="Calibri" w:eastAsia="Calibri"/>
                <w:b/>
                <w:color w:val="FFFFFF"/>
                <w:sz w:val="26"/>
              </w:rPr>
              <w:t>Total Project Cost</w:t>
            </w:r>
          </w:p>
        </w:tc>
        <w:tc>
          <w:tcPr>
            <w:tcW w:type="dxa" w:w="4320"/>
            <w:shd w:fill="0B1D3A" w:val="clear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₱10,975,000.00</w:t>
            </w:r>
          </w:p>
        </w:tc>
      </w:tr>
      <w:tr>
        <w:tc>
          <w:tcPr>
            <w:tcW w:type="dxa" w:w="4320"/>
            <w:shd w:fill="E8F0FE" w:val="clear"/>
          </w:tcPr>
          <w:p>
            <w:r>
              <w:rPr>
                <w:rFonts w:ascii="Calibri" w:hAnsi="Calibri" w:eastAsia="Calibri"/>
                <w:b/>
                <w:color w:val="0B1D3A"/>
                <w:sz w:val="22"/>
              </w:rPr>
              <w:t>Estimated Duration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27 months (at 160 hrs/month)</w:t>
            </w:r>
          </w:p>
        </w:tc>
      </w:tr>
      <w:tr>
        <w:tc>
          <w:tcPr>
            <w:tcW w:type="dxa" w:w="4320"/>
            <w:shd w:fill="E8F0FE" w:val="clear"/>
          </w:tcPr>
          <w:p>
            <w:r>
              <w:rPr>
                <w:rFonts w:ascii="Calibri" w:hAnsi="Calibri" w:eastAsia="Calibri"/>
                <w:b/>
                <w:color w:val="0B1D3A"/>
                <w:sz w:val="22"/>
              </w:rPr>
              <w:t>Number of Modules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25+ across 10 categories</w:t>
            </w:r>
          </w:p>
        </w:tc>
      </w:tr>
    </w:tbl>
    <w:p/>
    <w:p/>
    <w:p>
      <w:r>
        <w:rPr>
          <w:rFonts w:ascii="Calibri" w:hAnsi="Calibri" w:eastAsia="Calibri"/>
          <w:b/>
          <w:color w:val="0B1D3A"/>
          <w:sz w:val="36"/>
        </w:rPr>
        <w:t>6. Terms &amp; Conditions</w:t>
      </w:r>
    </w:p>
    <w:p>
      <w:pPr>
        <w:spacing w:before="40" w:after="40"/>
        <w:pBdr>
          <w:bottom w:val="single" w:sz="8" w:space="1" w:color="0B1D3A"/>
        </w:pBdr>
      </w:pP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Payment Terms. </w:t>
      </w:r>
      <w:r>
        <w:rPr>
          <w:rFonts w:ascii="Calibri" w:hAnsi="Calibri" w:eastAsia="Calibri"/>
          <w:b w:val="0"/>
          <w:color w:val="616161"/>
          <w:sz w:val="20"/>
        </w:rPr>
        <w:t>30% upon project commencement, 40% at midpoint milestone, 30% upon final acceptance and deployment.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Project Timeline. </w:t>
      </w:r>
      <w:r>
        <w:rPr>
          <w:rFonts w:ascii="Calibri" w:hAnsi="Calibri" w:eastAsia="Calibri"/>
          <w:b w:val="0"/>
          <w:color w:val="616161"/>
          <w:sz w:val="20"/>
        </w:rPr>
        <w:t>Estimated 27 months from project kickoff, subject to timely client feedback and approvals.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Scope Changes. </w:t>
      </w:r>
      <w:r>
        <w:rPr>
          <w:rFonts w:ascii="Calibri" w:hAnsi="Calibri" w:eastAsia="Calibri"/>
          <w:b w:val="0"/>
          <w:color w:val="616161"/>
          <w:sz w:val="20"/>
        </w:rPr>
        <w:t>Any changes to the agreed scope will be evaluated and quoted separately via a Change Request process.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Warranty. </w:t>
      </w:r>
      <w:r>
        <w:rPr>
          <w:rFonts w:ascii="Calibri" w:hAnsi="Calibri" w:eastAsia="Calibri"/>
          <w:b w:val="0"/>
          <w:color w:val="616161"/>
          <w:sz w:val="20"/>
        </w:rPr>
        <w:t>12-month warranty period covering bug fixes and defects from the date of final acceptance.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Support &amp; Maintenance. </w:t>
      </w:r>
      <w:r>
        <w:rPr>
          <w:rFonts w:ascii="Calibri" w:hAnsi="Calibri" w:eastAsia="Calibri"/>
          <w:b w:val="0"/>
          <w:color w:val="616161"/>
          <w:sz w:val="20"/>
        </w:rPr>
        <w:t>Optional annual support and maintenance agreement available post-warranty at preferential rates.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Intellectual Property. </w:t>
      </w:r>
      <w:r>
        <w:rPr>
          <w:rFonts w:ascii="Calibri" w:hAnsi="Calibri" w:eastAsia="Calibri"/>
          <w:b w:val="0"/>
          <w:color w:val="616161"/>
          <w:sz w:val="20"/>
        </w:rPr>
        <w:t>Full source code ownership transfers to the client upon final payment. All third-party licenses remain with their respective owners.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Confidentiality. </w:t>
      </w:r>
      <w:r>
        <w:rPr>
          <w:rFonts w:ascii="Calibri" w:hAnsi="Calibri" w:eastAsia="Calibri"/>
          <w:b w:val="0"/>
          <w:color w:val="616161"/>
          <w:sz w:val="20"/>
        </w:rPr>
        <w:t>Both parties agree to maintain strict confidentiality of all project-related information.</w:t>
      </w:r>
    </w:p>
    <w:p>
      <w:pPr>
        <w:spacing w:before="80"/>
      </w:pPr>
      <w:r>
        <w:rPr>
          <w:rFonts w:ascii="Calibri" w:hAnsi="Calibri" w:eastAsia="Calibri"/>
          <w:b/>
          <w:color w:val="212121"/>
          <w:sz w:val="20"/>
        </w:rPr>
        <w:t xml:space="preserve">Force Majeure. </w:t>
      </w:r>
      <w:r>
        <w:rPr>
          <w:rFonts w:ascii="Calibri" w:hAnsi="Calibri" w:eastAsia="Calibri"/>
          <w:b w:val="0"/>
          <w:color w:val="616161"/>
          <w:sz w:val="20"/>
        </w:rPr>
        <w:t>Neither party shall be liable for delays caused by circumstances beyond reasonable control.</w:t>
      </w:r>
    </w:p>
    <w:p>
      <w:r>
        <w:br w:type="page"/>
      </w:r>
    </w:p>
    <w:p>
      <w:r>
        <w:rPr>
          <w:rFonts w:ascii="Calibri" w:hAnsi="Calibri" w:eastAsia="Calibri"/>
          <w:b/>
          <w:color w:val="0B1D3A"/>
          <w:sz w:val="36"/>
        </w:rPr>
        <w:t>7. Acceptance</w:t>
      </w:r>
    </w:p>
    <w:p>
      <w:pPr>
        <w:spacing w:before="40" w:after="40"/>
        <w:pBdr>
          <w:bottom w:val="single" w:sz="8" w:space="1" w:color="0B1D3A"/>
        </w:pBdr>
      </w:pPr>
    </w:p>
    <w:p>
      <w:r>
        <w:rPr>
          <w:rFonts w:ascii="Calibri" w:hAnsi="Calibri" w:eastAsia="Calibri"/>
          <w:b w:val="0"/>
          <w:color w:val="212121"/>
          <w:sz w:val="22"/>
        </w:rPr>
        <w:t>By signing below, the Client agrees to the scope, terms, and pricing outlined in this proposal.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406"/>
            <w:gridSpan w:val="2"/>
          </w:tcPr>
          <w:p>
            <w:r>
              <w:rPr>
                <w:rFonts w:ascii="Calibri" w:hAnsi="Calibri" w:eastAsia="Calibri"/>
                <w:b/>
                <w:color w:val="0B1D3A"/>
                <w:sz w:val="24"/>
              </w:rPr>
              <w:t>AUTHORIZED SIGNATORIES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Name: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212121"/>
                <w:sz w:val="20"/>
              </w:rPr>
              <w:t>Name: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Title: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Title: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Date: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color w:val="212121"/>
                <w:sz w:val="20"/>
              </w:rPr>
              <w:t>Date:</w:t>
            </w:r>
          </w:p>
        </w:tc>
      </w:tr>
    </w:tbl>
    <w:p/>
    <w:p/>
    <w:p>
      <w:pPr>
        <w:jc w:val="center"/>
      </w:pPr>
      <w:r>
        <w:rPr>
          <w:rFonts w:ascii="Calibri" w:hAnsi="Calibri" w:eastAsia="Calibri"/>
          <w:b w:val="0"/>
          <w:color w:val="616161"/>
          <w:sz w:val="22"/>
        </w:rPr>
        <w:t>Thank you for your consideration.</w:t>
      </w:r>
    </w:p>
    <w:p>
      <w:pPr>
        <w:jc w:val="center"/>
      </w:pPr>
      <w:r>
        <w:rPr>
          <w:rFonts w:ascii="Calibri" w:hAnsi="Calibri" w:eastAsia="Calibri"/>
          <w:b w:val="0"/>
          <w:color w:val="616161"/>
          <w:sz w:val="20"/>
        </w:rPr>
        <w:t>This proposal is valid for 30 days from the date of issue.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