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0B2545"/>
          <w:sz w:val="42"/>
        </w:rPr>
        <w:t>定錨 2026 年中產業筆記：AI 供應鏈研究報告</w:t>
      </w:r>
    </w:p>
    <w:p>
      <w:pPr>
        <w:spacing w:after="240"/>
      </w:pPr>
      <w:r>
        <w:rPr>
          <w:i/>
        </w:rPr>
        <w:t>原始 PDF 重點標註、第二/第三層受惠推演、推薦追蹤邏輯 | 2026-06-15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b/>
                <w:color w:val="1F3A5F"/>
                <w:sz w:val="21"/>
              </w:rPr>
              <w:t>閱讀定位</w:t>
            </w:r>
          </w:p>
          <w:p>
            <w:pPr>
              <w:spacing w:after="0" w:line="259" w:lineRule="auto"/>
            </w:pPr>
            <w:r>
              <w:rPr>
                <w:sz w:val="20"/>
              </w:rPr>
              <w:t>本報告的「推薦」是研究優先級與追蹤名單，不是個人化買賣建議。PDF 中的公司 call、BOM、rack、良率、產能數字保留其資訊 edge，但一律標記為第三層或模型數字，需後續驗證。</w:t>
            </w:r>
          </w:p>
        </w:tc>
      </w:tr>
    </w:tbl>
    <w:p/>
    <w:p>
      <w:pPr>
        <w:pStyle w:val="Heading1"/>
      </w:pPr>
      <w:r>
        <w:t>一頁結論</w:t>
      </w:r>
    </w:p>
    <w:p>
      <w:pPr>
        <w:pStyle w:val="ListBullet"/>
      </w:pPr>
      <w:r>
        <w:t>A 級主線：先進封裝設備、廠務、ABF/PCB設備、被動元件、Power Rack/BBU。</w:t>
      </w:r>
    </w:p>
    <w:p>
      <w:pPr>
        <w:pStyle w:val="ListBullet"/>
      </w:pPr>
      <w:r>
        <w:t>A- 主線：功率元件，受惠 AI 功率密度與供應鏈重組，但 Nexperia USD75B 數字需回查。</w:t>
      </w:r>
    </w:p>
    <w:p>
      <w:pPr>
        <w:pStyle w:val="ListBullet"/>
      </w:pPr>
      <w:r>
        <w:t>B+ 主線：光通訊，方向明確，但 1.6T/3.2T、NPO/CPO/OCS 贏家與量產節點仍需驗證。</w:t>
      </w:r>
    </w:p>
    <w:p>
      <w:pPr>
        <w:pStyle w:val="ListBullet"/>
      </w:pPr>
      <w:r>
        <w:t>核心方法：PDF重點不是直接當事實，而是變成可追蹤的 call 問題、BOM敏感度與供應鏈雷達。</w:t>
      </w:r>
    </w:p>
    <w:p>
      <w:pPr>
        <w:pStyle w:val="Heading1"/>
      </w:pPr>
      <w:r>
        <w:t>推薦優先級地圖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1280"/>
        <w:gridCol w:w="2450"/>
        <w:gridCol w:w="2450"/>
        <w:gridCol w:w="2530"/>
      </w:tblGrid>
      <w:tr>
        <w:trPr>
          <w:tblHeader w:val="true"/>
        </w:trPr>
        <w:tc>
          <w:tcPr>
            <w:tcW w:type="dxa" w:w="6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6"/>
              </w:rPr>
              <w:t>級別</w:t>
            </w:r>
          </w:p>
        </w:tc>
        <w:tc>
          <w:tcPr>
            <w:tcW w:type="dxa" w:w="12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6"/>
              </w:rPr>
              <w:t>主線</w:t>
            </w:r>
          </w:p>
        </w:tc>
        <w:tc>
          <w:tcPr>
            <w:tcW w:type="dxa" w:w="24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6"/>
              </w:rPr>
              <w:t>為什麼受惠</w:t>
            </w:r>
          </w:p>
        </w:tc>
        <w:tc>
          <w:tcPr>
            <w:tcW w:type="dxa" w:w="24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6"/>
              </w:rPr>
              <w:t>為什麼推薦/追蹤</w:t>
            </w:r>
          </w:p>
        </w:tc>
        <w:tc>
          <w:tcPr>
            <w:tcW w:type="dxa" w:w="253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6"/>
              </w:rPr>
              <w:t>PDF點名族群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A</w:t>
            </w:r>
          </w:p>
        </w:tc>
        <w:tc>
          <w:tcPr>
            <w:tcW w:type="dxa" w:w="1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先進封裝設備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CoWoS 續擴 + SoIC/CoPoS 資本密集度更高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設備訂單領先收入、站點多、可吃多技術路徑</w:t>
            </w:r>
          </w:p>
        </w:tc>
        <w:tc>
          <w:tcPr>
            <w:tcW w:type="dxa" w:w="2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弘塑、辛耘、志聖、均華、萬潤、倍利科、天虹、由田、政美應用等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A</w:t>
            </w:r>
          </w:p>
        </w:tc>
        <w:tc>
          <w:tcPr>
            <w:tcW w:type="dxa" w:w="1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廠務/無塵室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TSMC capex 高原期 + 海外 fab 單座價值量提高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合約負債與二線外溢是早期訊號</w:t>
            </w:r>
          </w:p>
        </w:tc>
        <w:tc>
          <w:tcPr>
            <w:tcW w:type="dxa" w:w="2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漢唐、和淞、兆聯、帆宣、亞翔、洋基工程等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A</w:t>
            </w:r>
          </w:p>
        </w:tc>
        <w:tc>
          <w:tcPr>
            <w:tcW w:type="dxa" w:w="1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ABF/PCB設備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EMIB-T 良率低 + AI板層數/面積增加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設備供應鏈先吃擴產，彈性可能高於載板製造端</w:t>
            </w:r>
          </w:p>
        </w:tc>
        <w:tc>
          <w:tcPr>
            <w:tcW w:type="dxa" w:w="2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敘豐、牧德、創鋒、揚博、群翊、尖點、大量、盟立、長廣等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A</w:t>
            </w:r>
          </w:p>
        </w:tc>
        <w:tc>
          <w:tcPr>
            <w:tcW w:type="dxa" w:w="1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被動元件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VR200 BOM 數字化揭示高容值 MLCC/鋁電容供需缺口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料號緊缺、second source、漲價/交期都是可驗證 edge</w:t>
            </w:r>
          </w:p>
        </w:tc>
        <w:tc>
          <w:tcPr>
            <w:tcW w:type="dxa" w:w="2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國巨、華新科、禾伸堂、立隆電、鈺邦、金山電、臺慶科、信昌電等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A</w:t>
            </w:r>
          </w:p>
        </w:tc>
        <w:tc>
          <w:tcPr>
            <w:tcW w:type="dxa" w:w="1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Power Rack/BBU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Power shelf -&gt; Power Rack -&gt; HVDC，單櫃價值量跳升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BBU 標配化與 SST/HVDC 時程是第三層雷達</w:t>
            </w:r>
          </w:p>
        </w:tc>
        <w:tc>
          <w:tcPr>
            <w:tcW w:type="dxa" w:w="2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台達、順達、新盛力、AES 及相關 BMS/功率供應鏈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A-</w:t>
            </w:r>
          </w:p>
        </w:tc>
        <w:tc>
          <w:tcPr>
            <w:tcW w:type="dxa" w:w="1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功率元件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AI功率密度提升 + Nexperia/揚杰供應鏈重組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有價格、轉單、替代料 hot run 三個催化</w:t>
            </w:r>
          </w:p>
        </w:tc>
        <w:tc>
          <w:tcPr>
            <w:tcW w:type="dxa" w:w="2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台半、強茂、德微、富鼎、力智、立錡、茂達、矽力-KY等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B+</w:t>
            </w:r>
          </w:p>
        </w:tc>
        <w:tc>
          <w:tcPr>
            <w:tcW w:type="dxa" w:w="1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光通訊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800G/1.6T/3.2T 升級確定，NPO/CPO/OCS 分工未定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中期大方向強，但贏家與量產節點需驗證</w:t>
            </w:r>
          </w:p>
        </w:tc>
        <w:tc>
          <w:tcPr>
            <w:tcW w:type="dxa" w:w="2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Lumentum、Coherent、聯亞、環宇-KY、全新、穩懋、IET-KY、嘉基、鴻海、智邦、啟碁等</w:t>
            </w:r>
          </w:p>
        </w:tc>
      </w:tr>
    </w:tbl>
    <w:p/>
    <w:p>
      <w:pPr>
        <w:pStyle w:val="Heading1"/>
      </w:pPr>
      <w:r>
        <w:t>受惠傳導圖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b/>
                <w:color w:val="1F3A5F"/>
                <w:sz w:val="21"/>
              </w:rPr>
              <w:t>AI算力需求 -&gt; 先進製程/封裝 -&gt; 廠務/設備/載板 -&gt; rack power/cooling -&gt; 光通訊/被動/功率元件</w:t>
            </w:r>
          </w:p>
          <w:p>
            <w:pPr>
              <w:spacing w:after="0" w:line="259" w:lineRule="auto"/>
            </w:pPr>
            <w:r>
              <w:rPr>
                <w:sz w:val="20"/>
              </w:rPr>
              <w:t>第二層的核心是供應鏈瓶頸遞延：GPU需求先拉動TSMC capex與封裝產能，再拉動廠務、設備、ABF/PCB、power rack、散熱、光通訊、被動元件與功率半導體。第三層的價值是把每一段用產能、良率、BOM、ASP、滲透率與交期數字化。</w:t>
            </w:r>
          </w:p>
        </w:tc>
      </w:tr>
    </w:tbl>
    <w:p/>
    <w:p>
      <w:pPr>
        <w:pStyle w:val="Heading1"/>
      </w:pPr>
      <w:r>
        <w:t>六大主題重點與二三層推演</w:t>
      </w:r>
    </w:p>
    <w:p>
      <w:pPr>
        <w:pStyle w:val="Heading2"/>
      </w:pPr>
      <w:r>
        <w:t>A｜無塵室與廠務工程</w:t>
      </w:r>
    </w:p>
    <w:p>
      <w:pPr>
        <w:pStyle w:val="Heading3"/>
      </w:pPr>
      <w:r>
        <w:t>PDF重點</w:t>
      </w:r>
    </w:p>
    <w:p>
      <w:pPr>
        <w:pStyle w:val="ListBullet"/>
      </w:pPr>
      <w:r>
        <w:t>TSMC 2026 capex 預估 USD58B，2027/2028 進一步到 USD72B/USD84B；A14/A10 帶動高原期。</w:t>
      </w:r>
    </w:p>
    <w:p>
      <w:pPr>
        <w:pStyle w:val="ListBullet"/>
      </w:pPr>
      <w:r>
        <w:t>Arizona 廠務成本較台灣大幅提高，且嫡系廠商外溢到二線工程商。</w:t>
      </w:r>
    </w:p>
    <w:p>
      <w:pPr>
        <w:pStyle w:val="ListBullet"/>
      </w:pPr>
      <w:r>
        <w:t>Fab21、Fab22、Fab20 多個主系統裝機節點提前，Q3 起工程合約負債可能墊高。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7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b/>
                <w:color w:val="1F3A5F"/>
                <w:sz w:val="21"/>
              </w:rPr>
              <w:t>第二層：為什麼受惠</w:t>
            </w:r>
          </w:p>
          <w:p>
            <w:pPr>
              <w:spacing w:after="0" w:line="259" w:lineRule="auto"/>
            </w:pPr>
            <w:r>
              <w:rPr>
                <w:sz w:val="20"/>
              </w:rPr>
              <w:t>AI 對先進製程與先進封裝需求不是只拉晶圓代工收入，會先拉動建廠、無塵室、機電、水氣化工程。廠務公司收入確認通常早於晶圓量產，且海外 fab 的單座工程價值量更高。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b/>
                <w:color w:val="1F3A5F"/>
                <w:sz w:val="21"/>
              </w:rPr>
              <w:t>第三層：PDF的edge在哪裡</w:t>
            </w:r>
          </w:p>
          <w:p>
            <w:pPr>
              <w:spacing w:after="0" w:line="259" w:lineRule="auto"/>
            </w:pPr>
            <w:r>
              <w:rPr>
                <w:sz w:val="20"/>
              </w:rPr>
              <w:t>PDF 的 edge 在於把 capex、Fab 進場節點與單座 fab 工程拆分成可追蹤數字。這些數字尚非官方公開確認，但能用合約負債、在手訂單、工程進場、二線廠商接單來驗證。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EF7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b/>
                <w:color w:val="1F3A5F"/>
                <w:sz w:val="21"/>
              </w:rPr>
              <w:t>為什麼推薦/追蹤</w:t>
            </w:r>
          </w:p>
          <w:p>
            <w:pPr>
              <w:spacing w:after="0" w:line="259" w:lineRule="auto"/>
            </w:pPr>
            <w:r>
              <w:rPr>
                <w:sz w:val="20"/>
              </w:rPr>
              <w:t>推薦追蹤的原因是能見度高、前置性強，且二線外溢代表供給吃緊程度高於市場只看龍頭工程商的理解。優先看已在 TSMC 供應鏈且出現海外/先進製程訂單外溢的廠務與機電工程商。</w:t>
            </w:r>
          </w:p>
        </w:tc>
      </w:tr>
    </w:tbl>
    <w:p/>
    <w:p>
      <w:r>
        <w:rPr>
          <w:b/>
        </w:rPr>
        <w:t>反證/驗證：</w:t>
      </w:r>
      <w:r>
        <w:t>TSMC 是否正式上修 capex；Fab22/Fab21 進場是否如期；工程商合約負債與毛利是否同步上升。</w:t>
      </w:r>
    </w:p>
    <w:p>
      <w:pPr>
        <w:pStyle w:val="Heading2"/>
      </w:pPr>
      <w:r>
        <w:t>A｜半導體設備與先進封裝</w:t>
      </w:r>
    </w:p>
    <w:p>
      <w:pPr>
        <w:pStyle w:val="Heading3"/>
      </w:pPr>
      <w:r>
        <w:t>PDF重點</w:t>
      </w:r>
    </w:p>
    <w:p>
      <w:pPr>
        <w:pStyle w:val="ListBullet"/>
      </w:pPr>
      <w:r>
        <w:t>CoWoS 2027/2028 年底月產能估 190k/255k。</w:t>
      </w:r>
    </w:p>
    <w:p>
      <w:pPr>
        <w:pStyle w:val="ListBullet"/>
      </w:pPr>
      <w:r>
        <w:t>SoIC 2026/2027 月產能估 20k/45k；CoPoS 2028 估 10k/month。</w:t>
      </w:r>
    </w:p>
    <w:p>
      <w:pPr>
        <w:pStyle w:val="ListBullet"/>
      </w:pPr>
      <w:r>
        <w:t>SoIC/CoPoS 設備資本密集度約較 CoWoS 高 50%，製程含 CMP、濕製程、pick and place、bonding、熱製程。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7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b/>
                <w:color w:val="1F3A5F"/>
                <w:sz w:val="21"/>
              </w:rPr>
              <w:t>第二層：為什麼受惠</w:t>
            </w:r>
          </w:p>
          <w:p>
            <w:pPr>
              <w:spacing w:after="0" w:line="259" w:lineRule="auto"/>
            </w:pPr>
            <w:r>
              <w:rPr>
                <w:sz w:val="20"/>
              </w:rPr>
              <w:t>AI 晶片從單 die 走向 chiplet 與更大 package，瓶頸由晶圓製造延伸到 hybrid bonding、RDL、量測、清洗、載具與封裝良率。設備商受惠不只是 CoWoS 擴產，還包含 SoIC 與 CoPoS 的站點增量。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b/>
                <w:color w:val="1F3A5F"/>
                <w:sz w:val="21"/>
              </w:rPr>
              <w:t>第三層：PDF的edge在哪裡</w:t>
            </w:r>
          </w:p>
          <w:p>
            <w:pPr>
              <w:spacing w:after="0" w:line="259" w:lineRule="auto"/>
            </w:pPr>
            <w:r>
              <w:rPr>
                <w:sz w:val="20"/>
              </w:rPr>
              <w:t>PDF 給出各封裝技術的月產能節奏與良率/潔淨度要求，這是公司 call 型數字。它讓我們可以從『概念受惠』升級為『哪些製程站點、哪些設備商、哪一年開始營收占比提升』。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EF7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b/>
                <w:color w:val="1F3A5F"/>
                <w:sz w:val="21"/>
              </w:rPr>
              <w:t>為什麼推薦/追蹤</w:t>
            </w:r>
          </w:p>
          <w:p>
            <w:pPr>
              <w:spacing w:after="0" w:line="259" w:lineRule="auto"/>
            </w:pPr>
            <w:r>
              <w:rPr>
                <w:sz w:val="20"/>
              </w:rPr>
              <w:t>推薦追蹤已切入關鍵站點且可吃到多技術路徑的設備商，例如濕製程、CMP、bonding、檢測、RDL/PVD、panel-level 封裝設備。這類廠商比單一終端需求更像 picks-and-shovels。</w:t>
            </w:r>
          </w:p>
        </w:tc>
      </w:tr>
    </w:tbl>
    <w:p/>
    <w:p>
      <w:r>
        <w:rPr>
          <w:b/>
        </w:rPr>
        <w:t>反證/驗證：</w:t>
      </w:r>
      <w:r>
        <w:t>CoWoS 設備訂單是否延續；SoIC/hybrid bonding 站點採購是否在 2027 明顯放大；CoPoS 是否提前建置第一條線。</w:t>
      </w:r>
    </w:p>
    <w:p>
      <w:pPr>
        <w:pStyle w:val="Heading2"/>
      </w:pPr>
      <w:r>
        <w:t>A｜ABF載板、EMIB-T與PCB設備</w:t>
      </w:r>
    </w:p>
    <w:p>
      <w:pPr>
        <w:pStyle w:val="Heading3"/>
      </w:pPr>
      <w:r>
        <w:t>PDF重點</w:t>
      </w:r>
    </w:p>
    <w:p>
      <w:pPr>
        <w:pStyle w:val="ListBullet"/>
      </w:pPr>
      <w:r>
        <w:t>Google TPU Humufish 2027H2 改採 EMIB-T，載板段良率約 20-50%，2028 目標 10M 顆。</w:t>
      </w:r>
    </w:p>
    <w:p>
      <w:pPr>
        <w:pStyle w:val="ListBullet"/>
      </w:pPr>
      <w:r>
        <w:t>欣興 capex 接近 NTD500B，光復/楊梅多廠區擴產；景碩、臻鼎、IBIDEN、Toppan 同步擴。</w:t>
      </w:r>
    </w:p>
    <w:p>
      <w:pPr>
        <w:pStyle w:val="ListBullet"/>
      </w:pPr>
      <w:r>
        <w:t>PCB 板廠 capex 倍增，AI 主板 HLC/HDI/mSAP 規格提升；牧德、創鋒、揚博、群翊、尖點、大量等設備受惠。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7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b/>
                <w:color w:val="1F3A5F"/>
                <w:sz w:val="21"/>
              </w:rPr>
              <w:t>第二層：為什麼受惠</w:t>
            </w:r>
          </w:p>
          <w:p>
            <w:pPr>
              <w:spacing w:after="0" w:line="259" w:lineRule="auto"/>
            </w:pPr>
            <w:r>
              <w:rPr>
                <w:sz w:val="20"/>
              </w:rPr>
              <w:t>ASIC 與 GPU 封裝尺寸變大、層數提高、良率壓力增加，會消耗更多 ABF 與 PCB 產能。若 EMIB-T 良率低，需求不是線性增加，而是同樣出貨量需要更多載板與設備備援。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b/>
                <w:color w:val="1F3A5F"/>
                <w:sz w:val="21"/>
              </w:rPr>
              <w:t>第三層：PDF的edge在哪裡</w:t>
            </w:r>
          </w:p>
          <w:p>
            <w:pPr>
              <w:spacing w:after="0" w:line="259" w:lineRule="auto"/>
            </w:pPr>
            <w:r>
              <w:rPr>
                <w:sz w:val="20"/>
              </w:rPr>
              <w:t>Humufish/EMIB-T 20-50% 良率、Google 10M 顆目標與廠區進設備時程，是典型第三層 field intelligence。這些數字能領先公開財報，指向設備 pre-order 與 capex 提前。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EF7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b/>
                <w:color w:val="1F3A5F"/>
                <w:sz w:val="21"/>
              </w:rPr>
              <w:t>為什麼推薦/追蹤</w:t>
            </w:r>
          </w:p>
          <w:p>
            <w:pPr>
              <w:spacing w:after="0" w:line="259" w:lineRule="auto"/>
            </w:pPr>
            <w:r>
              <w:rPr>
                <w:sz w:val="20"/>
              </w:rPr>
              <w:t>推薦設備鏈優先於純載板廠，因為設備訂單會先反映擴產，且可同時吃 EMIB-T、ABF、CoWoS、PCB 高多層板多條需求線。載板廠則需追蹤 capex 轉稼動率與折舊壓力。</w:t>
            </w:r>
          </w:p>
        </w:tc>
      </w:tr>
    </w:tbl>
    <w:p/>
    <w:p>
      <w:r>
        <w:rPr>
          <w:b/>
        </w:rPr>
        <w:t>反證/驗證：</w:t>
      </w:r>
      <w:r>
        <w:t>欣興/臻鼎/景碩 capex 是否續上修；PCB 設備商訂單能見度是否延到 2027；EMIB-T 良率是否改善或反而擴大載板消耗。</w:t>
      </w:r>
    </w:p>
    <w:p>
      <w:pPr>
        <w:pStyle w:val="Heading2"/>
      </w:pPr>
      <w:r>
        <w:t>A｜Power Rack、BBU與散熱零組件</w:t>
      </w:r>
    </w:p>
    <w:p>
      <w:pPr>
        <w:pStyle w:val="Heading3"/>
      </w:pPr>
      <w:r>
        <w:t>PDF重點</w:t>
      </w:r>
    </w:p>
    <w:p>
      <w:pPr>
        <w:pStyle w:val="ListBullet"/>
      </w:pPr>
      <w:r>
        <w:t>GB200/GB300 到 VR200，rack 功耗由 198kW 到 444kW，VR200 power shelf 由 6 顆 18.3kW PSU 構成。</w:t>
      </w:r>
    </w:p>
    <w:p>
      <w:pPr>
        <w:pStyle w:val="ListBullet"/>
      </w:pPr>
      <w:r>
        <w:t>GB200 power 價值 USD37k，VR200 提升至 USD81.2k；Power Rack USD147k；800V HVDC power rack 可到 USD560k。</w:t>
      </w:r>
    </w:p>
    <w:p>
      <w:pPr>
        <w:pStyle w:val="ListBullet"/>
      </w:pPr>
      <w:r>
        <w:t>BBU 由選配轉標配；2026 55k 櫃、30% 滲透率、產值約 NTD16.7B；2027 約 NTD30B，YoY +240%。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7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b/>
                <w:color w:val="1F3A5F"/>
                <w:sz w:val="21"/>
              </w:rPr>
              <w:t>第二層：為什麼受惠</w:t>
            </w:r>
          </w:p>
          <w:p>
            <w:pPr>
              <w:spacing w:after="0" w:line="259" w:lineRule="auto"/>
            </w:pPr>
            <w:r>
              <w:rPr>
                <w:sz w:val="20"/>
              </w:rPr>
              <w:t>AI rack 功率密度提升後，價值不只在伺服器內 PSU，而是上移到 Power Rack、BBU、HVDC、SST、備援控制與能源管理。這會讓電源供應鏈從零組件升級為系統級解決方案。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b/>
                <w:color w:val="1F3A5F"/>
                <w:sz w:val="21"/>
              </w:rPr>
              <w:t>第三層：PDF的edge在哪裡</w:t>
            </w:r>
          </w:p>
          <w:p>
            <w:pPr>
              <w:spacing w:after="0" w:line="259" w:lineRule="auto"/>
            </w:pPr>
            <w:r>
              <w:rPr>
                <w:sz w:val="20"/>
              </w:rPr>
              <w:t>rack shipment、BBU 滲透率、Power Rack ASP、SST 時程都屬 BOM/field model。它們無法從公開資料直接驗證，但可用台達供應商、BBU 出貨、PSU 功率規格與安規認證交叉驗證。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EF7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b/>
                <w:color w:val="1F3A5F"/>
                <w:sz w:val="21"/>
              </w:rPr>
              <w:t>為什麼推薦/追蹤</w:t>
            </w:r>
          </w:p>
          <w:p>
            <w:pPr>
              <w:spacing w:after="0" w:line="259" w:lineRule="auto"/>
            </w:pPr>
            <w:r>
              <w:rPr>
                <w:sz w:val="20"/>
              </w:rPr>
              <w:t>推薦追蹤 power/BBU 供應鏈，因為單櫃價值量提升倍數大，且 HVDC 會重寫供應鏈分工。台達、順達、新盛力、AES 等供應商應以平台別 ASP 與滲透率追蹤。</w:t>
            </w:r>
          </w:p>
        </w:tc>
      </w:tr>
    </w:tbl>
    <w:p/>
    <w:p>
      <w:r>
        <w:rPr>
          <w:b/>
        </w:rPr>
        <w:t>反證/驗證：</w:t>
      </w:r>
      <w:r>
        <w:t>800V HVDC 導入節點；BBU 是否由 NVIDIA/AWS TR3 擴到更多 CSP；SST 1MW/2.5MW/10MW 產品驗證與量產時程。</w:t>
      </w:r>
    </w:p>
    <w:p>
      <w:pPr>
        <w:pStyle w:val="Heading2"/>
      </w:pPr>
      <w:r>
        <w:t>B+｜光通訊與光引擎</w:t>
      </w:r>
    </w:p>
    <w:p>
      <w:pPr>
        <w:pStyle w:val="Heading3"/>
      </w:pPr>
      <w:r>
        <w:t>PDF重點</w:t>
      </w:r>
    </w:p>
    <w:p>
      <w:pPr>
        <w:pStyle w:val="ListBullet"/>
      </w:pPr>
      <w:r>
        <w:t>800G 為 2026-2027 主流；1.6T 大規模放量落在 2027；3.2T 為下一世代。</w:t>
      </w:r>
    </w:p>
    <w:p>
      <w:pPr>
        <w:pStyle w:val="ListBullet"/>
      </w:pPr>
      <w:r>
        <w:t>EML、CW Laser、DSP、PD、先進封裝測試價值量同步提升。</w:t>
      </w:r>
    </w:p>
    <w:p>
      <w:pPr>
        <w:pStyle w:val="ListBullet"/>
      </w:pPr>
      <w:r>
        <w:t>OFC 現場觀察：Lumentum 200G/400G EML、高功率 CW Laser；Coherent/NTT NPO socket；OCS 技術路徑分化。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7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b/>
                <w:color w:val="1F3A5F"/>
                <w:sz w:val="21"/>
              </w:rPr>
              <w:t>第二層：為什麼受惠</w:t>
            </w:r>
          </w:p>
          <w:p>
            <w:pPr>
              <w:spacing w:after="0" w:line="259" w:lineRule="auto"/>
            </w:pPr>
            <w:r>
              <w:rPr>
                <w:sz w:val="20"/>
              </w:rPr>
              <w:t>GPU scale-up/scale-out 需要更高頻寬與更低功耗互聯，光通訊規格升級速度快於供應鏈消化能力。真正受惠點不是只看模組量，而是高階光源、DSP、socket、測試與 CPO/NPO/OCS 轉換。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b/>
                <w:color w:val="1F3A5F"/>
                <w:sz w:val="21"/>
              </w:rPr>
              <w:t>第三層：PDF的edge在哪裡</w:t>
            </w:r>
          </w:p>
          <w:p>
            <w:pPr>
              <w:spacing w:after="0" w:line="259" w:lineRule="auto"/>
            </w:pPr>
            <w:r>
              <w:rPr>
                <w:sz w:val="20"/>
              </w:rPr>
              <w:t>OFC 展場 demo、特定 socket 供應商與 Google/Lumentum/Coherent 技術路徑屬前沿觀察。這些訊號能提前判斷誰會在 1.6T/3.2T、NPO/CPO/OCS 分工中取得位置。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EF7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b/>
                <w:color w:val="1F3A5F"/>
                <w:sz w:val="21"/>
              </w:rPr>
              <w:t>為什麼推薦/追蹤</w:t>
            </w:r>
          </w:p>
          <w:p>
            <w:pPr>
              <w:spacing w:after="0" w:line="259" w:lineRule="auto"/>
            </w:pPr>
            <w:r>
              <w:rPr>
                <w:sz w:val="20"/>
              </w:rPr>
              <w:t>推薦列入中期追蹤，因為規格升級確定，但量產節點與贏家分化仍需驗證。優先看同時具備高階 EML/CW Laser、InP 能力、socket/OCS 入口或資料中心交換器客戶的供應商。</w:t>
            </w:r>
          </w:p>
        </w:tc>
      </w:tr>
    </w:tbl>
    <w:p/>
    <w:p>
      <w:r>
        <w:rPr>
          <w:b/>
        </w:rPr>
        <w:t>反證/驗證：</w:t>
      </w:r>
      <w:r>
        <w:t>1.6T 訂單是否在 2027 放量；CPO/NPO 是否進入量產設計；OCS 從 Spine/DCI 滲透到更靠近 GPU 的時間。</w:t>
      </w:r>
    </w:p>
    <w:p>
      <w:pPr>
        <w:pStyle w:val="Heading2"/>
      </w:pPr>
      <w:r>
        <w:t>A｜被動元件：MLCC、鋁電容、電感</w:t>
      </w:r>
    </w:p>
    <w:p>
      <w:pPr>
        <w:pStyle w:val="Heading3"/>
      </w:pPr>
      <w:r>
        <w:t>PDF重點</w:t>
      </w:r>
    </w:p>
    <w:p>
      <w:pPr>
        <w:pStyle w:val="ListBullet"/>
      </w:pPr>
      <w:r>
        <w:t>VR200 整櫃 MLCC 約 676k 顆，GB300 約 440k 顆；功耗與 MLCC 用量約同步成長。</w:t>
      </w:r>
    </w:p>
    <w:p>
      <w:pPr>
        <w:pStyle w:val="ListBullet"/>
      </w:pPr>
      <w:r>
        <w:t>AI server MLCC 需求估 2026 40B/month、2027 100B/month、後年 200B/month；高容值 MLCC 產能消耗 3-7 倍。</w:t>
      </w:r>
    </w:p>
    <w:p>
      <w:pPr>
        <w:pStyle w:val="ListBullet"/>
      </w:pPr>
      <w:r>
        <w:t>牛角電容、Hybrid、SP-CAP、Polymer 與功率電感同步受惠；燒結箔與高容值料號供需緊缺。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7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b/>
                <w:color w:val="1F3A5F"/>
                <w:sz w:val="21"/>
              </w:rPr>
              <w:t>第二層：為什麼受惠</w:t>
            </w:r>
          </w:p>
          <w:p>
            <w:pPr>
              <w:spacing w:after="0" w:line="259" w:lineRule="auto"/>
            </w:pPr>
            <w:r>
              <w:rPr>
                <w:sz w:val="20"/>
              </w:rPr>
              <w:t>P=VI 下功率提升會帶動電容/電感的穩壓與儲能需求。AI server 高功率、高電流與高密度架構使被動元件從低估值成熟品變成受限料號，ASP、交期、second source 重要性提高。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b/>
                <w:color w:val="1F3A5F"/>
                <w:sz w:val="21"/>
              </w:rPr>
              <w:t>第三層：PDF的edge在哪裡</w:t>
            </w:r>
          </w:p>
          <w:p>
            <w:pPr>
              <w:spacing w:after="0" w:line="259" w:lineRule="auto"/>
            </w:pPr>
            <w:r>
              <w:rPr>
                <w:sz w:val="20"/>
              </w:rPr>
              <w:t>每櫃 MLCC 顆數、47uF/22uF 料號、PSU/BBU 牛角電容數量、燒結箔供給，是最有價值的第三層 BOM 情報。它能讓我們從『被動元件受惠』推到『哪個料號最缺、誰能二供』。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EF7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b/>
                <w:color w:val="1F3A5F"/>
                <w:sz w:val="21"/>
              </w:rPr>
              <w:t>為什麼推薦/追蹤</w:t>
            </w:r>
          </w:p>
          <w:p>
            <w:pPr>
              <w:spacing w:after="0" w:line="259" w:lineRule="auto"/>
            </w:pPr>
            <w:r>
              <w:rPr>
                <w:sz w:val="20"/>
              </w:rPr>
              <w:t>推薦追蹤高容值 MLCC、AI 用鋁電容與功率電感供應鏈。優先看已切入 VR200/電源端、具備 second source 角色、且可受惠交期延長或漲價的台廠。</w:t>
            </w:r>
          </w:p>
        </w:tc>
      </w:tr>
    </w:tbl>
    <w:p/>
    <w:p>
      <w:r>
        <w:rPr>
          <w:b/>
        </w:rPr>
        <w:t>反證/驗證：</w:t>
      </w:r>
      <w:r>
        <w:t>Murata/Samsung/Yageo 擴產速度；ODM LTA 是否壓抑漲價；日廠 OS-CON/SP-CAP 減產或轉單；燒結箔供給是否緩解。</w:t>
      </w:r>
    </w:p>
    <w:p>
      <w:pPr>
        <w:pStyle w:val="Heading2"/>
      </w:pPr>
      <w:r>
        <w:t>A-｜功率元件、DrMOS與供應鏈重組</w:t>
      </w:r>
    </w:p>
    <w:p>
      <w:pPr>
        <w:pStyle w:val="Heading3"/>
      </w:pPr>
      <w:r>
        <w:t>PDF重點</w:t>
      </w:r>
    </w:p>
    <w:p>
      <w:pPr>
        <w:pStyle w:val="ListBullet"/>
      </w:pPr>
      <w:r>
        <w:t>Nexperia 退出/供給受限與揚杰制裁推動替代料 hot run，轉單效應開始發酵。</w:t>
      </w:r>
    </w:p>
    <w:p>
      <w:pPr>
        <w:pStyle w:val="ListBullet"/>
      </w:pPr>
      <w:r>
        <w:t>AI PSU 從 5kW/8kW 走向 12kW/18kW，多相 PFC/LLC、SiC、GaN、MOSFET 用量增加。</w:t>
      </w:r>
    </w:p>
    <w:p>
      <w:pPr>
        <w:pStyle w:val="ListBullet"/>
      </w:pPr>
      <w:r>
        <w:t>單櫃每提升 1kW 約帶動功率元件 USD175；DrMOS 從 700W 約 20 顆、1300W 約 32 顆，到 1800W 以上 50+ 顆。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7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b/>
                <w:color w:val="1F3A5F"/>
                <w:sz w:val="21"/>
              </w:rPr>
              <w:t>第二層：為什麼受惠</w:t>
            </w:r>
          </w:p>
          <w:p>
            <w:pPr>
              <w:spacing w:after="0" w:line="259" w:lineRule="auto"/>
            </w:pPr>
            <w:r>
              <w:rPr>
                <w:sz w:val="20"/>
              </w:rPr>
              <w:t>高功率密度與 800V HVDC 使功率元件用量與規格同步升級；同時國際 IDM 把產能轉向 SiC/SST/高毛利 AI 產品，成熟 MOSFET/二極體/TVS 供給外溢給台系二供。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b/>
                <w:color w:val="1F3A5F"/>
                <w:sz w:val="21"/>
              </w:rPr>
              <w:t>第三層：PDF的edge在哪裡</w:t>
            </w:r>
          </w:p>
          <w:p>
            <w:pPr>
              <w:spacing w:after="0" w:line="259" w:lineRule="auto"/>
            </w:pPr>
            <w:r>
              <w:rPr>
                <w:sz w:val="20"/>
              </w:rPr>
              <w:t>PDF 的 Nexperia USD75B 數字需標 anomaly，但替代料 hot run、DrMOS 顆數與每 kW 價值量仍是有用的供應鏈訊號。應保留轉單 thesis，剔除未核對的營收量級。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EF7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b/>
                <w:color w:val="1F3A5F"/>
                <w:sz w:val="21"/>
              </w:rPr>
              <w:t>為什麼推薦/追蹤</w:t>
            </w:r>
          </w:p>
          <w:p>
            <w:pPr>
              <w:spacing w:after="0" w:line="259" w:lineRule="auto"/>
            </w:pPr>
            <w:r>
              <w:rPr>
                <w:sz w:val="20"/>
              </w:rPr>
              <w:t>推薦追蹤具產品重疊與自有製造/封裝能力的台系功率廠，以及已推出 DrMOS、MOS PMIC、AI server 替代料者。這是『AI需求拉高』與『地緣供應鏈重組』雙催化。</w:t>
            </w:r>
          </w:p>
        </w:tc>
      </w:tr>
    </w:tbl>
    <w:p/>
    <w:p>
      <w:r>
        <w:rPr>
          <w:b/>
        </w:rPr>
        <w:t>反證/驗證：</w:t>
      </w:r>
      <w:r>
        <w:t>Nexperia/揚杰替代料是否正式量產；Infineon/onsemi 是否繼續轉高階；台系 DrMOS/PMIC 驗證節點；價格調漲是否擴散。</w:t>
      </w:r>
    </w:p>
    <w:p>
      <w:pPr>
        <w:pStyle w:val="Heading1"/>
      </w:pPr>
      <w:r>
        <w:t>數字驗證矩陣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800"/>
        <w:gridCol w:w="1450"/>
        <w:gridCol w:w="2550"/>
        <w:gridCol w:w="1660"/>
      </w:tblGrid>
      <w:tr>
        <w:trPr>
          <w:tblHeader w:val="true"/>
        </w:trPr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5"/>
              </w:rPr>
              <w:t>主題</w:t>
            </w:r>
          </w:p>
        </w:tc>
        <w:tc>
          <w:tcPr>
            <w:tcW w:type="dxa" w:w="2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5"/>
              </w:rPr>
              <w:t>PDF數字</w:t>
            </w:r>
          </w:p>
        </w:tc>
        <w:tc>
          <w:tcPr>
            <w:tcW w:type="dxa" w:w="14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5"/>
              </w:rPr>
              <w:t>Tag</w:t>
            </w:r>
          </w:p>
        </w:tc>
        <w:tc>
          <w:tcPr>
            <w:tcW w:type="dxa" w:w="25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5"/>
              </w:rPr>
              <w:t>採用方式</w:t>
            </w:r>
          </w:p>
        </w:tc>
        <w:tc>
          <w:tcPr>
            <w:tcW w:type="dxa" w:w="1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5"/>
              </w:rPr>
              <w:t>風險/反證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5"/>
              </w:rPr>
              <w:t>無塵室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5"/>
              </w:rPr>
              <w:t>TSMC 2026 capex USD58B；2027/2028 USD72B/USD84B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5"/>
              </w:rPr>
              <w:t>company_call / public_compatible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5"/>
              </w:rPr>
              <w:t>2026 官方公開仍以 USD52-56B 高端為基準；58B 是上修訊號。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5"/>
              </w:rPr>
              <w:t>若官方不上修，廠務彈性會下降。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5"/>
              </w:rPr>
              <w:t>廠務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5"/>
              </w:rPr>
              <w:t>美國單座 fab 無塵室+機電 NTD500-600B；台灣 NTD100-120B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5"/>
              </w:rPr>
              <w:t>company_call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5"/>
              </w:rPr>
              <w:t>公開資料支持海外成本較高，但精確拆分未公開。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5"/>
              </w:rPr>
              <w:t>需看工程商 backlog 與毛利。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5"/>
              </w:rPr>
              <w:t>CoWoS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5"/>
              </w:rPr>
              <w:t>2027/2028 月產能 190k/255k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5"/>
              </w:rPr>
              <w:t>company_call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5"/>
              </w:rPr>
              <w:t>公開方向相容；TSMC 確認先進封裝很緊，但未公開精確月產能。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5"/>
              </w:rPr>
              <w:t>客戶導入/設備交期若延後，產能節奏下修。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5"/>
              </w:rPr>
              <w:t>SoIC/CoPoS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5"/>
              </w:rPr>
              <w:t>SoIC 20k/45k；CoPoS 2028 10k/month；設備資本密集度 +50%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5"/>
              </w:rPr>
              <w:t>company_call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5"/>
              </w:rPr>
              <w:t>技術方向相容；精確數字待驗。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5"/>
              </w:rPr>
              <w:t>Feynman non-SoIC 或良率未達標會延後。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5"/>
              </w:rPr>
              <w:t>EMIB-T/ABF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5"/>
              </w:rPr>
              <w:t>Humufish EMIB-T 良率 20-50%；2028 10M 顆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5"/>
              </w:rPr>
              <w:t>company_call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5"/>
              </w:rPr>
              <w:t>高價值第三層情報，公開未驗。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5"/>
              </w:rPr>
              <w:t>良率若快速改善，載板消耗強度會下降。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5"/>
              </w:rPr>
              <w:t>Power/BBU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5"/>
              </w:rPr>
              <w:t>VR200 power value USD81.2k；Power Rack USD147k；HVDC USD560k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5"/>
              </w:rPr>
              <w:t>bom_model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5"/>
              </w:rPr>
              <w:t>方向與高功率 rack 一致；金額需供應鏈驗證。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5"/>
              </w:rPr>
              <w:t>HVDC 導入慢於預期會推遲價值量。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5"/>
              </w:rPr>
              <w:t>BBU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5"/>
              </w:rPr>
              <w:t>2026 55k rack、30%滲透、NTD16.7B；2027 NTD30B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5"/>
              </w:rPr>
              <w:t>bom_model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5"/>
              </w:rPr>
              <w:t>模型依 rack 出貨與滲透率，非公開事實。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5"/>
              </w:rPr>
              <w:t>rack 出貨或 BBU 標配化不如預期。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5"/>
              </w:rPr>
              <w:t>光通訊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5"/>
              </w:rPr>
              <w:t>800G 2026-2027 主流；1.6T 2027 放量；3.2T 下一代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5"/>
              </w:rPr>
              <w:t>public_compatible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5"/>
              </w:rPr>
              <w:t>與產業規格升級相符，但供應商贏家仍需驗證。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5"/>
              </w:rPr>
              <w:t>CPO/NPO 採用慢、價格壓力。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5"/>
              </w:rPr>
              <w:t>MLCC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5"/>
              </w:rPr>
              <w:t>VR200 rack 約 676k 顆；AI server 需求 40B/100B/200B per month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5"/>
              </w:rPr>
              <w:t>bom_model / channel_check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5"/>
              </w:rPr>
              <w:t>公開支撐 MLCC 緊缺，精確需求模型待驗。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5"/>
              </w:rPr>
              <w:t>ODM LTA 壓價、擴產快於需求。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5"/>
              </w:rPr>
              <w:t>鋁電容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5"/>
              </w:rPr>
              <w:t>18kW PSU 牛角 16-18 顆；25kW 20+ 顆；燒結箔 tight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5"/>
              </w:rPr>
              <w:t>bom_model / channel_check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5"/>
              </w:rPr>
              <w:t>主要是 tear-down 與供應鏈口徑。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5"/>
              </w:rPr>
              <w:t>second source 導入失敗或日廠擴產。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5"/>
              </w:rPr>
              <w:t>功率元件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5"/>
              </w:rPr>
              <w:t>每 +1kW 帶動 USD175；DrMOS 20 -&gt; 32 -&gt; 50+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5"/>
              </w:rPr>
              <w:t>bom_model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5"/>
              </w:rPr>
              <w:t>方向相容，精確數字需 teardown 驗證。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5"/>
              </w:rPr>
              <w:t>台系驗證不過或 IDM 供給回補。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5"/>
              </w:rPr>
              <w:t>Nexperia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5"/>
              </w:rPr>
              <w:t>PDF 稱 USD75B revenue/order scale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5"/>
              </w:rPr>
              <w:t>anomaly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5"/>
              </w:rPr>
              <w:t>公開 Nexperia revenue 量級約 USD2B，PDF 數字需核對單位/期間/TAM。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5"/>
              </w:rPr>
              <w:t>保留轉單 thesis，但不採用 USD75B 作事實。</w:t>
            </w:r>
          </w:p>
        </w:tc>
      </w:tr>
    </w:tbl>
    <w:p/>
    <w:p>
      <w:pPr>
        <w:pStyle w:val="Heading1"/>
      </w:pPr>
      <w:r>
        <w:t>公開驗證備註</w:t>
      </w:r>
    </w:p>
    <w:p>
      <w:pPr>
        <w:pStyle w:val="ListBullet"/>
      </w:pPr>
      <w:r>
        <w:t>TSMC 官方公開資料可支撐 2026 capex USD52-56B 且往高端，但 PDF 的 USD58B 是上修期待，需標記為第三層。</w:t>
      </w:r>
    </w:p>
    <w:p>
      <w:pPr>
        <w:pStyle w:val="ListBullet"/>
      </w:pPr>
      <w:r>
        <w:t>TSMC 3DFabric/先進封裝方向與 CoWoS/SoIC/advanced packaging tightness 相容，但月產能精確數字仍屬公司 call。</w:t>
      </w:r>
    </w:p>
    <w:p>
      <w:pPr>
        <w:pStyle w:val="ListBullet"/>
      </w:pPr>
      <w:r>
        <w:t>Nexperia 官方營收量級與 PDF 的 USD75B 明顯不一致，應列 anomaly，不可直接採用。</w:t>
      </w:r>
    </w:p>
    <w:p>
      <w:pPr>
        <w:pStyle w:val="ListBullet"/>
      </w:pPr>
      <w:r>
        <w:t>800V HVDC、SST、AI data center power-density 方向具公開技術合理性，但 rack BOM 價值量仍需以供應鏈與 teardown 驗證。</w:t>
      </w:r>
    </w:p>
    <w:p>
      <w:pPr>
        <w:pStyle w:val="ListBullet"/>
      </w:pPr>
      <w:r>
        <w:t>MLCC 緊缺、AI server 拉貨與交期延長已有公開報導支持，但每櫃顆數與月需求模型仍屬第三層 BOM 情報。</w:t>
      </w:r>
    </w:p>
    <w:p>
      <w:pPr>
        <w:pStyle w:val="Heading1"/>
      </w:pPr>
      <w:r>
        <w:t>下次 call 問題</w:t>
      </w:r>
    </w:p>
    <w:p>
      <w:pPr>
        <w:pStyle w:val="ListNumber"/>
      </w:pPr>
      <w:r>
        <w:t>TSMC 下一次法說是否把 2026 capex 區間正式上移到 USD54-58B 或高於 USD56B？</w:t>
      </w:r>
    </w:p>
    <w:p>
      <w:pPr>
        <w:pStyle w:val="ListNumber"/>
      </w:pPr>
      <w:r>
        <w:t>Fab22 P4/P5、Fab21 P3/P4、Fab20 P3 的主系統進場是否照 PDF 提前時程發生？</w:t>
      </w:r>
    </w:p>
    <w:p>
      <w:pPr>
        <w:pStyle w:val="ListNumber"/>
      </w:pPr>
      <w:r>
        <w:t>SoIC hybrid bonding 設備訂單是否在 2027 明顯放大？CoPoS 第一條線是否提前到 2027？</w:t>
      </w:r>
    </w:p>
    <w:p>
      <w:pPr>
        <w:pStyle w:val="ListNumber"/>
      </w:pPr>
      <w:r>
        <w:t>Google Humufish EMIB-T 良率是否仍在 20-50%？ABF/PCB 設備 pre-order 是否開始反映 2028 10M 顆目標？</w:t>
      </w:r>
    </w:p>
    <w:p>
      <w:pPr>
        <w:pStyle w:val="ListNumber"/>
      </w:pPr>
      <w:r>
        <w:t>VR200 rack power/cooling BOM 是否確認：Power Rack、BBU、HVDC、SST 的 ASP 與滲透率如何？</w:t>
      </w:r>
    </w:p>
    <w:p>
      <w:pPr>
        <w:pStyle w:val="ListNumber"/>
      </w:pPr>
      <w:r>
        <w:t>47uF/22uF MLCC、燒結箔、SP-CAP、Hybrid 電容的 lead time 與 price 是否延續？台廠 second source 驗證到哪一步？</w:t>
      </w:r>
    </w:p>
    <w:p>
      <w:pPr>
        <w:pStyle w:val="ListNumber"/>
      </w:pPr>
      <w:r>
        <w:t>Nexperia USD75B 數字到底是幣別、期間、TAM 還是 OCR/單位錯誤？轉單 thesis 是否有客戶 hot-run 佐證？</w:t>
      </w:r>
    </w:p>
    <w:p>
      <w:pPr>
        <w:pStyle w:val="Heading1"/>
      </w:pPr>
      <w:r>
        <w:t>來源</w:t>
      </w:r>
    </w:p>
    <w:p>
      <w:pPr>
        <w:pStyle w:val="ListBullet"/>
      </w:pPr>
      <w:r>
        <w:t>PDF：2026 年中產業趨勢講座 / 定錨產業筆記 / 2026.06.12 / 原始 PDF：dingmao_2026_midyear_industry_memo.pdf</w:t>
      </w:r>
    </w:p>
    <w:p>
      <w:pPr>
        <w:pStyle w:val="ListBullet"/>
      </w:pPr>
      <w:r>
        <w:t>TSMC 1Q26 transcript：官方 capex 區間、AI/HPC 與先進封裝 tightness。</w:t>
      </w:r>
    </w:p>
    <w:p>
      <w:pPr>
        <w:pStyle w:val="ListBullet"/>
      </w:pPr>
      <w:r>
        <w:t>TSMC Advanced Packaging Services：CoWoS、SoIC、InFO/3DFabric 方向。</w:t>
      </w:r>
    </w:p>
    <w:p>
      <w:pPr>
        <w:pStyle w:val="ListBullet"/>
      </w:pPr>
      <w:r>
        <w:t>Nexperia official about：營收量級用於校正 PDF anomaly。</w:t>
      </w:r>
    </w:p>
    <w:p>
      <w:pPr>
        <w:pStyle w:val="ListBullet"/>
      </w:pPr>
      <w:r>
        <w:t>SIA/Deloitte AI data-center semiconductor ecosystem：AI data center 對完整半導體/電源/網通供應鏈需求的公開背景。</w:t>
      </w:r>
    </w:p>
    <w:sectPr w:rsidR="00FC693F" w:rsidRPr="0006063C" w:rsidSect="00034616">
      <w:footerReference w:type="default" r:id="rId9"/>
      <w:pgSz w:w="12240" w:h="15840"/>
      <w:pgMar w:top="1037" w:right="1037" w:bottom="1037" w:left="1037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55555"/>
        <w:sz w:val="16"/>
      </w:rPr>
      <w:t>IOS-KOL research brief | third-layer tags required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Jheng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libri" w:hAnsi="Calibri" w:eastAsia="Microsoft Jheng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libri" w:hAnsi="Calibri" w:eastAsia="Microsoft Jheng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