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PingFang TC"/>
          <w:b/>
          <w:color w:val="1F4E79"/>
          <w:sz w:val="40"/>
        </w:rPr>
        <w:t>AI 伺服器供應鏈六大主題</w:t>
      </w:r>
    </w:p>
    <w:p>
      <w:pPr>
        <w:jc w:val="center"/>
      </w:pPr>
      <w:r>
        <w:rPr>
          <w:rFonts w:ascii="Arial" w:hAnsi="Arial" w:eastAsia="PingFang TC"/>
          <w:b/>
          <w:sz w:val="28"/>
        </w:rPr>
        <w:t>第二層產業分析與追蹤框架</w:t>
      </w:r>
    </w:p>
    <w:p>
      <w:pPr>
        <w:jc w:val="center"/>
      </w:pPr>
      <w:r>
        <w:rPr>
          <w:rFonts w:ascii="Arial" w:hAnsi="Arial" w:eastAsia="PingFang TC"/>
          <w:sz w:val="18"/>
        </w:rPr>
        <w:t>整理日期：2026-06-15｜來源：截圖 + YouTube ASR 粗轉錄 + 公開產業資料</w:t>
      </w:r>
    </w:p>
    <w:p/>
    <w:p>
      <w:pPr>
        <w:pStyle w:val="Heading1"/>
      </w:pPr>
      <w:r>
        <w:rPr>
          <w:rFonts w:ascii="Arial" w:hAnsi="Arial" w:eastAsia="PingFang TC"/>
          <w:b/>
          <w:color w:val="1F4E79"/>
          <w:sz w:val="30"/>
        </w:rPr>
        <w:t>0. 文件來源與使用限制</w:t>
      </w:r>
    </w:p>
    <w:p>
      <w:pPr>
        <w:pStyle w:val="ListBullet"/>
        <w:spacing w:after="40"/>
      </w:pPr>
      <w:r>
        <w:rPr>
          <w:rFonts w:ascii="Arial" w:hAnsi="Arial" w:eastAsia="PingFang TC"/>
          <w:sz w:val="20"/>
        </w:rPr>
        <w:t>來源 1：使用者提供之活動截圖，內容包含六大主題：半導體廠務、被動元件、先進封裝、光通訊、功率元件、電子零組件。</w:t>
      </w:r>
    </w:p>
    <w:p>
      <w:pPr>
        <w:pStyle w:val="ListBullet"/>
        <w:spacing w:after="40"/>
      </w:pPr>
      <w:r>
        <w:rPr>
          <w:rFonts w:ascii="Arial" w:hAnsi="Arial" w:eastAsia="PingFang TC"/>
          <w:sz w:val="20"/>
        </w:rPr>
        <w:t>來源 2：YouTube 影片本地 ASR 粗轉錄，檔案位置：/private/tmp/ios_kol_u7UPxkcKLSw_full.txt。ASR 已確認涵蓋完整影片至約 02:53:33，但專有名詞需人工校正。</w:t>
      </w:r>
    </w:p>
    <w:p>
      <w:pPr>
        <w:pStyle w:val="ListBullet"/>
        <w:spacing w:after="40"/>
      </w:pPr>
      <w:r>
        <w:rPr>
          <w:rFonts w:ascii="Arial" w:hAnsi="Arial" w:eastAsia="PingFang TC"/>
          <w:sz w:val="20"/>
        </w:rPr>
        <w:t>來源 3：2026-06-15 即時搜尋之公開資料，優先採用產業協會、公司官方頁、公開技術資料；新聞報導僅作為二級佐證。</w:t>
      </w:r>
    </w:p>
    <w:p>
      <w:pPr>
        <w:pStyle w:val="ListBullet"/>
        <w:spacing w:after="40"/>
      </w:pPr>
      <w:r>
        <w:rPr>
          <w:rFonts w:ascii="Arial" w:hAnsi="Arial" w:eastAsia="PingFang TC"/>
          <w:sz w:val="20"/>
        </w:rPr>
        <w:t>限制：本文是產業研究整理與追蹤框架，不是買賣建議；公司名若出現，僅代表供應鏈觀察或影片提及，仍需用財報、法說、出貨認證與客戶導入進度驗證。</w:t>
      </w:r>
    </w:p>
    <w:p>
      <w:pPr>
        <w:pStyle w:val="Heading1"/>
      </w:pPr>
      <w:r>
        <w:rPr>
          <w:rFonts w:ascii="Arial" w:hAnsi="Arial" w:eastAsia="PingFang TC"/>
          <w:b/>
          <w:color w:val="1F4E79"/>
          <w:sz w:val="30"/>
        </w:rPr>
        <w:t>1. 核心結論</w:t>
      </w:r>
    </w:p>
    <w:p>
      <w:pPr>
        <w:pStyle w:val="ListBullet"/>
        <w:spacing w:after="40"/>
      </w:pPr>
      <w:r>
        <w:rPr>
          <w:rFonts w:ascii="Arial" w:hAnsi="Arial" w:eastAsia="PingFang TC"/>
          <w:sz w:val="20"/>
        </w:rPr>
        <w:t>第一層需求是 AI GPU/ASIC/HBM 擴張；第二層瓶頸正在往「廠務與無塵室、先進封裝、電源架構、光通訊、被動元件、BBU/散熱/機構」移動。</w:t>
      </w:r>
    </w:p>
    <w:p>
      <w:pPr>
        <w:pStyle w:val="ListBullet"/>
        <w:spacing w:after="40"/>
      </w:pPr>
      <w:r>
        <w:rPr>
          <w:rFonts w:ascii="Arial" w:hAnsi="Arial" w:eastAsia="PingFang TC"/>
          <w:sz w:val="20"/>
        </w:rPr>
        <w:t>真正值得追的是供應鏈瓶頸的遷移，而不是只看單一零組件題材。當 GPU 供給改善後，下一個限制會變成能否把高功耗 rack 量產、供電、散熱、連網、備援與維修。</w:t>
      </w:r>
    </w:p>
    <w:p>
      <w:pPr>
        <w:pStyle w:val="ListBullet"/>
        <w:spacing w:after="40"/>
      </w:pPr>
      <w:r>
        <w:rPr>
          <w:rFonts w:ascii="Arial" w:hAnsi="Arial" w:eastAsia="PingFang TC"/>
          <w:sz w:val="20"/>
        </w:rPr>
        <w:t>第二層思考的主軸：價值不是平均外溢，而是集中在有設計認證、良率門檻、安規門檻、交期緊張與客戶鎖定能力的供應商。</w:t>
      </w:r>
    </w:p>
    <w:p>
      <w:pPr>
        <w:pStyle w:val="ListBullet"/>
        <w:spacing w:after="40"/>
      </w:pPr>
      <w:r>
        <w:rPr>
          <w:rFonts w:ascii="Arial" w:hAnsi="Arial" w:eastAsia="PingFang TC"/>
          <w:sz w:val="20"/>
        </w:rPr>
        <w:t>風險同樣在第二層：CPO/NPO 導入時間延後、800VDC 標準與安規進度、CoWoS/SoIC 擴產節奏、AI capex 放緩、供應商擴產後價格下修。</w:t>
      </w:r>
    </w:p>
    <w:p>
      <w:pPr>
        <w:pStyle w:val="ListBullet"/>
        <w:spacing w:after="40"/>
      </w:pPr>
      <w:r>
        <w:rPr>
          <w:rFonts w:ascii="Arial" w:hAnsi="Arial" w:eastAsia="PingFang TC"/>
          <w:sz w:val="20"/>
        </w:rPr>
        <w:t>文件建議把下半年觀察重點放在：CoWoS/SoIC 產能、800V HVDC/正負 400V 過渡架構、25kW BBU、1.6T/3.2T 光通訊、MLCC/牛角電容/電感交期、AI rack 系統 BOM。</w:t>
      </w:r>
    </w:p>
    <w:p>
      <w:pPr>
        <w:pStyle w:val="Heading1"/>
      </w:pPr>
      <w:r>
        <w:rPr>
          <w:rFonts w:ascii="Arial" w:hAnsi="Arial" w:eastAsia="PingFang TC"/>
          <w:b/>
          <w:color w:val="1F4E79"/>
          <w:sz w:val="30"/>
        </w:rPr>
        <w:t>2. 截圖段落整理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1701"/>
            <w:shd w:fill="1F4E7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/>
                <w:color w:val="FFFFFF"/>
                <w:sz w:val="18"/>
              </w:rPr>
              <w:t>主題</w:t>
            </w:r>
          </w:p>
        </w:tc>
        <w:tc>
          <w:tcPr>
            <w:tcW w:type="dxa" w:w="3628"/>
            <w:shd w:fill="1F4E7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/>
                <w:color w:val="FFFFFF"/>
                <w:sz w:val="18"/>
              </w:rPr>
              <w:t>截圖段落重點</w:t>
            </w:r>
          </w:p>
        </w:tc>
        <w:tc>
          <w:tcPr>
            <w:tcW w:type="dxa" w:w="4025"/>
            <w:shd w:fill="1F4E7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/>
                <w:color w:val="FFFFFF"/>
                <w:sz w:val="18"/>
              </w:rPr>
              <w:t>第二層整理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半導體廠務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AI 晶片、先進封裝與高階製程擴產，推升半導體廠務工程、無塵室建置與機電整合需求。</w:t>
            </w:r>
          </w:p>
        </w:tc>
        <w:tc>
          <w:tcPr>
            <w:tcW w:type="dxa" w:w="40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觀察無塵室、機電、氣體化學供應、超純水與電力工程是否成為先進製程放量的前置瓶頸。</w:t>
            </w:r>
          </w:p>
        </w:tc>
      </w:tr>
      <w:tr>
        <w:tc>
          <w:tcPr>
            <w:tcW w:type="dxa" w:w="1701"/>
            <w:shd w:fill="F3F6F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被動元件</w:t>
            </w:r>
          </w:p>
        </w:tc>
        <w:tc>
          <w:tcPr>
            <w:tcW w:type="dxa" w:w="3628"/>
            <w:shd w:fill="F3F6F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MLCC、鋁質電容、電感、電阻等需求受 AI 伺服器迭代與 800V HVDC 帶動。</w:t>
            </w:r>
          </w:p>
        </w:tc>
        <w:tc>
          <w:tcPr>
            <w:tcW w:type="dxa" w:w="4025"/>
            <w:shd w:fill="F3F6F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追蹤高壓、高頻、低 ESR、高溫與長壽命規格，並看 PSU/BBU/rack power 的用量變化。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先進封裝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AI 晶片推動 CoWoS、SoIC、3D 封裝與下一世代異質整合。</w:t>
            </w:r>
          </w:p>
        </w:tc>
        <w:tc>
          <w:tcPr>
            <w:tcW w:type="dxa" w:w="40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封裝不只是後段製程，而是 AI 晶片能否擴展 memory bandwidth、die size 與 power delivery 的核心。</w:t>
            </w:r>
          </w:p>
        </w:tc>
      </w:tr>
      <w:tr>
        <w:tc>
          <w:tcPr>
            <w:tcW w:type="dxa" w:w="1701"/>
            <w:shd w:fill="F3F6F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光通訊</w:t>
            </w:r>
          </w:p>
        </w:tc>
        <w:tc>
          <w:tcPr>
            <w:tcW w:type="dxa" w:w="3628"/>
            <w:shd w:fill="F3F6F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AI data center 高速互聯帶動光模組、NPO/CPO、矽光子供應鏈。</w:t>
            </w:r>
          </w:p>
        </w:tc>
        <w:tc>
          <w:tcPr>
            <w:tcW w:type="dxa" w:w="4025"/>
            <w:shd w:fill="F3F6F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重點在 optics 逐步靠近 switch ASIC / accelerator，影響既有可插拔模組與新型光引擎價值分配。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功率元件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AI 伺服器電源架構改變、供需失衡與轉單機會形成新一輪功率元件循環。</w:t>
            </w:r>
          </w:p>
        </w:tc>
        <w:tc>
          <w:tcPr>
            <w:tcW w:type="dxa" w:w="40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觀察 SiC/GaN/MOSFET/整流器/電源模組是否因高壓 DC、SST、BBU 與 rack power 重新定價。</w:t>
            </w:r>
          </w:p>
        </w:tc>
      </w:tr>
      <w:tr>
        <w:tc>
          <w:tcPr>
            <w:tcW w:type="dxa" w:w="1701"/>
            <w:shd w:fill="F3F6F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電子零組件</w:t>
            </w:r>
          </w:p>
        </w:tc>
        <w:tc>
          <w:tcPr>
            <w:tcW w:type="dxa" w:w="3628"/>
            <w:shd w:fill="F3F6F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BBU、連接器、散熱、電源、機構件等受 AI server 與 data center 拉動。</w:t>
            </w:r>
          </w:p>
        </w:tc>
        <w:tc>
          <w:tcPr>
            <w:tcW w:type="dxa" w:w="4025"/>
            <w:shd w:fill="F3F6F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從 server board 擴大到 rack/system BOM，價值轉移到高功率、高可靠、易維修的整機架設計。</w:t>
            </w:r>
          </w:p>
        </w:tc>
      </w:tr>
    </w:tbl>
    <w:p/>
    <w:p>
      <w:pPr>
        <w:pStyle w:val="Heading1"/>
      </w:pPr>
      <w:r>
        <w:rPr>
          <w:rFonts w:ascii="Arial" w:hAnsi="Arial" w:eastAsia="PingFang TC"/>
          <w:b/>
          <w:color w:val="1F4E79"/>
          <w:sz w:val="30"/>
        </w:rPr>
        <w:t>3. 影片轉檔重點對照</w:t>
      </w:r>
    </w:p>
    <w:p>
      <w:pPr>
        <w:spacing w:after="80" w:line="259" w:lineRule="auto"/>
      </w:pPr>
      <w:r>
        <w:rPr>
          <w:rFonts w:ascii="Arial" w:hAnsi="Arial" w:eastAsia="PingFang TC"/>
          <w:b w:val="0"/>
          <w:sz w:val="20"/>
        </w:rPr>
        <w:t>本節只使用 ASR 作為方向佐證，已將明顯 ASR 錯字做語意校正，例如 CoWoS、SoIC、CPO、HVDC、BBU、MLCC 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1814"/>
            <w:shd w:fill="1F4E7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/>
                <w:color w:val="FFFFFF"/>
                <w:sz w:val="18"/>
              </w:rPr>
              <w:t>影片段落</w:t>
            </w:r>
          </w:p>
        </w:tc>
        <w:tc>
          <w:tcPr>
            <w:tcW w:type="dxa" w:w="4082"/>
            <w:shd w:fill="1F4E7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/>
                <w:color w:val="FFFFFF"/>
                <w:sz w:val="18"/>
              </w:rPr>
              <w:t>ASR 抽取重點</w:t>
            </w:r>
          </w:p>
        </w:tc>
        <w:tc>
          <w:tcPr>
            <w:tcW w:type="dxa" w:w="3458"/>
            <w:shd w:fill="1F4E7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/>
                <w:color w:val="FFFFFF"/>
                <w:sz w:val="18"/>
              </w:rPr>
              <w:t>可用判讀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開場定位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主持人指出 AI 影響不只局限在 GPU/伺服器規格，而是延伸到先進製程、先進封裝、電源架構、被動元件、功率元件與光通訊。</w:t>
            </w:r>
          </w:p>
        </w:tc>
        <w:tc>
          <w:tcPr>
            <w:tcW w:type="dxa" w:w="345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與截圖六大主題完全一致，代表活動主軸是 AI infrastructure supply chain，而非單一 GPU 題材。</w:t>
            </w:r>
          </w:p>
        </w:tc>
      </w:tr>
      <w:tr>
        <w:tc>
          <w:tcPr>
            <w:tcW w:type="dxa" w:w="1814"/>
            <w:shd w:fill="F3F6F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先進封裝</w:t>
            </w:r>
          </w:p>
        </w:tc>
        <w:tc>
          <w:tcPr>
            <w:tcW w:type="dxa" w:w="4082"/>
            <w:shd w:fill="F3F6F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逐字稿提到 CoWoS、SoIC、載板/PCB 設備、3D SoIC、Hybrid bonding、CPO 導入等。</w:t>
            </w:r>
          </w:p>
        </w:tc>
        <w:tc>
          <w:tcPr>
            <w:tcW w:type="dxa" w:w="3458"/>
            <w:shd w:fill="F3F6F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封裝端投資邏輯應從「產能擴張」升級為「先進封裝設備資本密集度與製程精度提高」。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800V HVDC / 電源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逐字稿詳細比較傳統供電、過渡期 HVDC、最終 800V DC 架構，並提到電流降低、線損降低、SST、PowerRack 與 BBU。</w:t>
            </w:r>
          </w:p>
        </w:tc>
        <w:tc>
          <w:tcPr>
            <w:tcW w:type="dxa" w:w="345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電源架構是 rack 級規格重新設計，不是單一 PSU 瓦數提升；應追蹤正負 400V 到 800V 的遷移路徑。</w:t>
            </w:r>
          </w:p>
        </w:tc>
      </w:tr>
      <w:tr>
        <w:tc>
          <w:tcPr>
            <w:tcW w:type="dxa" w:w="1814"/>
            <w:shd w:fill="F3F6F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BBU / 電子零組件</w:t>
            </w:r>
          </w:p>
        </w:tc>
        <w:tc>
          <w:tcPr>
            <w:tcW w:type="dxa" w:w="4082"/>
            <w:shd w:fill="F3F6F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逐字稿提到 BBU 從選配走向標配、5.5kW 到 25kW、SMT 板與被動元件用量增加。</w:t>
            </w:r>
          </w:p>
        </w:tc>
        <w:tc>
          <w:tcPr>
            <w:tcW w:type="dxa" w:w="3458"/>
            <w:shd w:fill="F3F6F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BBU 是 AI rack 的備援/瞬態電力保險，價值會隨 rack power density 提升。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被動元件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逐字稿承接電源升級，切入 MLCC、鋁質電容、固態電容、電感，以及 PSU/BBU 用量提升。</w:t>
            </w:r>
          </w:p>
        </w:tc>
        <w:tc>
          <w:tcPr>
            <w:tcW w:type="dxa" w:w="345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被動元件受惠不是只有顆數，而是規格升級、交期、認證與高可靠長壽命設計。</w:t>
            </w:r>
          </w:p>
        </w:tc>
      </w:tr>
      <w:tr>
        <w:tc>
          <w:tcPr>
            <w:tcW w:type="dxa" w:w="1814"/>
            <w:shd w:fill="F3F6F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光通訊 / CPO</w:t>
            </w:r>
          </w:p>
        </w:tc>
        <w:tc>
          <w:tcPr>
            <w:tcW w:type="dxa" w:w="4082"/>
            <w:shd w:fill="F3F6F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逐字稿提到玻璃核心載板、Tomahawk 7 CPO 版本、2027-2028 可能量產等觀察。</w:t>
            </w:r>
          </w:p>
        </w:tc>
        <w:tc>
          <w:tcPr>
            <w:tcW w:type="dxa" w:w="3458"/>
            <w:shd w:fill="F3F6F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CPO/NPO 是下一代資料中心互聯效率議題，但時間點與平台導入節奏需要外部驗證。</w:t>
            </w:r>
          </w:p>
        </w:tc>
      </w:tr>
    </w:tbl>
    <w:p/>
    <w:p>
      <w:pPr>
        <w:pStyle w:val="Heading1"/>
      </w:pPr>
      <w:r>
        <w:rPr>
          <w:rFonts w:ascii="Arial" w:hAnsi="Arial" w:eastAsia="PingFang TC"/>
          <w:b/>
          <w:color w:val="1F4E79"/>
          <w:sz w:val="30"/>
        </w:rPr>
        <w:t>4. 第二層產業地圖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73"/>
        <w:gridCol w:w="1673"/>
        <w:gridCol w:w="1673"/>
        <w:gridCol w:w="1673"/>
        <w:gridCol w:w="1673"/>
        <w:gridCol w:w="1673"/>
      </w:tblGrid>
      <w:tr>
        <w:tc>
          <w:tcPr>
            <w:tcW w:type="dxa" w:w="1247"/>
            <w:shd w:fill="1F4E7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/>
                <w:color w:val="FFFFFF"/>
                <w:sz w:val="18"/>
              </w:rPr>
              <w:t>主題</w:t>
            </w:r>
          </w:p>
        </w:tc>
        <w:tc>
          <w:tcPr>
            <w:tcW w:type="dxa" w:w="1814"/>
            <w:shd w:fill="1F4E7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/>
                <w:color w:val="FFFFFF"/>
                <w:sz w:val="18"/>
              </w:rPr>
              <w:t>第一層需求</w:t>
            </w:r>
          </w:p>
        </w:tc>
        <w:tc>
          <w:tcPr>
            <w:tcW w:type="dxa" w:w="2154"/>
            <w:shd w:fill="1F4E7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/>
                <w:color w:val="FFFFFF"/>
                <w:sz w:val="18"/>
              </w:rPr>
              <w:t>第二層瓶頸</w:t>
            </w:r>
          </w:p>
        </w:tc>
        <w:tc>
          <w:tcPr>
            <w:tcW w:type="dxa" w:w="1928"/>
            <w:shd w:fill="1F4E7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/>
                <w:color w:val="FFFFFF"/>
                <w:sz w:val="18"/>
              </w:rPr>
              <w:t>觀察名單方向</w:t>
            </w:r>
          </w:p>
        </w:tc>
        <w:tc>
          <w:tcPr>
            <w:tcW w:type="dxa" w:w="1984"/>
            <w:shd w:fill="1F4E7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/>
                <w:color w:val="FFFFFF"/>
                <w:sz w:val="18"/>
              </w:rPr>
              <w:t>驗證指標</w:t>
            </w:r>
          </w:p>
        </w:tc>
        <w:tc>
          <w:tcPr>
            <w:tcW w:type="dxa" w:w="1814"/>
            <w:shd w:fill="1F4E7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/>
                <w:color w:val="FFFFFF"/>
                <w:sz w:val="18"/>
              </w:rPr>
              <w:t>主要風險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半導體廠務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AI/HPC 晶片需求拉動先進製程與封裝廠擴建。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無塵室、MEP、電力、超純水、氣體化學管線與廠務整合的交期。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漢唐、聖暉、亞翔、洋基工程等需以接單與毛利驗證。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新廠建置案、在手訂單、毛利率、工程進度、客戶集中度。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廠房時程遞延、缺工、原物料、客戶 capex 下修。</w:t>
            </w:r>
          </w:p>
        </w:tc>
      </w:tr>
      <w:tr>
        <w:tc>
          <w:tcPr>
            <w:tcW w:type="dxa" w:w="1247"/>
            <w:shd w:fill="F3F6F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被動元件</w:t>
            </w:r>
          </w:p>
        </w:tc>
        <w:tc>
          <w:tcPr>
            <w:tcW w:type="dxa" w:w="1814"/>
            <w:shd w:fill="F3F6F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AI server/rack power 用量上升，電壓/電流/溫度規格升級。</w:t>
            </w:r>
          </w:p>
        </w:tc>
        <w:tc>
          <w:tcPr>
            <w:tcW w:type="dxa" w:w="2154"/>
            <w:shd w:fill="F3F6F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高可靠 MLCC、鋁電/固態電容、電感與電阻的資格認證與交期。</w:t>
            </w:r>
          </w:p>
        </w:tc>
        <w:tc>
          <w:tcPr>
            <w:tcW w:type="dxa" w:w="1928"/>
            <w:shd w:fill="F3F6F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國巨、華新科、禾伸堂、鈺邦、立隆電等需分產品線驗證。</w:t>
            </w:r>
          </w:p>
        </w:tc>
        <w:tc>
          <w:tcPr>
            <w:tcW w:type="dxa" w:w="1984"/>
            <w:shd w:fill="F3F6F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MLCC 交期、ASP、庫存天數、AI/車用/工控占比、PSU/BBU design-in。</w:t>
            </w:r>
          </w:p>
        </w:tc>
        <w:tc>
          <w:tcPr>
            <w:tcW w:type="dxa" w:w="1814"/>
            <w:shd w:fill="F3F6F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擴產後供過於求、消費電子疲弱、價格競爭。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先進封裝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大 die、HBM、chiplet、memory bandwidth 帶動 CoWoS/SoIC/3D。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良率、設備精度、載板、測試、臨時鍵合、Hybrid bonding 與週期時間。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設備、載板、測試、材料廠需以 CoWoS/SoIC 曝險度驗證。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CoWoS/SoIC 月產能、設備 capex、HBM/ASIC 客戶導入、良率。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先進封裝節點延後、客戶自研封裝、產能開出後價格壓力。</w:t>
            </w:r>
          </w:p>
        </w:tc>
      </w:tr>
      <w:tr>
        <w:tc>
          <w:tcPr>
            <w:tcW w:type="dxa" w:w="1247"/>
            <w:shd w:fill="F3F6F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光通訊</w:t>
            </w:r>
          </w:p>
        </w:tc>
        <w:tc>
          <w:tcPr>
            <w:tcW w:type="dxa" w:w="1814"/>
            <w:shd w:fill="F3F6F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AI cluster scale-out 需要 800G/1.6T/3.2T 互聯。</w:t>
            </w:r>
          </w:p>
        </w:tc>
        <w:tc>
          <w:tcPr>
            <w:tcW w:type="dxa" w:w="2154"/>
            <w:shd w:fill="F3F6F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從可插拔模組轉向 NPO/CPO/矽光子，價值往光引擎、雷射、封裝與測試移動。</w:t>
            </w:r>
          </w:p>
        </w:tc>
        <w:tc>
          <w:tcPr>
            <w:tcW w:type="dxa" w:w="1928"/>
            <w:shd w:fill="F3F6F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光模組、雷射、FAU、矽光子封裝與交換器供應鏈。</w:t>
            </w:r>
          </w:p>
        </w:tc>
        <w:tc>
          <w:tcPr>
            <w:tcW w:type="dxa" w:w="1984"/>
            <w:shd w:fill="F3F6F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NVIDIA/Broadcom switch roadmap、CPO/NPO 設計定案、800G/1.6T 出貨。</w:t>
            </w:r>
          </w:p>
        </w:tc>
        <w:tc>
          <w:tcPr>
            <w:tcW w:type="dxa" w:w="1814"/>
            <w:shd w:fill="F3F6F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CPO 延後、銅纜/可插拔方案延壽、良率與維修性問題。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功率元件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高功率 rack 需要更高效率電源轉換與保護。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800VDC / 正負 400V 過渡架構帶動 SiC/GaN/MOSFET、整流、SST、保護元件。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台達、光寶、群電、功率半導體/模組廠需看規格與客戶認證。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安規、design win、量產時間、效率、可靠性、毛利率。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標準不確定、導入時程後移、電源廠垂直整合。</w:t>
            </w:r>
          </w:p>
        </w:tc>
      </w:tr>
      <w:tr>
        <w:tc>
          <w:tcPr>
            <w:tcW w:type="dxa" w:w="1247"/>
            <w:shd w:fill="F3F6F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電子零組件</w:t>
            </w:r>
          </w:p>
        </w:tc>
        <w:tc>
          <w:tcPr>
            <w:tcW w:type="dxa" w:w="1814"/>
            <w:shd w:fill="F3F6F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AI server 從單機板變成 rack/system BOM。</w:t>
            </w:r>
          </w:p>
        </w:tc>
        <w:tc>
          <w:tcPr>
            <w:tcW w:type="dxa" w:w="2154"/>
            <w:shd w:fill="F3F6F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BBU、液冷、連接器、機構件、線材與維修性共同決定可部署容量。</w:t>
            </w:r>
          </w:p>
        </w:tc>
        <w:tc>
          <w:tcPr>
            <w:tcW w:type="dxa" w:w="1928"/>
            <w:shd w:fill="F3F6F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BBU、散熱、連接器、機構件、ODM/EMS 供應鏈。</w:t>
            </w:r>
          </w:p>
        </w:tc>
        <w:tc>
          <w:tcPr>
            <w:tcW w:type="dxa" w:w="1984"/>
            <w:shd w:fill="F3F6F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25kW BBU、液冷 CDU/cold plate、connector pin count、rack 出貨。</w:t>
            </w:r>
          </w:p>
        </w:tc>
        <w:tc>
          <w:tcPr>
            <w:tcW w:type="dxa" w:w="1814"/>
            <w:shd w:fill="F3F6F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客戶規格變動、驗證週期、單一平台過度依賴。</w:t>
            </w:r>
          </w:p>
        </w:tc>
      </w:tr>
    </w:tbl>
    <w:p/>
    <w:p>
      <w:pPr>
        <w:pStyle w:val="Heading1"/>
      </w:pPr>
      <w:r>
        <w:rPr>
          <w:rFonts w:ascii="Arial" w:hAnsi="Arial" w:eastAsia="PingFang TC"/>
          <w:b/>
          <w:color w:val="1F4E79"/>
          <w:sz w:val="30"/>
        </w:rPr>
        <w:t>5. 主題深挖</w:t>
      </w:r>
    </w:p>
    <w:p>
      <w:pPr>
        <w:pStyle w:val="Heading2"/>
      </w:pPr>
      <w:r>
        <w:rPr>
          <w:rFonts w:ascii="Arial" w:hAnsi="Arial" w:eastAsia="PingFang TC"/>
          <w:b/>
          <w:color w:val="1F4E79"/>
          <w:sz w:val="24"/>
        </w:rPr>
        <w:t>5.1 半導體廠務：從蓋廠需求到 capacity unlock</w:t>
      </w:r>
    </w:p>
    <w:p>
      <w:pPr>
        <w:pStyle w:val="ListBullet"/>
        <w:spacing w:after="40"/>
      </w:pPr>
      <w:r>
        <w:rPr>
          <w:rFonts w:ascii="Arial" w:hAnsi="Arial" w:eastAsia="PingFang TC"/>
          <w:sz w:val="20"/>
        </w:rPr>
        <w:t>第一層看起來是 AI 晶片需求增加；第二層其實是晶圓廠/封裝廠要能準時開出可用產能。</w:t>
      </w:r>
    </w:p>
    <w:p>
      <w:pPr>
        <w:pStyle w:val="ListBullet"/>
        <w:spacing w:after="40"/>
      </w:pPr>
      <w:r>
        <w:rPr>
          <w:rFonts w:ascii="Arial" w:hAnsi="Arial" w:eastAsia="PingFang TC"/>
          <w:sz w:val="20"/>
        </w:rPr>
        <w:t>廠務工程、無塵室、機電整合、超純水、氣體化學管線與電力系統，是先進製程擴張的前置條件。</w:t>
      </w:r>
    </w:p>
    <w:p>
      <w:pPr>
        <w:pStyle w:val="ListBullet"/>
        <w:spacing w:after="40"/>
      </w:pPr>
      <w:r>
        <w:rPr>
          <w:rFonts w:ascii="Arial" w:hAnsi="Arial" w:eastAsia="PingFang TC"/>
          <w:sz w:val="20"/>
        </w:rPr>
        <w:t>若無塵室與廠務供給吃緊，受惠者不一定是最大設備商，而是能接大型 turnkey、管理工期與通過客戶安全規範的工程服務商。</w:t>
      </w:r>
    </w:p>
    <w:p>
      <w:pPr>
        <w:pStyle w:val="ListBullet"/>
        <w:spacing w:after="40"/>
      </w:pPr>
      <w:r>
        <w:rPr>
          <w:rFonts w:ascii="Arial" w:hAnsi="Arial" w:eastAsia="PingFang TC"/>
          <w:sz w:val="20"/>
        </w:rPr>
        <w:t>關鍵檢查：在手訂單是否真的增加、毛利率是否被缺工/材料侵蝕、工程進度是否與 TSMC/OSAT/記憶體廠 capex 對得上。</w:t>
      </w:r>
    </w:p>
    <w:p>
      <w:pPr>
        <w:pStyle w:val="Heading2"/>
      </w:pPr>
      <w:r>
        <w:rPr>
          <w:rFonts w:ascii="Arial" w:hAnsi="Arial" w:eastAsia="PingFang TC"/>
          <w:b/>
          <w:color w:val="1F4E79"/>
          <w:sz w:val="24"/>
        </w:rPr>
        <w:t>5.2 先進封裝：不是後段，而是 AI chip scaling 的核心瓶頸</w:t>
      </w:r>
    </w:p>
    <w:p>
      <w:pPr>
        <w:pStyle w:val="ListBullet"/>
        <w:spacing w:after="40"/>
      </w:pPr>
      <w:r>
        <w:rPr>
          <w:rFonts w:ascii="Arial" w:hAnsi="Arial" w:eastAsia="PingFang TC"/>
          <w:sz w:val="20"/>
        </w:rPr>
        <w:t>AI processor 需要更高 memory bandwidth、更大 die area 與 chiplet 整合，先進封裝從輔助製程變成架構必要條件。</w:t>
      </w:r>
    </w:p>
    <w:p>
      <w:pPr>
        <w:pStyle w:val="ListBullet"/>
        <w:spacing w:after="40"/>
      </w:pPr>
      <w:r>
        <w:rPr>
          <w:rFonts w:ascii="Arial" w:hAnsi="Arial" w:eastAsia="PingFang TC"/>
          <w:sz w:val="20"/>
        </w:rPr>
        <w:t>CoWoS 仍是近期主要 bottleneck，SoIC/Hybrid bonding/3D stacking 則代表更高精度與更高資本密集度。</w:t>
      </w:r>
    </w:p>
    <w:p>
      <w:pPr>
        <w:pStyle w:val="ListBullet"/>
        <w:spacing w:after="40"/>
      </w:pPr>
      <w:r>
        <w:rPr>
          <w:rFonts w:ascii="Arial" w:hAnsi="Arial" w:eastAsia="PingFang TC"/>
          <w:sz w:val="20"/>
        </w:rPr>
        <w:t>影片提到的 CoWoS/SoIC/載板/PCB 設備邏輯，應拆成四類追蹤：封裝產能、製程精度、基板/PCB 尺寸升級、測試與良率。</w:t>
      </w:r>
    </w:p>
    <w:p>
      <w:pPr>
        <w:pStyle w:val="ListBullet"/>
        <w:spacing w:after="40"/>
      </w:pPr>
      <w:r>
        <w:rPr>
          <w:rFonts w:ascii="Arial" w:hAnsi="Arial" w:eastAsia="PingFang TC"/>
          <w:sz w:val="20"/>
        </w:rPr>
        <w:t>第二層風險是產能擴太快後的價格壓力，以及客戶平台切換造成設備/材料需求節奏改變。</w:t>
      </w:r>
    </w:p>
    <w:p>
      <w:pPr>
        <w:pStyle w:val="Heading2"/>
      </w:pPr>
      <w:r>
        <w:rPr>
          <w:rFonts w:ascii="Arial" w:hAnsi="Arial" w:eastAsia="PingFang TC"/>
          <w:b/>
          <w:color w:val="1F4E79"/>
          <w:sz w:val="24"/>
        </w:rPr>
        <w:t>5.3 被動元件：用量與規格同時升級</w:t>
      </w:r>
    </w:p>
    <w:p>
      <w:pPr>
        <w:pStyle w:val="ListBullet"/>
        <w:spacing w:after="40"/>
      </w:pPr>
      <w:r>
        <w:rPr>
          <w:rFonts w:ascii="Arial" w:hAnsi="Arial" w:eastAsia="PingFang TC"/>
          <w:sz w:val="20"/>
        </w:rPr>
        <w:t>AI server 的被動元件需求不只來自主板，還來自 PSU、BBU、rack power、散熱控制與高速訊號周邊。</w:t>
      </w:r>
    </w:p>
    <w:p>
      <w:pPr>
        <w:pStyle w:val="ListBullet"/>
        <w:spacing w:after="40"/>
      </w:pPr>
      <w:r>
        <w:rPr>
          <w:rFonts w:ascii="Arial" w:hAnsi="Arial" w:eastAsia="PingFang TC"/>
          <w:sz w:val="20"/>
        </w:rPr>
        <w:t>MLCC 看顆數與高可靠規格；鋁質/固態/牛角電容看高壓、高溫、低 ESR、壽命與 ripple current；電感看高電流與熱設計。</w:t>
      </w:r>
    </w:p>
    <w:p>
      <w:pPr>
        <w:pStyle w:val="ListBullet"/>
        <w:spacing w:after="40"/>
      </w:pPr>
      <w:r>
        <w:rPr>
          <w:rFonts w:ascii="Arial" w:hAnsi="Arial" w:eastAsia="PingFang TC"/>
          <w:sz w:val="20"/>
        </w:rPr>
        <w:t>第二層判斷不是單純『AI server 用更多 MLCC』，而是哪些品項通過客戶認證、交期是否拉長、ASP 是否能維持，以及是否排擠消費電子產能。</w:t>
      </w:r>
    </w:p>
    <w:p>
      <w:pPr>
        <w:pStyle w:val="ListBullet"/>
        <w:spacing w:after="40"/>
      </w:pPr>
      <w:r>
        <w:rPr>
          <w:rFonts w:ascii="Arial" w:hAnsi="Arial" w:eastAsia="PingFang TC"/>
          <w:sz w:val="20"/>
        </w:rPr>
        <w:t>若需求真緊，會先反映在交期、價格、稼動率與庫存天數，而不一定立刻反映在營收年增。</w:t>
      </w:r>
    </w:p>
    <w:p>
      <w:pPr>
        <w:pStyle w:val="Heading2"/>
      </w:pPr>
      <w:r>
        <w:rPr>
          <w:rFonts w:ascii="Arial" w:hAnsi="Arial" w:eastAsia="PingFang TC"/>
          <w:b/>
          <w:color w:val="1F4E79"/>
          <w:sz w:val="24"/>
        </w:rPr>
        <w:t>5.4 光通訊：CPO/NPO 是架構轉移，不是單一產品替換</w:t>
      </w:r>
    </w:p>
    <w:p>
      <w:pPr>
        <w:pStyle w:val="ListBullet"/>
        <w:spacing w:after="40"/>
      </w:pPr>
      <w:r>
        <w:rPr>
          <w:rFonts w:ascii="Arial" w:hAnsi="Arial" w:eastAsia="PingFang TC"/>
          <w:sz w:val="20"/>
        </w:rPr>
        <w:t>AI cluster scale-out 讓交換器、NIC、光模組與線材從成本中心變成性能瓶頸。</w:t>
      </w:r>
    </w:p>
    <w:p>
      <w:pPr>
        <w:pStyle w:val="ListBullet"/>
        <w:spacing w:after="40"/>
      </w:pPr>
      <w:r>
        <w:rPr>
          <w:rFonts w:ascii="Arial" w:hAnsi="Arial" w:eastAsia="PingFang TC"/>
          <w:sz w:val="20"/>
        </w:rPr>
        <w:t>CPO/NPO 的本質是把光電轉換移近 switch ASIC 或 package，降低 electrical trace loss 與 per-port power。</w:t>
      </w:r>
    </w:p>
    <w:p>
      <w:pPr>
        <w:pStyle w:val="ListBullet"/>
        <w:spacing w:after="40"/>
      </w:pPr>
      <w:r>
        <w:rPr>
          <w:rFonts w:ascii="Arial" w:hAnsi="Arial" w:eastAsia="PingFang TC"/>
          <w:sz w:val="20"/>
        </w:rPr>
        <w:t>短期仍要追 800G/1.6T 可插拔模組；中期追 NPO/CPO 導入；長期追矽光子、光引擎、雷射、封裝測試與散熱設計。</w:t>
      </w:r>
    </w:p>
    <w:p>
      <w:pPr>
        <w:pStyle w:val="ListBullet"/>
        <w:spacing w:after="40"/>
      </w:pPr>
      <w:r>
        <w:rPr>
          <w:rFonts w:ascii="Arial" w:hAnsi="Arial" w:eastAsia="PingFang TC"/>
          <w:sz w:val="20"/>
        </w:rPr>
        <w:t>最大風險是量產時間表：CPO 的效率價值明確，但維修性、標準化、良率、熱管理與平台採用節奏可能拖慢普及。</w:t>
      </w:r>
    </w:p>
    <w:p>
      <w:pPr>
        <w:pStyle w:val="Heading2"/>
      </w:pPr>
      <w:r>
        <w:rPr>
          <w:rFonts w:ascii="Arial" w:hAnsi="Arial" w:eastAsia="PingFang TC"/>
          <w:b/>
          <w:color w:val="1F4E79"/>
          <w:sz w:val="24"/>
        </w:rPr>
        <w:t>5.5 功率元件：800VDC 將電源變成 AI infrastructure 主線</w:t>
      </w:r>
    </w:p>
    <w:p>
      <w:pPr>
        <w:pStyle w:val="ListBullet"/>
        <w:spacing w:after="40"/>
      </w:pPr>
      <w:r>
        <w:rPr>
          <w:rFonts w:ascii="Arial" w:hAnsi="Arial" w:eastAsia="PingFang TC"/>
          <w:sz w:val="20"/>
        </w:rPr>
        <w:t>高功率 rack 下，傳統多段 AC/DC/AC/DC 轉換的效率、線損、銅用量與散熱壓力會變成設計限制。</w:t>
      </w:r>
    </w:p>
    <w:p>
      <w:pPr>
        <w:pStyle w:val="ListBullet"/>
        <w:spacing w:after="40"/>
      </w:pPr>
      <w:r>
        <w:rPr>
          <w:rFonts w:ascii="Arial" w:hAnsi="Arial" w:eastAsia="PingFang TC"/>
          <w:sz w:val="20"/>
        </w:rPr>
        <w:t>800VDC / 正負 400V 是為了降低電流與線損，並支援 megawatt-class rack 和 gigawatt-scale data center。</w:t>
      </w:r>
    </w:p>
    <w:p>
      <w:pPr>
        <w:pStyle w:val="ListBullet"/>
        <w:spacing w:after="40"/>
      </w:pPr>
      <w:r>
        <w:rPr>
          <w:rFonts w:ascii="Arial" w:hAnsi="Arial" w:eastAsia="PingFang TC"/>
          <w:sz w:val="20"/>
        </w:rPr>
        <w:t>受惠鏈不只功率半導體，也包含 SST、power shelf、保護元件、connector、BBU、PSU、液冷與整機架驗證。</w:t>
      </w:r>
    </w:p>
    <w:p>
      <w:pPr>
        <w:pStyle w:val="ListBullet"/>
        <w:spacing w:after="40"/>
      </w:pPr>
      <w:r>
        <w:rPr>
          <w:rFonts w:ascii="Arial" w:hAnsi="Arial" w:eastAsia="PingFang TC"/>
          <w:sz w:val="20"/>
        </w:rPr>
        <w:t>投資觀察要看實際 design win、安規、量產平台與客戶認證，不要只看『800V』題材字眼。</w:t>
      </w:r>
    </w:p>
    <w:p>
      <w:pPr>
        <w:pStyle w:val="Heading2"/>
      </w:pPr>
      <w:r>
        <w:rPr>
          <w:rFonts w:ascii="Arial" w:hAnsi="Arial" w:eastAsia="PingFang TC"/>
          <w:b/>
          <w:color w:val="1F4E79"/>
          <w:sz w:val="24"/>
        </w:rPr>
        <w:t>5.6 電子零組件：AI rack system BOM 的價值重分配</w:t>
      </w:r>
    </w:p>
    <w:p>
      <w:pPr>
        <w:pStyle w:val="ListBullet"/>
        <w:spacing w:after="40"/>
      </w:pPr>
      <w:r>
        <w:rPr>
          <w:rFonts w:ascii="Arial" w:hAnsi="Arial" w:eastAsia="PingFang TC"/>
          <w:sz w:val="20"/>
        </w:rPr>
        <w:t>AI server 從主機板競爭走向 rack/system competition，BBU、液冷、連接器、機構件與維修設計都會影響可部署容量。</w:t>
      </w:r>
    </w:p>
    <w:p>
      <w:pPr>
        <w:pStyle w:val="ListBullet"/>
        <w:spacing w:after="40"/>
      </w:pPr>
      <w:r>
        <w:rPr>
          <w:rFonts w:ascii="Arial" w:hAnsi="Arial" w:eastAsia="PingFang TC"/>
          <w:sz w:val="20"/>
        </w:rPr>
        <w:t>BBU 從選配走向標配的邏輯，是 rack power density 提升後需要應付瞬態負載、短時備援與電網品質問題。</w:t>
      </w:r>
    </w:p>
    <w:p>
      <w:pPr>
        <w:pStyle w:val="ListBullet"/>
        <w:spacing w:after="40"/>
      </w:pPr>
      <w:r>
        <w:rPr>
          <w:rFonts w:ascii="Arial" w:hAnsi="Arial" w:eastAsia="PingFang TC"/>
          <w:sz w:val="20"/>
        </w:rPr>
        <w:t>液冷與機構件不是低附加價值配角；當功率密度提升，可靠性、漏液風險、維修時間與客戶認證都會提高進入門檻。</w:t>
      </w:r>
    </w:p>
    <w:p>
      <w:pPr>
        <w:pStyle w:val="ListBullet"/>
        <w:spacing w:after="40"/>
      </w:pPr>
      <w:r>
        <w:rPr>
          <w:rFonts w:ascii="Arial" w:hAnsi="Arial" w:eastAsia="PingFang TC"/>
          <w:sz w:val="20"/>
        </w:rPr>
        <w:t>下一步應把電子零組件拆成電力、熱、訊號、機構四條線追蹤，避免把所有零組件混成一個籠統題材。</w:t>
      </w:r>
    </w:p>
    <w:p>
      <w:pPr>
        <w:pStyle w:val="Heading1"/>
      </w:pPr>
      <w:r>
        <w:rPr>
          <w:rFonts w:ascii="Arial" w:hAnsi="Arial" w:eastAsia="PingFang TC"/>
          <w:b/>
          <w:color w:val="1F4E79"/>
          <w:sz w:val="30"/>
        </w:rPr>
        <w:t>6. 下半年追蹤清單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1701"/>
            <w:shd w:fill="1F4E7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/>
                <w:color w:val="FFFFFF"/>
                <w:sz w:val="18"/>
              </w:rPr>
              <w:t>觀察維度</w:t>
            </w:r>
          </w:p>
        </w:tc>
        <w:tc>
          <w:tcPr>
            <w:tcW w:type="dxa" w:w="4139"/>
            <w:shd w:fill="1F4E7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/>
                <w:color w:val="FFFFFF"/>
                <w:sz w:val="18"/>
              </w:rPr>
              <w:t>要追什麼</w:t>
            </w:r>
          </w:p>
        </w:tc>
        <w:tc>
          <w:tcPr>
            <w:tcW w:type="dxa" w:w="3515"/>
            <w:shd w:fill="1F4E7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/>
                <w:color w:val="FFFFFF"/>
                <w:sz w:val="18"/>
              </w:rPr>
              <w:t>可查資料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產能</w:t>
            </w:r>
          </w:p>
        </w:tc>
        <w:tc>
          <w:tcPr>
            <w:tcW w:type="dxa" w:w="413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CoWoS/SoIC 月產能、2nm/A16 相關 fab/packaging 進度、OSAT 外溢訂單。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TSMC 季報/法說、OSAT 法說、設備廠接單。</w:t>
            </w:r>
          </w:p>
        </w:tc>
      </w:tr>
      <w:tr>
        <w:tc>
          <w:tcPr>
            <w:tcW w:type="dxa" w:w="1701"/>
            <w:shd w:fill="F3F6F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電源</w:t>
            </w:r>
          </w:p>
        </w:tc>
        <w:tc>
          <w:tcPr>
            <w:tcW w:type="dxa" w:w="4139"/>
            <w:shd w:fill="F3F6F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正負 400V 到 800VDC roadmap、SST、PowerRack、25kW BBU、PSU 瓦數。</w:t>
            </w:r>
          </w:p>
        </w:tc>
        <w:tc>
          <w:tcPr>
            <w:tcW w:type="dxa" w:w="3515"/>
            <w:shd w:fill="F3F6F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NVIDIA/ODM/電源廠展會、安規、量產時間表。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被動</w:t>
            </w:r>
          </w:p>
        </w:tc>
        <w:tc>
          <w:tcPr>
            <w:tcW w:type="dxa" w:w="413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MLCC/鋁質/固態/電感交期、價格、AI server 用量與庫存天數。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被動元件廠月營收、法人會議、交期資料。</w:t>
            </w:r>
          </w:p>
        </w:tc>
      </w:tr>
      <w:tr>
        <w:tc>
          <w:tcPr>
            <w:tcW w:type="dxa" w:w="1701"/>
            <w:shd w:fill="F3F6F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光通訊</w:t>
            </w:r>
          </w:p>
        </w:tc>
        <w:tc>
          <w:tcPr>
            <w:tcW w:type="dxa" w:w="4139"/>
            <w:shd w:fill="F3F6F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800G/1.6T 出貨、NPO/CPO 採用、矽光子封裝、Tomahawk / Spectrum-X roadmap。</w:t>
            </w:r>
          </w:p>
        </w:tc>
        <w:tc>
          <w:tcPr>
            <w:tcW w:type="dxa" w:w="3515"/>
            <w:shd w:fill="F3F6F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Broadcom/NVIDIA/Marvell/光模組廠產品更新。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廠務</w:t>
            </w:r>
          </w:p>
        </w:tc>
        <w:tc>
          <w:tcPr>
            <w:tcW w:type="dxa" w:w="413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無塵室/機電/超純水/電力工程 backlog 與毛利。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工程公司在手訂單、施工進度、客戶 capex。</w:t>
            </w:r>
          </w:p>
        </w:tc>
      </w:tr>
      <w:tr>
        <w:tc>
          <w:tcPr>
            <w:tcW w:type="dxa" w:w="1701"/>
            <w:shd w:fill="F3F6F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風險</w:t>
            </w:r>
          </w:p>
        </w:tc>
        <w:tc>
          <w:tcPr>
            <w:tcW w:type="dxa" w:w="4139"/>
            <w:shd w:fill="F3F6F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AI capex 放緩、CPO 延後、800V 標準變動、供應商擴產後價格下跌。</w:t>
            </w:r>
          </w:p>
        </w:tc>
        <w:tc>
          <w:tcPr>
            <w:tcW w:type="dxa" w:w="3515"/>
            <w:shd w:fill="F3F6F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8"/>
              </w:rPr>
              <w:t>Hyperscaler capex、庫存、客戶集中度、毛利率轉折。</w:t>
            </w:r>
          </w:p>
        </w:tc>
      </w:tr>
    </w:tbl>
    <w:p/>
    <w:p>
      <w:pPr>
        <w:pStyle w:val="Heading1"/>
      </w:pPr>
      <w:r>
        <w:rPr>
          <w:rFonts w:ascii="Arial" w:hAnsi="Arial" w:eastAsia="PingFang TC"/>
          <w:b/>
          <w:color w:val="1F4E79"/>
          <w:sz w:val="30"/>
        </w:rPr>
        <w:t>7. 搜尋後可用資訊摘要</w:t>
      </w:r>
    </w:p>
    <w:p>
      <w:pPr>
        <w:pStyle w:val="ListNumber"/>
        <w:spacing w:after="40"/>
      </w:pPr>
      <w:r>
        <w:rPr>
          <w:rFonts w:ascii="Arial" w:hAnsi="Arial" w:eastAsia="PingFang TC"/>
          <w:sz w:val="20"/>
        </w:rPr>
        <w:t>SIA/Deloitte 的 AI server rack teardown 可支撐本文主軸：AI 需求會帶動 full-stack semiconductor，而非只帶動 GPU。</w:t>
      </w:r>
    </w:p>
    <w:p>
      <w:pPr>
        <w:pStyle w:val="ListNumber"/>
        <w:spacing w:after="40"/>
      </w:pPr>
      <w:r>
        <w:rPr>
          <w:rFonts w:ascii="Arial" w:hAnsi="Arial" w:eastAsia="PingFang TC"/>
          <w:sz w:val="20"/>
        </w:rPr>
        <w:t>TSMC 官方資料可支撐廠務與先進封裝方向：2nm 先進製造、Chiayi/Tainan 先進封裝擴張，以及 3DFabric/CoWoS/SoIC/InFO 系統級封裝。</w:t>
      </w:r>
    </w:p>
    <w:p>
      <w:pPr>
        <w:pStyle w:val="ListNumber"/>
        <w:spacing w:after="40"/>
      </w:pPr>
      <w:r>
        <w:rPr>
          <w:rFonts w:ascii="Arial" w:hAnsi="Arial" w:eastAsia="PingFang TC"/>
          <w:sz w:val="20"/>
        </w:rPr>
        <w:t>SEMI 設備市場 forecast 可作為半導體設備與後段封裝設備景氣的二級佐證，但需回頭比對個別台廠營收與產品曝險。</w:t>
      </w:r>
    </w:p>
    <w:p>
      <w:pPr>
        <w:pStyle w:val="ListNumber"/>
        <w:spacing w:after="40"/>
      </w:pPr>
      <w:r>
        <w:rPr>
          <w:rFonts w:ascii="Arial" w:hAnsi="Arial" w:eastAsia="PingFang TC"/>
          <w:sz w:val="20"/>
        </w:rPr>
        <w:t>800VDC 相關公開資料支撐電源架構升級，但導入時間可能存在過渡期；文件應用『正負 400V -&gt; 800VDC』路徑追蹤，不宜直接假設全面一次到位。</w:t>
      </w:r>
    </w:p>
    <w:p>
      <w:pPr>
        <w:pStyle w:val="ListNumber"/>
        <w:spacing w:after="40"/>
      </w:pPr>
      <w:r>
        <w:rPr>
          <w:rFonts w:ascii="Arial" w:hAnsi="Arial" w:eastAsia="PingFang TC"/>
          <w:sz w:val="20"/>
        </w:rPr>
        <w:t>CPO/NPO 資料顯示光通訊價值會移近 switch ASIC / package，但同時帶來維修、熱、標準與量產時程風險。</w:t>
      </w:r>
    </w:p>
    <w:p>
      <w:pPr>
        <w:pStyle w:val="ListNumber"/>
        <w:spacing w:after="40"/>
      </w:pPr>
      <w:r>
        <w:rPr>
          <w:rFonts w:ascii="Arial" w:hAnsi="Arial" w:eastAsia="PingFang TC"/>
          <w:sz w:val="20"/>
        </w:rPr>
        <w:t>MLCC/被動元件報導可當作交期與價格線索，但公司層級仍需由月營收、庫存天數、產品組合與客戶驗證補強。</w:t>
      </w:r>
    </w:p>
    <w:p>
      <w:pPr>
        <w:pStyle w:val="Heading1"/>
      </w:pPr>
      <w:r>
        <w:rPr>
          <w:rFonts w:ascii="Arial" w:hAnsi="Arial" w:eastAsia="PingFang TC"/>
          <w:b/>
          <w:color w:val="1F4E79"/>
          <w:sz w:val="30"/>
        </w:rPr>
        <w:t>8. 外部資料來源</w:t>
      </w:r>
    </w:p>
    <w:p>
      <w:pPr>
        <w:spacing w:after="40"/>
      </w:pPr>
      <w:r>
        <w:rPr>
          <w:rFonts w:ascii="Arial" w:hAnsi="Arial" w:eastAsia="PingFang TC"/>
          <w:b/>
          <w:sz w:val="18"/>
        </w:rPr>
        <w:t xml:space="preserve">1. SIA / Deloitte, Powering AI: AI server rack value chain: </w:t>
      </w:r>
      <w:hyperlink r:id="rId9">
        <w:r>
          <w:rPr>
            <w:color w:val="1F4E79"/>
            <w:u w:val="single"/>
          </w:rPr>
          <w:t>https://www.semiconductors.org/new-report-finds-semiconductors-account-for-95-of-an-ai-data-server-racks-value-encompassing-the-full-stack-of-chip-technologies/</w:t>
        </w:r>
      </w:hyperlink>
    </w:p>
    <w:p>
      <w:pPr>
        <w:spacing w:after="80"/>
        <w:ind w:left="255"/>
      </w:pPr>
      <w:r>
        <w:rPr>
          <w:rFonts w:ascii="Arial" w:hAnsi="Arial" w:eastAsia="PingFang TC"/>
          <w:sz w:val="18"/>
        </w:rPr>
        <w:t>SIA 2026-06-01 公告指出，AI server rack 內容價值中半導體占比超過 95%，且 AI data center 的資本支出中半導體超過 50%。</w:t>
      </w:r>
    </w:p>
    <w:p>
      <w:pPr>
        <w:spacing w:after="40"/>
      </w:pPr>
      <w:r>
        <w:rPr>
          <w:rFonts w:ascii="Arial" w:hAnsi="Arial" w:eastAsia="PingFang TC"/>
          <w:b/>
          <w:sz w:val="18"/>
        </w:rPr>
        <w:t xml:space="preserve">2. SIA / WSTS April 2026 semiconductor sales: </w:t>
      </w:r>
      <w:hyperlink r:id="rId10">
        <w:r>
          <w:rPr>
            <w:color w:val="1F4E79"/>
            <w:u w:val="single"/>
          </w:rPr>
          <w:t>https://www.semiconductors.org/global-semiconductor-sales-increase-11-month-to-month-in-april/</w:t>
        </w:r>
      </w:hyperlink>
    </w:p>
    <w:p>
      <w:pPr>
        <w:spacing w:after="80"/>
        <w:ind w:left="255"/>
      </w:pPr>
      <w:r>
        <w:rPr>
          <w:rFonts w:ascii="Arial" w:hAnsi="Arial" w:eastAsia="PingFang TC"/>
          <w:sz w:val="18"/>
        </w:rPr>
        <w:t>SIA 2026-06-05 公告：2026 年全球半導體銷售預估達 1.5 兆美元，AI infrastructure 與 accelerated computing 是重要驅動。</w:t>
      </w:r>
    </w:p>
    <w:p>
      <w:pPr>
        <w:spacing w:after="40"/>
      </w:pPr>
      <w:r>
        <w:rPr>
          <w:rFonts w:ascii="Arial" w:hAnsi="Arial" w:eastAsia="PingFang TC"/>
          <w:b/>
          <w:sz w:val="18"/>
        </w:rPr>
        <w:t xml:space="preserve">3. TSMC GIGAFAB facilities: </w:t>
      </w:r>
      <w:hyperlink r:id="rId11">
        <w:r>
          <w:rPr>
            <w:color w:val="1F4E79"/>
            <w:u w:val="single"/>
          </w:rPr>
          <w:t>https://www.tsmc.com/english/dedicatedFoundry/manufacturing/gigafab</w:t>
        </w:r>
      </w:hyperlink>
    </w:p>
    <w:p>
      <w:pPr>
        <w:spacing w:after="80"/>
        <w:ind w:left="255"/>
      </w:pPr>
      <w:r>
        <w:rPr>
          <w:rFonts w:ascii="Arial" w:hAnsi="Arial" w:eastAsia="PingFang TC"/>
          <w:sz w:val="18"/>
        </w:rPr>
        <w:t>TSMC 說明 2024 年 12 吋 GIGAFAB 合計產能超過 1,274 萬片，並在 2024 年建立 2nm 先進製造設施、擴張 Chiayi/Tainan 先進封裝能力以支援 AI 成長。</w:t>
      </w:r>
    </w:p>
    <w:p>
      <w:pPr>
        <w:spacing w:after="40"/>
      </w:pPr>
      <w:r>
        <w:rPr>
          <w:rFonts w:ascii="Arial" w:hAnsi="Arial" w:eastAsia="PingFang TC"/>
          <w:b/>
          <w:sz w:val="18"/>
        </w:rPr>
        <w:t xml:space="preserve">4. TSMC Advanced Packaging Services: </w:t>
      </w:r>
      <w:hyperlink r:id="rId12">
        <w:r>
          <w:rPr>
            <w:color w:val="1F4E79"/>
            <w:u w:val="single"/>
          </w:rPr>
          <w:t>https://www.tsmc.com/english/dedicatedFoundry/services/advanced-packaging</w:t>
        </w:r>
      </w:hyperlink>
    </w:p>
    <w:p>
      <w:pPr>
        <w:spacing w:after="80"/>
        <w:ind w:left="255"/>
      </w:pPr>
      <w:r>
        <w:rPr>
          <w:rFonts w:ascii="Arial" w:hAnsi="Arial" w:eastAsia="PingFang TC"/>
          <w:sz w:val="18"/>
        </w:rPr>
        <w:t>TSMC 說明 3DFabric 包含 SoIC、CoWoS、InFO，並強調 3D silicon stacking 與 advanced packaging 的系統級設計價值。</w:t>
      </w:r>
    </w:p>
    <w:p>
      <w:pPr>
        <w:spacing w:after="40"/>
      </w:pPr>
      <w:r>
        <w:rPr>
          <w:rFonts w:ascii="Arial" w:hAnsi="Arial" w:eastAsia="PingFang TC"/>
          <w:b/>
          <w:sz w:val="18"/>
        </w:rPr>
        <w:t xml:space="preserve">5. TSMC 2026 Q1 quarterly results: </w:t>
      </w:r>
      <w:hyperlink r:id="rId13">
        <w:r>
          <w:rPr>
            <w:color w:val="1F4E79"/>
            <w:u w:val="single"/>
          </w:rPr>
          <w:t>https://investor.tsmc.com/english/quarterly-results/2026/q1</w:t>
        </w:r>
      </w:hyperlink>
    </w:p>
    <w:p>
      <w:pPr>
        <w:spacing w:after="80"/>
        <w:ind w:left="255"/>
      </w:pPr>
      <w:r>
        <w:rPr>
          <w:rFonts w:ascii="Arial" w:hAnsi="Arial" w:eastAsia="PingFang TC"/>
          <w:sz w:val="18"/>
        </w:rPr>
        <w:t>TSMC 2026 Q1 guidance 顯示 Q2 revenue guidance 39.0-40.2 billion USD，代表先進製程與 HPC/AI 需求仍需追蹤。</w:t>
      </w:r>
    </w:p>
    <w:p>
      <w:pPr>
        <w:spacing w:after="40"/>
      </w:pPr>
      <w:r>
        <w:rPr>
          <w:rFonts w:ascii="Arial" w:hAnsi="Arial" w:eastAsia="PingFang TC"/>
          <w:b/>
          <w:sz w:val="18"/>
        </w:rPr>
        <w:t xml:space="preserve">6. SEMI equipment forecast reported by Tom's Hardware: </w:t>
      </w:r>
      <w:hyperlink r:id="rId14">
        <w:r>
          <w:rPr>
            <w:color w:val="1F4E79"/>
            <w:u w:val="single"/>
          </w:rPr>
          <w:t>https://www.tomshardware.com/tech-industry/semiconductors/sales-of-chip-production-equipment-to-reach-usd156-billion-by-2027-china-taiwan-and-korea-lead-intense-demand</w:t>
        </w:r>
      </w:hyperlink>
    </w:p>
    <w:p>
      <w:pPr>
        <w:spacing w:after="80"/>
        <w:ind w:left="255"/>
      </w:pPr>
      <w:r>
        <w:rPr>
          <w:rFonts w:ascii="Arial" w:hAnsi="Arial" w:eastAsia="PingFang TC"/>
          <w:sz w:val="18"/>
        </w:rPr>
        <w:t>SEMI 估計半導體製造設備銷售 2025-2027 連續成長，back-end test 與 assembly/packaging 也受 AI chip 複雜度與 heterogeneous packaging 推動。</w:t>
      </w:r>
    </w:p>
    <w:p>
      <w:pPr>
        <w:spacing w:after="40"/>
      </w:pPr>
      <w:r>
        <w:rPr>
          <w:rFonts w:ascii="Arial" w:hAnsi="Arial" w:eastAsia="PingFang TC"/>
          <w:b/>
          <w:sz w:val="18"/>
        </w:rPr>
        <w:t xml:space="preserve">7. NVIDIA / ABB 800VDC architecture coverage: </w:t>
      </w:r>
      <w:hyperlink r:id="rId15">
        <w:r>
          <w:rPr>
            <w:color w:val="1F4E79"/>
            <w:u w:val="single"/>
          </w:rPr>
          <w:t>https://www.tomshardware.com/tech-industry/big-tech/nvidia-800-vdc-power-rollout-for-1-megawatt-server-racks-to-be-supported-by-abb-company-says-collaboration-will-create-new-power-solutions-for-future-gigawatt-scale-data-centers</w:t>
        </w:r>
      </w:hyperlink>
    </w:p>
    <w:p>
      <w:pPr>
        <w:spacing w:after="80"/>
        <w:ind w:left="255"/>
      </w:pPr>
      <w:r>
        <w:rPr>
          <w:rFonts w:ascii="Arial" w:hAnsi="Arial" w:eastAsia="PingFang TC"/>
          <w:sz w:val="18"/>
        </w:rPr>
        <w:t>公開報導指出 NVIDIA 與 ABB 推進 800VDC power architecture，以支援未來 megawatt-class rack 與 gigawatt-scale AI data center。</w:t>
      </w:r>
    </w:p>
    <w:p>
      <w:pPr>
        <w:spacing w:after="40"/>
      </w:pPr>
      <w:r>
        <w:rPr>
          <w:rFonts w:ascii="Arial" w:hAnsi="Arial" w:eastAsia="PingFang TC"/>
          <w:b/>
          <w:sz w:val="18"/>
        </w:rPr>
        <w:t xml:space="preserve">8. 800VDC data center simulation paper: </w:t>
      </w:r>
      <w:hyperlink r:id="rId16">
        <w:r>
          <w:rPr>
            <w:color w:val="1F4E79"/>
            <w:u w:val="single"/>
          </w:rPr>
          <w:t>https://arxiv.org/abs/2601.16502</w:t>
        </w:r>
      </w:hyperlink>
    </w:p>
    <w:p>
      <w:pPr>
        <w:spacing w:after="80"/>
        <w:ind w:left="255"/>
      </w:pPr>
      <w:r>
        <w:rPr>
          <w:rFonts w:ascii="Arial" w:hAnsi="Arial" w:eastAsia="PingFang TC"/>
          <w:sz w:val="18"/>
        </w:rPr>
        <w:t>2026 arXiv paper 以 SST-driven 800VDC architecture 模擬 AI data center power delivery，指出 UPS-based AC chain conversion losses 與 fast load transients 是設計痛點。</w:t>
      </w:r>
    </w:p>
    <w:p>
      <w:pPr>
        <w:spacing w:after="40"/>
      </w:pPr>
      <w:r>
        <w:rPr>
          <w:rFonts w:ascii="Arial" w:hAnsi="Arial" w:eastAsia="PingFang TC"/>
          <w:b/>
          <w:sz w:val="18"/>
        </w:rPr>
        <w:t xml:space="preserve">9. NVIDIA CPO / silicon photonics roadmap coverage: </w:t>
      </w:r>
      <w:hyperlink r:id="rId17">
        <w:r>
          <w:rPr>
            <w:color w:val="1F4E79"/>
            <w:u w:val="single"/>
          </w:rPr>
          <w:t>https://www.tomshardware.com/networking/nvidia-outlines-plans-for-using-light-for-communication-between-ai-gpus-by-2026-silicon-photonics-and-co-packaged-optics-may-become-mandatory-for-next-gen-ai-data-centers</w:t>
        </w:r>
      </w:hyperlink>
    </w:p>
    <w:p>
      <w:pPr>
        <w:spacing w:after="80"/>
        <w:ind w:left="255"/>
      </w:pPr>
      <w:r>
        <w:rPr>
          <w:rFonts w:ascii="Arial" w:hAnsi="Arial" w:eastAsia="PingFang TC"/>
          <w:sz w:val="18"/>
        </w:rPr>
        <w:t>公開報導整理 NVIDIA Quantum-X / Spectrum-X Photonics 與 CPO roadmap，重點在更高 bandwidth、更低 per-port power 與更短 electrical trace。</w:t>
      </w:r>
    </w:p>
    <w:p>
      <w:pPr>
        <w:spacing w:after="40"/>
      </w:pPr>
      <w:r>
        <w:rPr>
          <w:rFonts w:ascii="Arial" w:hAnsi="Arial" w:eastAsia="PingFang TC"/>
          <w:b/>
          <w:sz w:val="18"/>
        </w:rPr>
        <w:t xml:space="preserve">10. MLCC shortage coverage: </w:t>
      </w:r>
      <w:hyperlink r:id="rId18">
        <w:r>
          <w:rPr>
            <w:color w:val="1F4E79"/>
            <w:u w:val="single"/>
          </w:rPr>
          <w:t>https://www.pcgamer.com/hardware/guess-what-else-the-pc-industry-is-short-of-now-yes-thats-right-multilayer-ceramic-capacitors/</w:t>
        </w:r>
      </w:hyperlink>
    </w:p>
    <w:p>
      <w:pPr>
        <w:spacing w:after="80"/>
        <w:ind w:left="255"/>
      </w:pPr>
      <w:r>
        <w:rPr>
          <w:rFonts w:ascii="Arial" w:hAnsi="Arial" w:eastAsia="PingFang TC"/>
          <w:sz w:val="18"/>
        </w:rPr>
        <w:t>公開報導指出 AI server board 與 power supply 對 MLCC 用量提升，部分供應商交期拉長與價格調整，適合作為被動元件緊俏的二級驗證線索。</w:t>
      </w:r>
    </w:p>
    <w:p>
      <w:pPr>
        <w:sectPr>
          <w:pgSz w:w="11906" w:h="16838"/>
          <w:pgMar w:top="964" w:right="935" w:bottom="964" w:left="935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Arial" w:hAnsi="Arial" w:eastAsia="PingFang TC"/>
          <w:b/>
          <w:color w:val="1F4E79"/>
          <w:sz w:val="30"/>
        </w:rPr>
        <w:t>附錄 A. 原始截圖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609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-Photo-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59" w:lineRule="auto"/>
      </w:pPr>
      <w:r>
        <w:rPr>
          <w:rFonts w:ascii="Arial" w:hAnsi="Arial" w:eastAsia="PingFang TC"/>
          <w:b w:val="0"/>
          <w:sz w:val="16"/>
        </w:rPr>
        <w:t>截圖檔案：/tmp/codex-remote-attachments/019ec6cd-eaf0-7142-99cc-1c9511979ab5/5a8457d1-24a4-448a-9368-de6e05aba657/1-Photo-1.jpg</w:t>
      </w:r>
    </w:p>
    <w:p>
      <w:pPr>
        <w:pStyle w:val="Heading1"/>
      </w:pPr>
      <w:r>
        <w:rPr>
          <w:rFonts w:ascii="Arial" w:hAnsi="Arial" w:eastAsia="PingFang TC"/>
          <w:b/>
          <w:color w:val="1F4E79"/>
          <w:sz w:val="30"/>
        </w:rPr>
        <w:t>附錄 B. 本地檔案</w:t>
      </w:r>
    </w:p>
    <w:p>
      <w:pPr>
        <w:pStyle w:val="ListBullet"/>
        <w:spacing w:after="40"/>
      </w:pPr>
      <w:r>
        <w:rPr>
          <w:rFonts w:ascii="Arial" w:hAnsi="Arial" w:eastAsia="PingFang TC"/>
          <w:sz w:val="20"/>
        </w:rPr>
        <w:t>影片 ASR TXT：/private/tmp/ios_kol_u7UPxkcKLSw_full.txt</w:t>
      </w:r>
    </w:p>
    <w:p>
      <w:pPr>
        <w:pStyle w:val="ListBullet"/>
        <w:spacing w:after="40"/>
      </w:pPr>
      <w:r>
        <w:rPr>
          <w:rFonts w:ascii="Arial" w:hAnsi="Arial" w:eastAsia="PingFang TC"/>
          <w:sz w:val="20"/>
        </w:rPr>
        <w:t>/private/tmp/ios_kol_u7UPxkcKLSw_full.srt</w:t>
      </w:r>
    </w:p>
    <w:p>
      <w:pPr>
        <w:pStyle w:val="ListBullet"/>
        <w:spacing w:after="40"/>
      </w:pPr>
      <w:r>
        <w:rPr>
          <w:rFonts w:ascii="Arial" w:hAnsi="Arial" w:eastAsia="PingFang TC"/>
          <w:sz w:val="20"/>
        </w:rPr>
        <w:t>/private/tmp/ios_kol_u7UPxkcKLSw_full.json</w:t>
      </w:r>
    </w:p>
    <w:sectPr w:rsidR="00FC693F" w:rsidRPr="0006063C" w:rsidSect="00034616">
      <w:pgSz w:w="11906" w:h="16838"/>
      <w:pgMar w:top="964" w:right="935" w:bottom="964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PingFang T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semiconductors.org/new-report-finds-semiconductors-account-for-95-of-an-ai-data-server-racks-value-encompassing-the-full-stack-of-chip-technologies/" TargetMode="External"/><Relationship Id="rId10" Type="http://schemas.openxmlformats.org/officeDocument/2006/relationships/hyperlink" Target="https://www.semiconductors.org/global-semiconductor-sales-increase-11-month-to-month-in-april/" TargetMode="External"/><Relationship Id="rId11" Type="http://schemas.openxmlformats.org/officeDocument/2006/relationships/hyperlink" Target="https://www.tsmc.com/english/dedicatedFoundry/manufacturing/gigafab" TargetMode="External"/><Relationship Id="rId12" Type="http://schemas.openxmlformats.org/officeDocument/2006/relationships/hyperlink" Target="https://www.tsmc.com/english/dedicatedFoundry/services/advanced-packaging" TargetMode="External"/><Relationship Id="rId13" Type="http://schemas.openxmlformats.org/officeDocument/2006/relationships/hyperlink" Target="https://investor.tsmc.com/english/quarterly-results/2026/q1" TargetMode="External"/><Relationship Id="rId14" Type="http://schemas.openxmlformats.org/officeDocument/2006/relationships/hyperlink" Target="https://www.tomshardware.com/tech-industry/semiconductors/sales-of-chip-production-equipment-to-reach-usd156-billion-by-2027-china-taiwan-and-korea-lead-intense-demand" TargetMode="External"/><Relationship Id="rId15" Type="http://schemas.openxmlformats.org/officeDocument/2006/relationships/hyperlink" Target="https://www.tomshardware.com/tech-industry/big-tech/nvidia-800-vdc-power-rollout-for-1-megawatt-server-racks-to-be-supported-by-abb-company-says-collaboration-will-create-new-power-solutions-for-future-gigawatt-scale-data-centers" TargetMode="External"/><Relationship Id="rId16" Type="http://schemas.openxmlformats.org/officeDocument/2006/relationships/hyperlink" Target="https://arxiv.org/abs/2601.16502" TargetMode="External"/><Relationship Id="rId17" Type="http://schemas.openxmlformats.org/officeDocument/2006/relationships/hyperlink" Target="https://www.tomshardware.com/networking/nvidia-outlines-plans-for-using-light-for-communication-between-ai-gpus-by-2026-silicon-photonics-and-co-packaged-optics-may-become-mandatory-for-next-gen-ai-data-centers" TargetMode="External"/><Relationship Id="rId18" Type="http://schemas.openxmlformats.org/officeDocument/2006/relationships/hyperlink" Target="https://www.pcgamer.com/hardware/guess-what-else-the-pc-industry-is-short-of-now-yes-thats-right-multilayer-ceramic-capacitors/" TargetMode="External"/><Relationship Id="rId1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伺服器供應鏈六大主題：第二層產業分析與追蹤框架</dc:title>
  <dc:subject>MAPLAB IOS-KOL industry brief</dc:subject>
  <dc:creator>MAPLAB IOS-KOL Influencer Radar Manager</dc:creator>
  <cp:keywords>AI server, CoWoS, SoIC, 800V HVDC, BBU, CPO, MLCC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