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PingFang TC"/>
          <w:b/>
          <w:color w:val="1F4E79"/>
          <w:sz w:val="36"/>
        </w:rPr>
        <w:t>AI 伺服器供應鏈六大主題：三層研調整合升級版</w:t>
      </w:r>
    </w:p>
    <w:p>
      <w:pPr>
        <w:jc w:val="center"/>
      </w:pPr>
      <w:r>
        <w:rPr>
          <w:rFonts w:ascii="Calibri" w:hAnsi="Calibri" w:eastAsia="PingFang TC"/>
          <w:b/>
          <w:sz w:val="23"/>
        </w:rPr>
        <w:t>截圖 + 影片逐字稿 + 定錨產業筆記 MEMO(5) + 公開驗證</w:t>
      </w:r>
    </w:p>
    <w:p>
      <w:pPr>
        <w:jc w:val="center"/>
      </w:pPr>
      <w:r>
        <w:rPr>
          <w:rFonts w:ascii="Calibri" w:hAnsi="Calibri" w:eastAsia="PingFang TC"/>
          <w:color w:val="555555"/>
          <w:sz w:val="19"/>
        </w:rPr>
        <w:t>整理日期：2026-06-15｜角色：MAPLAB IOS-KOL Influencer Radar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92"/>
            <w:shd w:fill="F4F6F9"/>
          </w:tcPr>
          <w:p>
            <w:pPr>
              <w:spacing w:after="60"/>
            </w:pPr>
            <w:r/>
            <w:r>
              <w:rPr>
                <w:rFonts w:ascii="Calibri" w:hAnsi="Calibri" w:eastAsia="PingFang TC"/>
                <w:b/>
                <w:color w:val="1F4E79"/>
                <w:sz w:val="21"/>
              </w:rPr>
              <w:t>版本結論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PingFang TC"/>
                <w:sz w:val="19"/>
              </w:rPr>
              <w:t>我的主線判斷不推翻，但權重上修：廠務/先進封裝設備/被動元件/功率元件比原稿更重要。對方的edge在於公司call與BOM拆解，尤其第三層數字應保留為領先訊號；公開驗證的責任是標註邊界，而不是把不能公開驗證的情報刪掉。</w:t>
            </w:r>
          </w:p>
        </w:tc>
      </w:tr>
    </w:tbl>
    <w:p/>
    <w:p>
      <w:pPr>
        <w:pStyle w:val="Heading1"/>
      </w:pPr>
      <w:r>
        <w:t>1. 三層判讀框架</w:t>
      </w:r>
    </w:p>
    <w:p>
      <w:pPr>
        <w:spacing w:after="100" w:line="269" w:lineRule="auto"/>
      </w:pPr>
      <w:r>
        <w:rPr>
          <w:rFonts w:ascii="Calibri" w:hAnsi="Calibri" w:eastAsia="PingFang TC"/>
          <w:b w:val="0"/>
          <w:sz w:val="21"/>
        </w:rPr>
        <w:t>本版把資訊分成三層，避免把公開資料、研究員公司call、我們自己的推論混成同一種確定性。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84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層級</w:t>
            </w:r>
          </w:p>
        </w:tc>
        <w:tc>
          <w:tcPr>
            <w:tcW w:type="dxa" w:w="2880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定義</w:t>
            </w:r>
          </w:p>
        </w:tc>
        <w:tc>
          <w:tcPr>
            <w:tcW w:type="dxa" w:w="3024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適合放什麼</w:t>
            </w:r>
          </w:p>
        </w:tc>
        <w:tc>
          <w:tcPr>
            <w:tcW w:type="dxa" w:w="2304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輸出規則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第一層：公開敘事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可由公司法說、官網、公開報告、新聞或產業會議驗到的方向。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AI/HPC需求、TSMC capex區間、先進封裝緊、800VDC方向、MLCC供應吃緊。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可以寫成事實，但要附來源與日期。</w:t>
            </w:r>
          </w:p>
        </w:tc>
      </w:tr>
      <w:tr>
        <w:tc>
          <w:tcPr>
            <w:tcW w:type="dxa" w:w="1584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第二層：產業結構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從公開事實往供需、瓶頸、良率、認證、資本支出與議價權推導。</w:t>
            </w:r>
          </w:p>
        </w:tc>
        <w:tc>
          <w:tcPr>
            <w:tcW w:type="dxa" w:w="3024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GPU瓶頸轉為rack power/cooling、SoIC推升CoWoS而非取代、BBU標配化。</w:t>
            </w:r>
          </w:p>
        </w:tc>
        <w:tc>
          <w:tcPr>
            <w:tcW w:type="dxa" w:w="2304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要寫成因果鏈，並列出反證條件。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第三層：春江水暖情報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產業研究員跑公司、call公司、看展會、拆BOM、問供應鏈得到的早期訊號。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月產能、單櫃用量、良率、客戶出貨、capex拆分、轉單與second source。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保留數字，但標記為edge intelligence；用後續公開數據追蹤，不直接當官方事實。</w:t>
            </w:r>
          </w:p>
        </w:tc>
      </w:tr>
    </w:tbl>
    <w:p/>
    <w:p>
      <w:pPr>
        <w:pStyle w:val="Heading1"/>
      </w:pPr>
      <w:r>
        <w:t>2. 對方數字的整合與查核</w:t>
      </w:r>
    </w:p>
    <w:p>
      <w:pPr>
        <w:spacing w:after="100" w:line="269" w:lineRule="auto"/>
      </w:pPr>
      <w:r>
        <w:rPr>
          <w:rFonts w:ascii="Calibri" w:hAnsi="Calibri" w:eastAsia="PingFang TC"/>
          <w:b w:val="0"/>
          <w:sz w:val="21"/>
        </w:rPr>
        <w:t>下表不是為了否定對方，而是把他的數字變成可追蹤的研究資產。分類規則：「公開可驗」代表可直接引用；「公開相容」代表方向能被公開資料支持但精確數字未驗；「第三層」代表公司call/BOM/供應鏈情報；「異常」代表公開資料衝突，需回問單位或口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232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數字 / 觀點</w:t>
            </w:r>
          </w:p>
        </w:tc>
        <w:tc>
          <w:tcPr>
            <w:tcW w:type="dxa" w:w="1080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來源位置</w:t>
            </w:r>
          </w:p>
        </w:tc>
        <w:tc>
          <w:tcPr>
            <w:tcW w:type="dxa" w:w="3240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查核結論</w:t>
            </w:r>
          </w:p>
        </w:tc>
        <w:tc>
          <w:tcPr>
            <w:tcW w:type="dxa" w:w="1440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分類</w:t>
            </w:r>
          </w:p>
        </w:tc>
        <w:tc>
          <w:tcPr>
            <w:tcW w:type="dxa" w:w="2376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後續驗證點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TSMC 2026 capex USD58B; 2027/2028 USD72B/USD84B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L2-L4, L16-L18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2026 official range is USD52-56B and Q1 says toward high end; USD58B is an up-revision expectation, not yet official. 2027/2028 are pure forward field estimates.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第三層前瞻 / 2026部分公開相容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Next TSMC earnings: whether capex range is lifted above USD56B; supplier contract liabilities and fab engineering backlog.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Arizona fab utility/facility cost 5-6x Taiwan; US fab MEP/cleanroom NTD50-60B per fab</w:t>
            </w:r>
          </w:p>
        </w:tc>
        <w:tc>
          <w:tcPr>
            <w:tcW w:type="dxa" w:w="108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L5-L11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Public sources support overseas fab margin dilution and higher operating cost, but not these exact facility-cost splits.</w:t>
            </w:r>
          </w:p>
        </w:tc>
        <w:tc>
          <w:tcPr>
            <w:tcW w:type="dxa" w:w="14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第三層成本拆解</w:t>
            </w:r>
          </w:p>
        </w:tc>
        <w:tc>
          <w:tcPr>
            <w:tcW w:type="dxa" w:w="2376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Track facility-engineering revenue, gross margin, backlog, US project milestones and TSMC overseas margin dilution commentary.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CoWoS capacity 2027/2028: 190k/255k wafers per month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L28-L29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TSMC publicly confirms advanced packaging is very tight and it works with OSAT partners; exact monthly capacity is not publicly verified.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第三層產能情報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Track TSMC packaging capex mix, OSAT capex, CoWoS equipment orders, HBM layer migration and customer allocation commentary.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SoIC capacity 2026/2027: 20k/45k wafers per month; CoPoS 2028 10k/month</w:t>
            </w:r>
          </w:p>
        </w:tc>
        <w:tc>
          <w:tcPr>
            <w:tcW w:type="dxa" w:w="108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L30-L36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Publicly consistent with TSMC 3DFabric roadmap and larger die/warpage discussion; exact capacity is not public.</w:t>
            </w:r>
          </w:p>
        </w:tc>
        <w:tc>
          <w:tcPr>
            <w:tcW w:type="dxa" w:w="14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第三層產線情報</w:t>
            </w:r>
          </w:p>
        </w:tc>
        <w:tc>
          <w:tcPr>
            <w:tcW w:type="dxa" w:w="2376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Watch hybrid bonding equipment orders, SoIC customer tapeout timing, CoPoS/panel-level pilot-line procurement.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ASE/SPIL outsourced CoWoS capacity: 25k/month in 2026, 42k in 2027, 50-60k in 2028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L79-L80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TSMC says packaging capacity is tight and OSAT partners are needed; exact outsourced monthly capacity not publicly confirmed.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第三層委外情報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Track OSAT advanced packaging capex, substrate allocation, customer second-source announcements and equipment suppliers' backlog.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Google TPU Humufish EMIB-T 2027H2; substrate yield 20-50%; 2028 target 10M units</w:t>
            </w:r>
          </w:p>
        </w:tc>
        <w:tc>
          <w:tcPr>
            <w:tcW w:type="dxa" w:w="108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L125-L129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High-value company-call intelligence. Public sources do not validate the exact product, yield or shipment target.</w:t>
            </w:r>
          </w:p>
        </w:tc>
        <w:tc>
          <w:tcPr>
            <w:tcW w:type="dxa" w:w="14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第三層公司call情報</w:t>
            </w:r>
          </w:p>
        </w:tc>
        <w:tc>
          <w:tcPr>
            <w:tcW w:type="dxa" w:w="2376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Track ABF substrate capex, EMIB-T wet-process bottlenecks, Google TPU supplier comments and equipment pre-orders.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GB200/300 racks 26Q1 11k, 26Q2 13k, 26H2 55k-60k; ASIC racks AWS/AMD/Google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L190-L192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Rack units and customer split are not public. They are useful as shipment triangulation anchors.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第三層出貨模型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Compare ODM revenue, power/cooling component orders, BBU shipments, and Nvidia platform transition timing.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GB200 198kW rack to VR200 444kW; power value USD37k to USD81.2k; Power Rack USD147k; 800V HVDC USD560k</w:t>
            </w:r>
          </w:p>
        </w:tc>
        <w:tc>
          <w:tcPr>
            <w:tcW w:type="dxa" w:w="108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L196-L200, L226-L230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Public sources support direction toward high-density racks and 800VDC; exact rack BOM value is field/BOM intelligence.</w:t>
            </w:r>
          </w:p>
        </w:tc>
        <w:tc>
          <w:tcPr>
            <w:tcW w:type="dxa" w:w="14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第三層BOM模型</w:t>
            </w:r>
          </w:p>
        </w:tc>
        <w:tc>
          <w:tcPr>
            <w:tcW w:type="dxa" w:w="2376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Track PSU/BBU ASP, Delta/other power supplier comments, OCP or hyperscaler power architecture releases.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HVDC efficiency 87.6% to 92.1%; SST 1MW shipment timing, 2.5MW next year, 10MW target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L233-L240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800VDC/SST direction is publicly technically plausible; exact efficiency and supplier timing need company/source validation.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公開相容 + 第三層時程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Track SST certifications, Delta product releases, hyperscaler design wins, and field trial announcements.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BBU market: 2026 55k racks, 30% penetration, value NTD16.7B; 2027 value NTD30B, YoY +240%</w:t>
            </w:r>
          </w:p>
        </w:tc>
        <w:tc>
          <w:tcPr>
            <w:tcW w:type="dxa" w:w="108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L241-L244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This is an internal model based on rack assumptions and penetration; public data can only verify direction, not the dollar value.</w:t>
            </w:r>
          </w:p>
        </w:tc>
        <w:tc>
          <w:tcPr>
            <w:tcW w:type="dxa" w:w="14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第三層市場模型</w:t>
            </w:r>
          </w:p>
        </w:tc>
        <w:tc>
          <w:tcPr>
            <w:tcW w:type="dxa" w:w="2376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Recompute after every ODM/PSU/BBU supplier monthly revenue and platform mix update.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800G mainstream 2026-2027; 1.6T mass ramp 2027; 3.2T next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L252-L260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Publicly consistent with optical networking upgrade cycle, but supplier-specific OFC observations are field evidence.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公開相容 + 現場觀察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Track OFC/GTC demos, Lumentum/Coherent capex, Nvidia optical purchase agreements and 1.6T module lead times.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VR200 rack MLCC use around 676k; GB300 around 440k; high-cap 47uF/22uF tight</w:t>
            </w:r>
          </w:p>
        </w:tc>
        <w:tc>
          <w:tcPr>
            <w:tcW w:type="dxa" w:w="108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L312-L327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Public sources support AI-driven MLCC tightness and long lead times; exact rack count is BOM intelligence.</w:t>
            </w:r>
          </w:p>
        </w:tc>
        <w:tc>
          <w:tcPr>
            <w:tcW w:type="dxa" w:w="14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第三層BOM情報</w:t>
            </w:r>
          </w:p>
        </w:tc>
        <w:tc>
          <w:tcPr>
            <w:tcW w:type="dxa" w:w="2376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Track ODM BOM revisions, Murata/Samsung/Yageo utilization, lead time, LTA terms and Taiwanese second-source approvals.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AI server MLCC demand: 2026 40B/month, 2027 100B/month, 2028+ 200B/month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L328-L348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Not publicly verified. Useful as stress-test model because it links demand growth to capacity-expansion lag.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第三層供需模型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Build sensitivity table using rack shipments, MLCC per rack, high-cap capacity multiplier and supplier expansion rate.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Bullhorn capacitor and sintered foil tightness; PSU/BBU cap counts rise sharply</w:t>
            </w:r>
          </w:p>
        </w:tc>
        <w:tc>
          <w:tcPr>
            <w:tcW w:type="dxa" w:w="108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L374-L410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Mostly company-call / channel intelligence; public verification limited.</w:t>
            </w:r>
          </w:p>
        </w:tc>
        <w:tc>
          <w:tcPr>
            <w:tcW w:type="dxa" w:w="14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第三層供應鏈訊號</w:t>
            </w:r>
          </w:p>
        </w:tc>
        <w:tc>
          <w:tcPr>
            <w:tcW w:type="dxa" w:w="2376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Track foil suppliers, Japanese cap maker utilization, PSU platform tear-downs, second-source validation and lead-time change.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Nexperia revenue scale around USD75B, order spillover USD35B domestic / USD40B international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L421-L423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Public Nexperia official page shows annual revenue around USD2.06B. Treat memo number as likely unit/currency/OCR issue; do not use it until reconciled.</w:t>
            </w:r>
          </w:p>
        </w:tc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異常 / 需回查</w:t>
            </w:r>
          </w:p>
        </w:tc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Ask source whether unit is NTD, RMB, cents, or industry TAM rather than Nexperia revenue. Keep transfer-order thesis, reject the exact USD figure for now.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Power semiconductors: +USD175 value per +1kW; DrMOS 20 -&gt; 32 -&gt; 50+ per chip</w:t>
            </w:r>
          </w:p>
        </w:tc>
        <w:tc>
          <w:tcPr>
            <w:tcW w:type="dxa" w:w="108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Memo L461-L489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Public sources support power-density rise and broader power-chip demand; exact per-kW and DrMOS counts are teardown/BOM intelligence.</w:t>
            </w:r>
          </w:p>
        </w:tc>
        <w:tc>
          <w:tcPr>
            <w:tcW w:type="dxa" w:w="14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第三層BOM模型</w:t>
            </w:r>
          </w:p>
        </w:tc>
        <w:tc>
          <w:tcPr>
            <w:tcW w:type="dxa" w:w="2376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Track PSU teardown, PMIC/DrMOS supplier qualification, onsemi/Infineon/Diodes/Taiwan supplier lead times and price actions.</w:t>
            </w:r>
          </w:p>
        </w:tc>
      </w:tr>
    </w:tbl>
    <w:p/>
    <w:p>
      <w:pPr>
        <w:pStyle w:val="Heading1"/>
      </w:pPr>
      <w:r>
        <w:t>3. 六大主題：升級後的第三層思考</w:t>
      </w:r>
    </w:p>
    <w:p>
      <w:pPr>
        <w:pStyle w:val="Heading2"/>
      </w:pPr>
      <w:r>
        <w:t>1. 無塵室與廠務</w:t>
      </w:r>
    </w:p>
    <w:p>
      <w:pPr>
        <w:spacing w:after="100" w:line="269" w:lineRule="auto"/>
      </w:pPr>
      <w:r>
        <w:rPr>
          <w:rFonts w:ascii="Calibri" w:hAnsi="Calibri" w:eastAsia="PingFang TC"/>
          <w:b/>
          <w:sz w:val="21"/>
        </w:rPr>
        <w:t>原判斷：AI晶片與先進封裝擴產使無塵室、機電、氣體、化學、水務與電力系統成為AI供給鏈的底層瓶頸。</w:t>
      </w:r>
    </w:p>
    <w:p>
      <w:pPr>
        <w:spacing w:after="100" w:line="269" w:lineRule="auto"/>
      </w:pPr>
      <w:r>
        <w:rPr>
          <w:rFonts w:ascii="Calibri" w:hAnsi="Calibri" w:eastAsia="PingFang TC"/>
          <w:b w:val="0"/>
          <w:sz w:val="21"/>
        </w:rPr>
        <w:t>升級後：不只看TSMC capex總額，要看工程進場節點、海外成本係數、合約負債與二線工程商外溢。對方的價值在於把fab工程拆到NTD100-120B、US fab NTD500-600B這種可追蹤的廠務拆分。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2026 capex USD58B應標成上修預期；官方目前只到USD52-56B高端。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Arizona/Fab22/Fab20進場時程若提前，廠務供應鏈會比晶圓收入更早反映。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合約負債、在手訂單和工程毛利率比單月營收更早。這是第三層雷達要新增的欄位。</w:t>
      </w:r>
    </w:p>
    <w:p>
      <w:pPr>
        <w:pStyle w:val="Heading2"/>
      </w:pPr>
      <w:r>
        <w:t>2. 設備、先進封裝、載板與PCB</w:t>
      </w:r>
    </w:p>
    <w:p>
      <w:pPr>
        <w:spacing w:after="100" w:line="269" w:lineRule="auto"/>
      </w:pPr>
      <w:r>
        <w:rPr>
          <w:rFonts w:ascii="Calibri" w:hAnsi="Calibri" w:eastAsia="PingFang TC"/>
          <w:b/>
          <w:sz w:val="21"/>
        </w:rPr>
        <w:t>原判斷：CoWoS、SoIC、CoPoS把先進封裝從封測題材升級為半導體設備與材料題材。</w:t>
      </w:r>
    </w:p>
    <w:p>
      <w:pPr>
        <w:spacing w:after="100" w:line="269" w:lineRule="auto"/>
      </w:pPr>
      <w:r>
        <w:rPr>
          <w:rFonts w:ascii="Calibri" w:hAnsi="Calibri" w:eastAsia="PingFang TC"/>
          <w:b w:val="0"/>
          <w:sz w:val="21"/>
        </w:rPr>
        <w:t>升級後：要拆成三個瓶頸：CoWoS既有產能不足、SoIC/hybrid bonding良率與潔淨度、CoPoS/panel-level載具與量測。再往下看ABF/EMIB-T良率與PCB高多層板擴產。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CoWoS 190k/255k、SoIC 20k/45k、CoPoS 10k/month不能當公開事實，但可以當設備訂單的領先假設。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EMIB-T 20-50%良率與Google 10M顆目標是典型公司call edge，價值高，但要和欣興/景碩/臻鼎/IBIDEN/Toppan capex交叉驗證。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玻璃載具/TGV要分清：CoWoS/CoPoS的glass carrier不等於glass core substrate，避免把技術路徑混在一起。</w:t>
      </w:r>
    </w:p>
    <w:p>
      <w:pPr>
        <w:pStyle w:val="Heading2"/>
      </w:pPr>
      <w:r>
        <w:t>3. ODM電子零組件、電源與BBU</w:t>
      </w:r>
    </w:p>
    <w:p>
      <w:pPr>
        <w:spacing w:after="100" w:line="269" w:lineRule="auto"/>
      </w:pPr>
      <w:r>
        <w:rPr>
          <w:rFonts w:ascii="Calibri" w:hAnsi="Calibri" w:eastAsia="PingFang TC"/>
          <w:b/>
          <w:sz w:val="21"/>
        </w:rPr>
        <w:t>原判斷：AI伺服器的供應鏈瓶頸從GPU轉向rack-level power/cooling。</w:t>
      </w:r>
    </w:p>
    <w:p>
      <w:pPr>
        <w:spacing w:after="100" w:line="269" w:lineRule="auto"/>
      </w:pPr>
      <w:r>
        <w:rPr>
          <w:rFonts w:ascii="Calibri" w:hAnsi="Calibri" w:eastAsia="PingFang TC"/>
          <w:b w:val="0"/>
          <w:sz w:val="21"/>
        </w:rPr>
        <w:t>升級後：用平台轉換表來看：GB200/GB300到VR200，不只是晶片功耗增加，而是power shelf、Power Rack、BBU標配化、SST與HVDC架構轉換。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GB200/300與VR200 rack shipment、PSU ASP、BBU滲透率屬第三層BOM模型。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如果BBU由選配走向標配，估值重點不只在電芯，而是BMS、功率模組、電源管理、散熱與安全認證。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800V HVDC會把價值從單顆PSU拉到整個電源櫃；這會改變台達、順達、新盛力、AES等供應鏈的追蹤方法。</w:t>
      </w:r>
    </w:p>
    <w:p>
      <w:pPr>
        <w:pStyle w:val="Heading2"/>
      </w:pPr>
      <w:r>
        <w:t>4. 光通訊</w:t>
      </w:r>
    </w:p>
    <w:p>
      <w:pPr>
        <w:spacing w:after="100" w:line="269" w:lineRule="auto"/>
      </w:pPr>
      <w:r>
        <w:rPr>
          <w:rFonts w:ascii="Calibri" w:hAnsi="Calibri" w:eastAsia="PingFang TC"/>
          <w:b/>
          <w:sz w:val="21"/>
        </w:rPr>
        <w:t>原判斷：AI data center互聯頻寬升級帶動800G、1.6T、3.2T、NPO/CPO/OCS與光引擎需求。</w:t>
      </w:r>
    </w:p>
    <w:p>
      <w:pPr>
        <w:spacing w:after="100" w:line="269" w:lineRule="auto"/>
      </w:pPr>
      <w:r>
        <w:rPr>
          <w:rFonts w:ascii="Calibri" w:hAnsi="Calibri" w:eastAsia="PingFang TC"/>
          <w:b w:val="0"/>
          <w:sz w:val="21"/>
        </w:rPr>
        <w:t>升級後：不要只寫規格升級，要拆成傳輸速率、光源功率、封裝位置、維修性與網路層級。NPO/CPO/OCS不是互斥替代，而是不同距離與網路層級的分工。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800G 2026-2027主流、1.6T 2027放量可保留為公開相容假設。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Lumentum/Coherent/NTT/Google的OFC現場觀察屬前沿情報，要用供應商demo、LTA與量產時程後續驗證。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CPO帶來的不是傳統光模組消失，而是光源、socket、外部雷射、測試與維修模型改變。</w:t>
      </w:r>
    </w:p>
    <w:p>
      <w:pPr>
        <w:pStyle w:val="Heading2"/>
      </w:pPr>
      <w:r>
        <w:t>5. 被動元件</w:t>
      </w:r>
    </w:p>
    <w:p>
      <w:pPr>
        <w:spacing w:after="100" w:line="269" w:lineRule="auto"/>
      </w:pPr>
      <w:r>
        <w:rPr>
          <w:rFonts w:ascii="Calibri" w:hAnsi="Calibri" w:eastAsia="PingFang TC"/>
          <w:b/>
          <w:sz w:val="21"/>
        </w:rPr>
        <w:t>原判斷：AI伺服器功率提升帶動MLCC、鋁電容、電感、電阻需求。</w:t>
      </w:r>
    </w:p>
    <w:p>
      <w:pPr>
        <w:spacing w:after="100" w:line="269" w:lineRule="auto"/>
      </w:pPr>
      <w:r>
        <w:rPr>
          <w:rFonts w:ascii="Calibri" w:hAnsi="Calibri" w:eastAsia="PingFang TC"/>
          <w:b w:val="0"/>
          <w:sz w:val="21"/>
        </w:rPr>
        <w:t>升級後：對方的強項是BOM數字化，讓被動元件從概念題變成供需模型。VR200 rack MLCC約676k、47uF/22uF高容值吃產能3-7倍，是判斷緊缺的核心。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MLCC公開資料能驗到AI造成緊缺、交期延長與漲價，但不能驗到每櫃676k與40B/100B/month需求。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第三層追蹤要新增：高容值料號、產能消耗倍率、LTA、second source、ODM推遲漲價能力。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鋁電容/牛角電容/燒結箔的缺口比一般MLCC更接近供應鏈早期訊號，應列入下次call問題。</w:t>
      </w:r>
    </w:p>
    <w:p>
      <w:pPr>
        <w:pStyle w:val="Heading2"/>
      </w:pPr>
      <w:r>
        <w:t>6. 功率元件</w:t>
      </w:r>
    </w:p>
    <w:p>
      <w:pPr>
        <w:spacing w:after="100" w:line="269" w:lineRule="auto"/>
      </w:pPr>
      <w:r>
        <w:rPr>
          <w:rFonts w:ascii="Calibri" w:hAnsi="Calibri" w:eastAsia="PingFang TC"/>
          <w:b/>
          <w:sz w:val="21"/>
        </w:rPr>
        <w:t>原判斷：PSU瓦數、800V HVDC、SiC/GaN/MOSFET/DrMOS用量提升，會開啟功率元件上升循環。</w:t>
      </w:r>
    </w:p>
    <w:p>
      <w:pPr>
        <w:spacing w:after="100" w:line="269" w:lineRule="auto"/>
      </w:pPr>
      <w:r>
        <w:rPr>
          <w:rFonts w:ascii="Calibri" w:hAnsi="Calibri" w:eastAsia="PingFang TC"/>
          <w:b w:val="0"/>
          <w:sz w:val="21"/>
        </w:rPr>
        <w:t>升級後：保留功率上升主線，但必須修正Nexperia數字。Nexperia轉單與Yangjie制裁是有效催化，USD75B revenue數字與公開Nexperia annual revenue不一致，需回查單位。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不要因一個數字異常就丟掉整段研調；應拆成「事件方向有效」與「金額單位待查」。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Infineon/Onsemi/Diodes/Taiwan suppliers轉單要用料號重疊、Hot Run、第二供應商資格與漲價公告驗證。</w:t>
      </w:r>
    </w:p>
    <w:p>
      <w:pPr>
        <w:pStyle w:val="ListBullet"/>
      </w:pPr>
      <w:r>
        <w:rPr>
          <w:rFonts w:ascii="Calibri" w:hAnsi="Calibri" w:eastAsia="PingFang TC"/>
          <w:sz w:val="20"/>
        </w:rPr>
        <w:t>+USD175/kW、DrMOS 20-&gt;32-&gt;50+是BOM模型，之後應用teardown和供應商法說交叉驗證。</w:t>
      </w:r>
    </w:p>
    <w:p>
      <w:pPr>
        <w:pStyle w:val="Heading1"/>
      </w:pPr>
      <w:r>
        <w:t>4. 我方格式升級：把整理能力往研調員方向強化</w:t>
      </w:r>
    </w:p>
    <w:p>
      <w:pPr>
        <w:spacing w:after="100" w:line="269" w:lineRule="auto"/>
      </w:pPr>
      <w:r>
        <w:rPr>
          <w:rFonts w:ascii="Calibri" w:hAnsi="Calibri" w:eastAsia="PingFang TC"/>
          <w:b w:val="0"/>
          <w:sz w:val="21"/>
        </w:rPr>
        <w:t>原本我方優勢是結構清楚、能把截圖與逐字稿快速整理成主題地圖；短板是數字密度不足，第三層情報沒有被充分保留下來。升級後，IOS-KOL的標準格式要同時包含結構化、數字表、確定性標籤、驗證路徑與反證條件。</w:t>
      </w:r>
    </w:p>
    <w:p>
      <w:pPr>
        <w:pStyle w:val="ListNumber"/>
      </w:pPr>
      <w:r>
        <w:rPr>
          <w:rFonts w:ascii="Calibri" w:hAnsi="Calibri" w:eastAsia="PingFang TC"/>
          <w:sz w:val="20"/>
        </w:rPr>
        <w:t>每個主題至少要有一個「第三層雷達訊號」：如良率、月產能、單櫃用量、second source、LTA、capex、設備交期、Hot Run。</w:t>
      </w:r>
    </w:p>
    <w:p>
      <w:pPr>
        <w:pStyle w:val="ListNumber"/>
      </w:pPr>
      <w:r>
        <w:rPr>
          <w:rFonts w:ascii="Calibri" w:hAnsi="Calibri" w:eastAsia="PingFang TC"/>
          <w:sz w:val="20"/>
        </w:rPr>
        <w:t>每個數字都要標籤：官方公開、公開相容、公司call情報、BOM模型、異常待查。</w:t>
      </w:r>
    </w:p>
    <w:p>
      <w:pPr>
        <w:pStyle w:val="ListNumber"/>
      </w:pPr>
      <w:r>
        <w:rPr>
          <w:rFonts w:ascii="Calibri" w:hAnsi="Calibri" w:eastAsia="PingFang TC"/>
          <w:sz w:val="20"/>
        </w:rPr>
        <w:t>對不能公開驗證的數字，不刪掉；改寫成「領先假設」並列公開追蹤條件。</w:t>
      </w:r>
    </w:p>
    <w:p>
      <w:pPr>
        <w:pStyle w:val="ListNumber"/>
      </w:pPr>
      <w:r>
        <w:rPr>
          <w:rFonts w:ascii="Calibri" w:hAnsi="Calibri" w:eastAsia="PingFang TC"/>
          <w:sz w:val="20"/>
        </w:rPr>
        <w:t>遇到數字與公開資料衝突時，拆成方向與數字兩部分：方向可能成立，數字口徑需回查。</w:t>
      </w:r>
    </w:p>
    <w:p>
      <w:pPr>
        <w:pStyle w:val="ListNumber"/>
      </w:pPr>
      <w:r>
        <w:rPr>
          <w:rFonts w:ascii="Calibri" w:hAnsi="Calibri" w:eastAsia="PingFang TC"/>
          <w:sz w:val="20"/>
        </w:rPr>
        <w:t>文件末尾固定留下下一次研究問題，讓團隊能拿去call公司或追月營收，而不是只停在文字摘要。</w:t>
      </w:r>
    </w:p>
    <w:p>
      <w:pPr>
        <w:pStyle w:val="Heading1"/>
      </w:pPr>
      <w:r>
        <w:t>5. 下次call公司 / 追資料問題清單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主題</w:t>
            </w:r>
          </w:p>
        </w:tc>
        <w:tc>
          <w:tcPr>
            <w:tcW w:type="dxa" w:w="5112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應問的第三層問題</w:t>
            </w:r>
          </w:p>
        </w:tc>
        <w:tc>
          <w:tcPr>
            <w:tcW w:type="dxa" w:w="3240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用來驗證什麼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廠務</w:t>
            </w:r>
          </w:p>
        </w:tc>
        <w:tc>
          <w:tcPr>
            <w:tcW w:type="dxa" w:w="51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2026Q3後哪些fab/site進場？合約負債是否墊高？美國案毛利與付款節點？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TSMC capex上修與fab工程外溢。</w:t>
            </w:r>
          </w:p>
        </w:tc>
      </w:tr>
      <w:tr>
        <w:tc>
          <w:tcPr>
            <w:tcW w:type="dxa" w:w="14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設備/封裝</w:t>
            </w:r>
          </w:p>
        </w:tc>
        <w:tc>
          <w:tcPr>
            <w:tcW w:type="dxa" w:w="511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SoIC/hybrid bonding設備占比何時顯著？CoPoS是否2027開始建線？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SoIC/CoPoS提前的可能性。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載板/PCB</w:t>
            </w:r>
          </w:p>
        </w:tc>
        <w:tc>
          <w:tcPr>
            <w:tcW w:type="dxa" w:w="51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EMIB-T良率、濕製程設備交期、ABF客戶是否預訂2028產能？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Google TPU/ASIC拉貨是否會吃掉載板產能。</w:t>
            </w:r>
          </w:p>
        </w:tc>
      </w:tr>
      <w:tr>
        <w:tc>
          <w:tcPr>
            <w:tcW w:type="dxa" w:w="14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電源/BBU</w:t>
            </w:r>
          </w:p>
        </w:tc>
        <w:tc>
          <w:tcPr>
            <w:tcW w:type="dxa" w:w="511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BBU由選配到標配的客戶節點？Power Rack ASP與滲透率？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BBU市場NTD16.7B/30B模型。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光通訊</w:t>
            </w:r>
          </w:p>
        </w:tc>
        <w:tc>
          <w:tcPr>
            <w:tcW w:type="dxa" w:w="51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1.6T客戶拉貨時間、CPO/NPO/OCS採用層級、ELS雷射功率規格？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800G-&gt;1.6T-&gt;3.2T升級曲線。</w:t>
            </w:r>
          </w:p>
        </w:tc>
      </w:tr>
      <w:tr>
        <w:tc>
          <w:tcPr>
            <w:tcW w:type="dxa" w:w="14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被動</w:t>
            </w:r>
          </w:p>
        </w:tc>
        <w:tc>
          <w:tcPr>
            <w:tcW w:type="dxa" w:w="511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47uF/22uF交期、LTA價格、second source核准、燒結箔供給？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MLCC與牛角電容是否真緊缺。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功率</w:t>
            </w:r>
          </w:p>
        </w:tc>
        <w:tc>
          <w:tcPr>
            <w:tcW w:type="dxa" w:w="511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Nexperia金額口徑、Infineon退出哪些成熟品、台系料號是否完成Hot Run？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轉單效應與台系替代料機會。</w:t>
            </w:r>
          </w:p>
        </w:tc>
      </w:tr>
    </w:tbl>
    <w:p/>
    <w:p>
      <w:pPr>
        <w:pStyle w:val="Heading1"/>
      </w:pPr>
      <w:r>
        <w:t>6. 公開來源與本版邊界</w:t>
      </w:r>
    </w:p>
    <w:p>
      <w:pPr>
        <w:spacing w:after="100" w:line="269" w:lineRule="auto"/>
      </w:pPr>
      <w:r>
        <w:rPr>
          <w:rFonts w:ascii="Calibri" w:hAnsi="Calibri" w:eastAsia="PingFang TC"/>
          <w:b w:val="0"/>
          <w:sz w:val="21"/>
        </w:rPr>
        <w:t>本版使用公開來源驗證方向與邊界；對方PDF中的公司call、BOM、良率與產能數字多數無法由公開資料直接驗證，已用第三層標籤保留。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來源</w:t>
            </w:r>
          </w:p>
        </w:tc>
        <w:tc>
          <w:tcPr>
            <w:tcW w:type="dxa" w:w="4392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URL</w:t>
            </w:r>
          </w:p>
        </w:tc>
        <w:tc>
          <w:tcPr>
            <w:tcW w:type="dxa" w:w="2951"/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/>
                <w:sz w:val="17"/>
              </w:rPr>
              <w:t>本版使用方式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TSMC 4Q25 earnings transcript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https://investor.tsmc.com/english/encrypt/files/encrypt_file/reports/2026-01/51d09df96cd89ac19d65af39032b038dc2896a24/TSMC%204Q25%20Transcript.pdf</w:t>
            </w:r>
          </w:p>
        </w:tc>
        <w:tc>
          <w:tcPr>
            <w:tcW w:type="dxa" w:w="29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2026 capex official range USD52-56B; allocation to advanced process and advanced packaging/testing.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TSMC 1Q26 earnings transcript</w:t>
            </w:r>
          </w:p>
        </w:tc>
        <w:tc>
          <w:tcPr>
            <w:tcW w:type="dxa" w:w="439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https://investor.tsmc.com/english/encrypt/files/encrypt_file/reports/2026-04/3cef85204275f94fd111485cfdf4adb3c0263c45/TSMC%201Q26%20Transcript.pdf</w:t>
            </w:r>
          </w:p>
        </w:tc>
        <w:tc>
          <w:tcPr>
            <w:tcW w:type="dxa" w:w="2951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Capex expected toward high end of USD52-56B; AI demand strong; N3 capacity expansion; advanced packaging capacity very tight.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TSMC Advanced Packaging Services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https://www.tsmc.com/english/dedicatedFoundry/services/advanced-packaging</w:t>
            </w:r>
          </w:p>
        </w:tc>
        <w:tc>
          <w:tcPr>
            <w:tcW w:type="dxa" w:w="29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3DFabric includes TSMC-SoIC, CoWoS and InFO; collaboration with substrate, memory and materials suppliers.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SIA/Deloitte AI data-center semiconductor report</w:t>
            </w:r>
          </w:p>
        </w:tc>
        <w:tc>
          <w:tcPr>
            <w:tcW w:type="dxa" w:w="439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https://www.semiconductors.org/powering-ai-the-semiconductor-ecosystem-at-the-foundation-of-data-centers/</w:t>
            </w:r>
          </w:p>
        </w:tc>
        <w:tc>
          <w:tcPr>
            <w:tcW w:type="dxa" w:w="2951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AI racks require the full chip stack: logic, memory, analog, foundational chips, networking and power semiconductors.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arXiv 800 VDC data-center simulation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https://arxiv.org/abs/2601.16502</w:t>
            </w:r>
          </w:p>
        </w:tc>
        <w:tc>
          <w:tcPr>
            <w:tcW w:type="dxa" w:w="29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SST-driven 800 VDC architecture is technically consistent with the power-rack direction, but exact supplier timing remains field intelligence.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Nexperia official about page</w:t>
            </w:r>
          </w:p>
        </w:tc>
        <w:tc>
          <w:tcPr>
            <w:tcW w:type="dxa" w:w="4392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https://www.nexperia.com/about</w:t>
            </w:r>
          </w:p>
        </w:tc>
        <w:tc>
          <w:tcPr>
            <w:tcW w:type="dxa" w:w="2951"/>
            <w:shd w:fill="F7F9FB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Official annual revenue shown around USD2.06B and more than 110B units shipped annually; use this to flag the memo's USD75B revenue item as likely unit/currency anomaly.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PC Gamer / DigiTimes-derived MLCC shortage report</w:t>
            </w:r>
          </w:p>
        </w:tc>
        <w:tc>
          <w:tcPr>
            <w:tcW w:type="dxa" w:w="439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https://www.pcgamer.com/hardware/guess-what-else-the-pc-industry-is-short-of-now-yes-thats-right-multilayer-ceramic-capacitors/</w:t>
            </w:r>
          </w:p>
        </w:tc>
        <w:tc>
          <w:tcPr>
            <w:tcW w:type="dxa" w:w="29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TC"/>
                <w:b w:val="0"/>
                <w:sz w:val="16"/>
              </w:rPr>
              <w:t>Secondary public source supporting AI-driven MLCC tightness, long lead times and price pressure.</w:t>
            </w:r>
          </w:p>
        </w:tc>
      </w:tr>
    </w:tbl>
    <w:p/>
    <w:p>
      <w:pPr>
        <w:spacing w:after="100" w:line="269" w:lineRule="auto"/>
      </w:pPr>
      <w:r>
        <w:rPr>
          <w:rFonts w:ascii="Calibri" w:hAnsi="Calibri" w:eastAsia="PingFang TC"/>
          <w:b/>
          <w:sz w:val="21"/>
        </w:rPr>
        <w:t>投資判斷提醒：本文件用於產業研究與KOL雷達，不構成投資建議。所有第三層情報都需要以公司法說、月營收、出貨、客戶認證與價格/交期變化持續驗證。</w:t>
      </w:r>
    </w:p>
    <w:sectPr w:rsidR="00FC693F" w:rsidRPr="0006063C" w:rsidSect="00034616">
      <w:pgSz w:w="12240" w:h="15840"/>
      <w:pgMar w:top="1080" w:right="1037" w:bottom="108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PingFang T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PingFang T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PingFang T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Calibri" w:hAnsi="Calibri" w:eastAsia="PingFang T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rFonts w:ascii="Calibri" w:hAnsi="Calibri" w:eastAsia="PingFang T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AI伺服器供應鏈六大主題：三層研調整合升級版</dc:title>
  <dc:subject>IOS-KOL third-layer industry research upgrade</dc:subject>
  <dc:creator>MAPLAB IOS-KOL Influencer Radar Manager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