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TC"/>
          <w:b/>
          <w:color w:val="1F4E79"/>
          <w:sz w:val="36"/>
        </w:rPr>
        <w:t>AI 伺服器供應鏈六大主題：完整版研究稿</w:t>
      </w:r>
    </w:p>
    <w:p>
      <w:pPr>
        <w:jc w:val="center"/>
      </w:pPr>
      <w:r>
        <w:rPr>
          <w:rFonts w:ascii="Arial" w:hAnsi="Arial" w:eastAsia="PingFang TC"/>
          <w:b/>
          <w:sz w:val="24"/>
        </w:rPr>
        <w:t>截圖主題 + 影片逐字稿 + 產業第二層思考</w:t>
      </w:r>
    </w:p>
    <w:p>
      <w:pPr>
        <w:spacing w:after="80" w:line="259" w:lineRule="auto"/>
      </w:pPr>
      <w:r>
        <w:rPr>
          <w:rFonts w:ascii="Arial" w:hAnsi="Arial" w:eastAsia="PingFang TC"/>
          <w:b w:val="0"/>
          <w:sz w:val="18"/>
        </w:rPr>
        <w:t>整理日期：2026-06-15｜用途：產業追蹤、KOL 雷達、下半年題材拆解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1. 這場分享會真正講的是什麼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表面上六個題目分散在半導體廠務、被動元件、先進封裝、光通訊、功率元件與電子零組件，但底層其實同一條主線：AI data center 從 GPU 供給瓶頸，進入 rack/system infrastructure 瓶頸。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第一階段市場只問 GPU 夠不夠；第二階段要問晶片能不能封裝、rack 能不能供電、資料能不能互聯、熱能不能帶走、電力能不能備援、工廠能不能準時蓋出來。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所以本題不是單一概念股整理，而是『瓶頸遷移地圖』：誰掌握瓶頸，誰才有定價與毛利的機會。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2. 截圖六大主題的加長版判讀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6"/>
              </w:rPr>
              <w:t>主題</w:t>
            </w:r>
          </w:p>
        </w:tc>
        <w:tc>
          <w:tcPr>
            <w:tcW w:type="dxa" w:w="2537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6"/>
              </w:rPr>
              <w:t>第一層解讀</w:t>
            </w:r>
          </w:p>
        </w:tc>
        <w:tc>
          <w:tcPr>
            <w:tcW w:type="dxa" w:w="2537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6"/>
              </w:rPr>
              <w:t>第二層解讀</w:t>
            </w:r>
          </w:p>
        </w:tc>
        <w:tc>
          <w:tcPr>
            <w:tcW w:type="dxa" w:w="2537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6"/>
              </w:rPr>
              <w:t>第三層查核</w:t>
            </w:r>
          </w:p>
        </w:tc>
      </w:tr>
      <w:tr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半導體廠務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AI/先進封裝擴產帶動無塵室與機電需求。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真正瓶頸是可準時交付的 cleanroom、MEP、氣體化學、超純水與電力系統；它們決定新產能能否變成可用產能。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看工程公司在手訂單、毛利率、案場進度、客戶 capex、缺工與材料成本。</w:t>
            </w:r>
          </w:p>
        </w:tc>
      </w:tr>
      <w:tr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被動元件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MLCC、鋁電、電感、電阻被 AI server 拉動。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重點不是所有被動都漲，而是 PSU/BBU/rack power 對高壓、高溫、低 ESR、高可靠品項形成資格認證門檻。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看交期、ASP、庫存天數、AI/工控/車用占比、客戶 design-in。</w:t>
            </w:r>
          </w:p>
        </w:tc>
      </w:tr>
      <w:tr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先進封裝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CoWoS/SoIC/3D 封裝支撐 AI chip。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先進封裝已經是運算架構的一部分，會影響 memory bandwidth、die size、yield 與 power delivery。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看 CoWoS/SoIC 月產能、設備精度、Hybrid bonding、載板/PCB、測試良率。</w:t>
            </w:r>
          </w:p>
        </w:tc>
      </w:tr>
      <w:tr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光通訊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OFC 觀察指向 800G/1.6T、NPO/CPO、矽光子。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當 cluster scale-out 放大，光通訊會從連接配角變成效率瓶頸；CPO/NPO 是架構轉移，不只是模組升級。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看 switch roadmap、CPO/NPO timing、可插拔模組生命周期、光引擎良率。</w:t>
            </w:r>
          </w:p>
        </w:tc>
      </w:tr>
      <w:tr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功率元件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800V HVDC 與電源架構升級。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高功率 rack 下，電力路徑本身變成 AI infrastructure 主戰場，SST、PowerRack、BBU、PSU、SiC/GaN 都會被重新定義。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看正負 400V 過渡、800VDC 安規、design win、量產平台、效率/可靠性。</w:t>
            </w:r>
          </w:p>
        </w:tc>
      </w:tr>
      <w:tr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電子零組件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BBU、連接器、散熱、電源、機構件受惠。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AI server 已從 board-level 競爭變成 rack-level 系統工程，價值會往高功率、高可靠、易維修零組件集中。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看 25kW BBU、液冷 CDU/cold plate、connector、rack 出貨與客戶驗證。</w:t>
            </w:r>
          </w:p>
        </w:tc>
      </w:tr>
    </w:tbl>
    <w:p/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3. 逐字稿對應到的主線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開場已明確說明 AI 影響不是只局限 GPU，而是一路延伸到先進製程、先進封裝、電源架構、被動元件、功率元件與光通訊。這是全文判讀的核心句。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先進封裝段落反覆提到 CoWoS、SoIC、載板、PCB 設備、Hybrid bonding 與 CPO 相關材料，表示節目把 AI 供應鏈瓶頸放在封裝/設備/基板三者的交會處。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800V HVDC 段落不是只談電源廠，而是從傳統供電鏈的轉換損耗切入，再延伸到 PowerRack、SST、BBU 與 GPU 供電，這是 rack-level redesign。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BBU 段落提到從選配走向標配、5.5kW 到 25kW、SMT 板與被動元件用量提升，這把被動元件、電源、電子零組件三個章節串起來。</w:t>
      </w:r>
    </w:p>
    <w:p>
      <w:pPr>
        <w:pStyle w:val="ListNumber"/>
        <w:spacing w:after="40"/>
      </w:pPr>
      <w:r>
        <w:rPr>
          <w:rFonts w:ascii="Arial" w:hAnsi="Arial" w:eastAsia="PingFang TC"/>
          <w:sz w:val="20"/>
        </w:rPr>
        <w:t>CPO 段落提到 Tomahawk CPO 與玻璃核心載板，代表光通訊不只光模組，而會連到 switch ASIC、封裝、載板與散熱。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4. 第二層思考：六條供應鏈怎麼互相牽動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4.1 先進製程與廠務不是背景音，是供給開關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如果 2nm/A16/HPC 產能要開出來，廠房、無塵室、電力、冷卻、氣體、化學品與安全系統都要先到位。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因此廠務供應鏈的投資邏輯不是『AI 很熱所以蓋廠』，而是『高階產能的可用性取決於廠務瓶頸』。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驗證時要避免只看營收年增，還要看案場毛利、工期、在手訂單品質與客戶集中度。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4.2 先進封裝把設備、材料、載板、測試串成同一個瓶頸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CoWoS 的重點是 HBM 與 accelerator 的高頻寬連接；SoIC/Hybrid bonding 的重點是更高密度與更短 interconnect。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當封裝尺寸變大、精度提高、基板變大，設備資本密集度、良率與週期時間都會改變。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第二層受惠名單應拆成：前段設備、封裝設備、載板/PCB 設備、測試/檢測、材料與工程服務。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4.3 800VDC 不是一個零件題材，而是一整條電力架構改造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rack power 越高，低壓大電流造成的銅用量、線損、熱與空間問題越嚴重。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800VDC/正負 400V 的意義是降低電流與損耗，但導入會受安規、標準、客戶平台與過渡方案影響。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因此不能把所有 800V 關鍵字都當成同一個受惠，必須分辨誰有量產認證、誰只是展品或概念。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4.4 BBU 是 AI rack 的保險絲，也是被動元件增量入口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當 BBU 從選配走向標配，價值鏈會從電池芯延伸到 BMS、SMT 板、功率元件、連接器、被動元件與整機架認證。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25kW BBU 的價值不只在單價提高，也在於安規、熱設計、可靠性與客戶導入週期。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被動元件的增量若來自 PSU/BBU，比只來自主板更有結構性。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4.5 CPO/NPO 會改變光通訊價值分配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可插拔光模組仍會存在，但當頻寬往 1.6T/3.2T 推進，光電轉換距離 switch ASIC 太遠會增加功耗與訊號問題。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CPO/NPO 的價值在於把光引擎拉近運算/交換晶片，但也帶來維修性、熱管理、標準化與良率問題。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所以短期看 800G/1.6T 出貨，中期看平台導入，長期看矽光子與封裝整合能力。</w:t>
      </w:r>
    </w:p>
    <w:p>
      <w:pPr>
        <w:pStyle w:val="Heading2"/>
      </w:pPr>
      <w:r>
        <w:rPr>
          <w:rFonts w:ascii="Arial" w:hAnsi="Arial" w:eastAsia="PingFang TC"/>
          <w:b/>
          <w:color w:val="1F4E79"/>
          <w:sz w:val="24"/>
        </w:rPr>
        <w:t>4.6 電子零組件要從 server BOM 轉成 rack BOM 來看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傳統看 server 零組件容易分散在電源、散熱、線材、機構、連接器；AI rack 會把這些零組件重新整合成系統能力。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未來高價值會集中在高功率、高可靠、可維修、已通過客戶平台驗證的供應商。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判斷重點是 rack 出貨、platform share、液冷方案、connector 規格與 BBU 滲透率。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5. 觀察名單應該怎麼分層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6"/>
              </w:rPr>
              <w:t>層級</w:t>
            </w:r>
          </w:p>
        </w:tc>
        <w:tc>
          <w:tcPr>
            <w:tcW w:type="dxa" w:w="2537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6"/>
              </w:rPr>
              <w:t>類型</w:t>
            </w:r>
          </w:p>
        </w:tc>
        <w:tc>
          <w:tcPr>
            <w:tcW w:type="dxa" w:w="2537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6"/>
              </w:rPr>
              <w:t>要問的問題</w:t>
            </w:r>
          </w:p>
        </w:tc>
        <w:tc>
          <w:tcPr>
            <w:tcW w:type="dxa" w:w="2537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/>
                <w:color w:val="FFFFFF"/>
                <w:sz w:val="16"/>
              </w:rPr>
              <w:t>常見誤判</w:t>
            </w:r>
          </w:p>
        </w:tc>
      </w:tr>
      <w:tr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第一層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直接產品供應商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是否已經進入 AI server/rack 客戶供應鏈？量產還是送樣？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看到展品就當量產。</w:t>
            </w:r>
          </w:p>
        </w:tc>
      </w:tr>
      <w:tr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第二層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瓶頸型供應商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它是否掌握交期、良率、安規或資格認證？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把低門檻代工也當成高定價瓶頸。</w:t>
            </w:r>
          </w:p>
        </w:tc>
      </w:tr>
      <w:tr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第三層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設備/材料/工程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它是否受益於客戶 capex 與製程複雜度提高？</w:t>
            </w:r>
          </w:p>
        </w:tc>
        <w:tc>
          <w:tcPr>
            <w:tcW w:type="dxa" w:w="253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只看 capex 總量，不看產品曝險。</w:t>
            </w:r>
          </w:p>
        </w:tc>
      </w:tr>
      <w:tr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第四層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替代/轉單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供需失衡是否真的造成新供應商切入？</w:t>
            </w:r>
          </w:p>
        </w:tc>
        <w:tc>
          <w:tcPr>
            <w:tcW w:type="dxa" w:w="2537"/>
            <w:shd w:fill="F3F6F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PingFang TC"/>
                <w:b w:val="0"/>
                <w:sz w:val="16"/>
              </w:rPr>
              <w:t>把一次性轉單當長期 share gain。</w:t>
            </w:r>
          </w:p>
        </w:tc>
      </w:tr>
    </w:tbl>
    <w:p/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6. 接下來要追的訊號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TSMC / OSAT 是否持續上修 CoWoS、SoIC、先進封裝設備與封裝廠區投資。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NVIDIA / hyperscaler 是否明確公布 800VDC、正負 400V、PowerRack、SST、BBU 的平台導入節奏。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被動元件是否出現交期拉長、價格回升、AI server 認證進展、庫存天數下降。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CPO/NPO 是否從展會展示進入平台規格，尤其是 switch ASIC、光引擎、雷射、矽光子封裝的量產節點。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BBU 是否從 5.5kW/12kW 往 25kW 滲透，並形成電池芯、BMS、SMT、被動元件、散熱與安規的整體受惠。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廠務工程是否出現案量增加但毛利未被材料與工期侵蝕，否則營收成長未必代表獲利上修。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7. 風險清單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AI capex 修正：hyperscaler 若放緩建置，所有第二層供應鏈會同步受壓。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導入遞延：800VDC、CPO/NPO、SoIC/Hybrid bonding 都可能因標準、良率、安規或客戶平台延後。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供應商過度擴產：題材初期供不應求，後期若產能一次開出，ASP 與毛利可能回落。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公司名單錯配：同一產業內不是每家公司都受惠，必須確認產品線、客戶、認證與出貨階段。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ASR 風險：逐字稿是機器轉錄，專有名詞與數字需要人工二校；本文把它當方向材料，不當最終精確引用。</w:t>
      </w: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8. 附錄：原始材料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完整逐字稿 Word：workbook/reviews/JOB-IOS-KOL-INDUSTRY-BRIEF-20260615/IOS-KOL影片完整逐字稿_含時間碼_20260615.docx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完整逐字稿 TXT：workbook/reviews/JOB-IOS-KOL-INDUSTRY-BRIEF-20260615/IOS-KOL影片完整逐字稿_含時間碼_20260615.txt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原始 ASR TXT：/private/tmp/ios_kol_u7UPxkcKLSw_full.txt</w:t>
      </w:r>
    </w:p>
    <w:p>
      <w:pPr>
        <w:pStyle w:val="ListBullet"/>
        <w:spacing w:after="40"/>
      </w:pPr>
      <w:r>
        <w:rPr>
          <w:rFonts w:ascii="Arial" w:hAnsi="Arial" w:eastAsia="PingFang TC"/>
          <w:sz w:val="20"/>
        </w:rPr>
        <w:t>原始 ASR SRT：/private/tmp/ios_kol_u7UPxkcKLSw_full.srt</w:t>
      </w:r>
    </w:p>
    <w:p>
      <w:pPr>
        <w:sectPr>
          <w:pgSz w:w="11906" w:h="16838"/>
          <w:pgMar w:top="907" w:right="879" w:bottom="907" w:left="879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PingFang TC"/>
          <w:b/>
          <w:color w:val="1F4E79"/>
          <w:sz w:val="30"/>
        </w:rPr>
        <w:t>附錄：使用者截圖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Photo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907" w:right="879" w:bottom="90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伺服器供應鏈六大主題：完整版研究稿</dc:title>
  <dc:subject/>
  <dc:creator>MAPLAB IOS-KOL Influencer Radar Manager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