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4FAA8">
      <w:pPr>
        <w:spacing w:after="40"/>
        <w:jc w:val="center"/>
      </w:pPr>
      <w:r>
        <w:rPr>
          <w:rFonts w:ascii="Calibri" w:hAnsi="Calibri" w:eastAsia="Calibri" w:cs="Calibri"/>
          <w:b/>
          <w:bCs/>
          <w:color w:val="2F5233"/>
          <w:sz w:val="40"/>
          <w:szCs w:val="40"/>
        </w:rPr>
        <w:t>Balik-Turo</w:t>
      </w:r>
    </w:p>
    <w:p w14:paraId="5AE817BC">
      <w:pPr>
        <w:spacing w:after="40"/>
        <w:jc w:val="center"/>
      </w:pPr>
      <w:r>
        <w:rPr>
          <w:rFonts w:ascii="Calibri" w:hAnsi="Calibri" w:eastAsia="Calibri" w:cs="Calibri"/>
          <w:i/>
          <w:iCs/>
          <w:sz w:val="26"/>
          <w:szCs w:val="26"/>
        </w:rPr>
        <w:t>A Filipino Folk Remedy &amp; Herbal Medicine RAG Assistant</w:t>
      </w:r>
    </w:p>
    <w:p w14:paraId="5AF9632F">
      <w:pPr>
        <w:pStyle w:val="2"/>
        <w:spacing w:before="240" w:after="120"/>
      </w:pPr>
      <w:r>
        <w:t>1. Problem Statement</w:t>
      </w:r>
    </w:p>
    <w:p w14:paraId="1EE7E919">
      <w:pPr>
        <w:spacing w:after="160"/>
      </w:pPr>
      <w:r>
        <w:rPr>
          <w:rFonts w:ascii="Calibri" w:hAnsi="Calibri" w:eastAsia="Calibri" w:cs="Calibri"/>
          <w:sz w:val="22"/>
          <w:szCs w:val="22"/>
        </w:rPr>
        <w:t>Traditional Filipino herbal and folk remedies (lagundi for cough, sambong for kidney stones, banaba for blood sugar, and dozens more) remain widely practiced across Filipino households, but the knowledge is scattered across elders' memory, scattered pamphlets, and inconsistent online sources of varying reliability. There is no single, conversational, easy-to-query reference that lets someone ask a plain-language question — "what is traditionally used for a child's cough?" — and get a grounded, sourced answer drawn specifically from a curated folk-medicine knowledge base, rather than a generic web search or an ungrounded chatbot answer that risks hallucinating a plant, a dosage, or a claim that was never part of the actual tradition.</w:t>
      </w:r>
    </w:p>
    <w:p w14:paraId="268C6C44">
      <w:pPr>
        <w:spacing w:after="160"/>
      </w:pPr>
      <w:r>
        <w:rPr>
          <w:rFonts w:ascii="Calibri" w:hAnsi="Calibri" w:eastAsia="Calibri" w:cs="Calibri"/>
          <w:sz w:val="22"/>
          <w:szCs w:val="22"/>
        </w:rPr>
        <w:t>Balik-Turo ("to pass down knowledge") addresses this by building a Retrieval-Augmented Generation assistant scoped specifically to traditional/folk herbal remedies, so answers are always grounded in an actual retrieved passage rather than generated from the model's unconstrained prior knowledge.</w:t>
      </w:r>
    </w:p>
    <w:p w14:paraId="2AC86C3E">
      <w:pPr>
        <w:pStyle w:val="2"/>
        <w:spacing w:before="240" w:after="120"/>
      </w:pPr>
      <w:r>
        <w:t>2. Target Users</w:t>
      </w:r>
    </w:p>
    <w:p w14:paraId="7809595C">
      <w:pPr>
        <w:pStyle w:val="16"/>
        <w:numPr>
          <w:ilvl w:val="0"/>
          <w:numId w:val="1"/>
        </w:numPr>
        <w:spacing w:after="80"/>
      </w:pPr>
      <w:r>
        <w:rPr>
          <w:rFonts w:ascii="Calibri" w:hAnsi="Calibri" w:eastAsia="Calibri" w:cs="Calibri"/>
          <w:sz w:val="22"/>
          <w:szCs w:val="22"/>
        </w:rPr>
        <w:t>Students and researchers documenting Philippine ethnobotany or traditional medicine.</w:t>
      </w:r>
    </w:p>
    <w:p w14:paraId="28E7E930">
      <w:pPr>
        <w:pStyle w:val="16"/>
        <w:numPr>
          <w:ilvl w:val="0"/>
          <w:numId w:val="1"/>
        </w:numPr>
        <w:spacing w:after="80"/>
      </w:pPr>
      <w:r>
        <w:rPr>
          <w:rFonts w:ascii="Calibri" w:hAnsi="Calibri" w:eastAsia="Calibri" w:cs="Calibri"/>
          <w:sz w:val="22"/>
          <w:szCs w:val="22"/>
        </w:rPr>
        <w:t>Families who want a quick, structured reference for common home remedies passed down orally.</w:t>
      </w:r>
    </w:p>
    <w:p w14:paraId="62947BA6">
      <w:pPr>
        <w:pStyle w:val="16"/>
        <w:numPr>
          <w:ilvl w:val="0"/>
          <w:numId w:val="1"/>
        </w:numPr>
        <w:spacing w:after="80"/>
      </w:pPr>
      <w:r>
        <w:rPr>
          <w:rFonts w:ascii="Calibri" w:hAnsi="Calibri" w:eastAsia="Calibri" w:cs="Calibri"/>
          <w:sz w:val="22"/>
          <w:szCs w:val="22"/>
        </w:rPr>
        <w:t>Community health volunteers (e.g., Barangay Health Workers) who want a supplementary reference for traditional practices alongside standard medical guidance.</w:t>
      </w:r>
    </w:p>
    <w:p w14:paraId="71CEE270">
      <w:pPr>
        <w:pStyle w:val="2"/>
        <w:spacing w:before="240" w:after="120"/>
      </w:pPr>
      <w:r>
        <w:t>3. Chosen Theme</w:t>
      </w:r>
    </w:p>
    <w:p w14:paraId="3186BE18">
      <w:pPr>
        <w:spacing w:after="160"/>
      </w:pPr>
      <w:r>
        <w:rPr>
          <w:rFonts w:ascii="Calibri" w:hAnsi="Calibri" w:eastAsia="Calibri" w:cs="Calibri"/>
          <w:sz w:val="22"/>
          <w:szCs w:val="22"/>
        </w:rPr>
        <w:t>This project falls under the "Personal/Domain Notes Assistant" and "Local Business/Community Assistant" directions suggested in the course guide: a RAG application grounded in a curated, domain-specific dataset (Filipino folk/herbal remedies) rather than a generic document Q&amp;A bot.</w:t>
      </w:r>
    </w:p>
    <w:p w14:paraId="0F6AE4F2">
      <w:pPr>
        <w:pStyle w:val="2"/>
        <w:spacing w:before="240" w:after="120"/>
      </w:pPr>
      <w:r>
        <w:t>4. Dataset Source(s)</w:t>
      </w:r>
    </w:p>
    <w:p w14:paraId="31CF6D6E">
      <w:pPr>
        <w:spacing w:after="160"/>
      </w:pPr>
      <w:r>
        <w:rPr>
          <w:rFonts w:ascii="Calibri" w:hAnsi="Calibri" w:eastAsia="Calibri" w:cs="Calibri"/>
          <w:sz w:val="22"/>
          <w:szCs w:val="22"/>
        </w:rPr>
        <w:t>The knowledge base consists of 26 original, individually written reference entries covering commonly known Filipino medicinal plants (e.g., Lagundi, Sambong, Tsaang Gubat, Ampalaya, Bawang, Banaba, Sabila, and others), compiled from general public traditional-medicine knowledge and written specifically for this project. Each entry documents the plant's common name(s), regional notes, traditional uses, preparation method, and cautions. This satisfies the course's "real or realistically simulated" dataset requirement of at least 20–30 documents, and is intentionally left with realistic formatting inconsistencies (mixed line endings, spacing, casing, stray markup) to give the Checkpoint 1 preprocessing pipeline genuine cleaning work to demonstrate.</w:t>
      </w:r>
    </w:p>
    <w:p w14:paraId="128E436B">
      <w:pPr>
        <w:spacing w:after="160"/>
      </w:pPr>
      <w:r>
        <w:rPr>
          <w:rFonts w:ascii="Calibri" w:hAnsi="Calibri" w:eastAsia="Calibri" w:cs="Calibri"/>
          <w:sz w:val="22"/>
          <w:szCs w:val="22"/>
        </w:rPr>
        <w:t>As the project progresses toward Checkpoint 3, the dataset can be expanded with additional entries and, where available, citations to published ethnobotanical literature and DOH herbal-medicine advisories, always framed as traditional/folk knowledge rather than medical advice.</w:t>
      </w:r>
    </w:p>
    <w:p w14:paraId="11EC133F">
      <w:pPr>
        <w:pStyle w:val="2"/>
        <w:spacing w:before="240" w:after="120"/>
      </w:pPr>
    </w:p>
    <w:p w14:paraId="0616CAD8">
      <w:pPr>
        <w:pStyle w:val="2"/>
        <w:spacing w:before="240" w:after="120"/>
      </w:pPr>
    </w:p>
    <w:p w14:paraId="152D13F0">
      <w:pPr>
        <w:pStyle w:val="2"/>
        <w:spacing w:before="240" w:after="120"/>
      </w:pPr>
      <w:bookmarkStart w:id="0" w:name="_GoBack"/>
      <w:bookmarkEnd w:id="0"/>
    </w:p>
    <w:p w14:paraId="71E61883">
      <w:pPr>
        <w:pStyle w:val="2"/>
        <w:spacing w:before="240" w:after="120"/>
      </w:pPr>
      <w:r>
        <w:t>5. Success Criteria</w:t>
      </w:r>
    </w:p>
    <w:tbl>
      <w:tblPr>
        <w:tblStyle w:val="9"/>
        <w:tblW w:w="50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42"/>
        <w:gridCol w:w="7017"/>
      </w:tblGrid>
      <w:tr w14:paraId="1BCC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7" w:hRule="atLeast"/>
        </w:trPr>
        <w:tc>
          <w:tcPr>
            <w:tcW w:w="1546" w:type="pct"/>
            <w:shd w:val="clear" w:color="auto" w:fill="2F5233"/>
          </w:tcPr>
          <w:p w14:paraId="483BAF80">
            <w:r>
              <w:rPr>
                <w:rFonts w:ascii="Calibri" w:hAnsi="Calibri" w:eastAsia="Calibri" w:cs="Calibri"/>
                <w:b/>
                <w:bCs/>
                <w:color w:val="FFFFFF"/>
                <w:sz w:val="20"/>
                <w:szCs w:val="20"/>
              </w:rPr>
              <w:t>Criterion</w:t>
            </w:r>
          </w:p>
        </w:tc>
        <w:tc>
          <w:tcPr>
            <w:tcW w:w="3453" w:type="pct"/>
            <w:shd w:val="clear" w:color="auto" w:fill="2F5233"/>
          </w:tcPr>
          <w:p w14:paraId="4A05E55C">
            <w:r>
              <w:rPr>
                <w:rFonts w:ascii="Calibri" w:hAnsi="Calibri" w:eastAsia="Calibri" w:cs="Calibri"/>
                <w:b/>
                <w:bCs/>
                <w:color w:val="FFFFFF"/>
                <w:sz w:val="20"/>
                <w:szCs w:val="20"/>
              </w:rPr>
              <w:t>Target</w:t>
            </w:r>
          </w:p>
        </w:tc>
      </w:tr>
      <w:tr w14:paraId="4C9DC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7" w:hRule="atLeast"/>
        </w:trPr>
        <w:tc>
          <w:tcPr>
            <w:tcW w:w="1546" w:type="pct"/>
          </w:tcPr>
          <w:p w14:paraId="4D6AADB0">
            <w:r>
              <w:rPr>
                <w:rFonts w:ascii="Calibri" w:hAnsi="Calibri" w:eastAsia="Calibri" w:cs="Calibri"/>
                <w:b w:val="0"/>
                <w:bCs w:val="0"/>
                <w:color w:val="000000"/>
                <w:sz w:val="20"/>
                <w:szCs w:val="20"/>
              </w:rPr>
              <w:t>Retrieval relevance</w:t>
            </w:r>
          </w:p>
        </w:tc>
        <w:tc>
          <w:tcPr>
            <w:tcW w:w="3453" w:type="pct"/>
          </w:tcPr>
          <w:p w14:paraId="5F4AA688">
            <w:r>
              <w:rPr>
                <w:rFonts w:ascii="Calibri" w:hAnsi="Calibri" w:eastAsia="Calibri" w:cs="Calibri"/>
                <w:b w:val="0"/>
                <w:bCs w:val="0"/>
                <w:color w:val="000000"/>
                <w:sz w:val="20"/>
                <w:szCs w:val="20"/>
              </w:rPr>
              <w:t>Top-3 retrieved passages are on-topic for at least 90% of test queries.</w:t>
            </w:r>
          </w:p>
        </w:tc>
      </w:tr>
      <w:tr w14:paraId="1029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4" w:hRule="atLeast"/>
        </w:trPr>
        <w:tc>
          <w:tcPr>
            <w:tcW w:w="1546" w:type="pct"/>
          </w:tcPr>
          <w:p w14:paraId="3DA169D7">
            <w:r>
              <w:rPr>
                <w:rFonts w:ascii="Calibri" w:hAnsi="Calibri" w:eastAsia="Calibri" w:cs="Calibri"/>
                <w:b w:val="0"/>
                <w:bCs w:val="0"/>
                <w:color w:val="000000"/>
                <w:sz w:val="20"/>
                <w:szCs w:val="20"/>
              </w:rPr>
              <w:t>Groundedness</w:t>
            </w:r>
          </w:p>
        </w:tc>
        <w:tc>
          <w:tcPr>
            <w:tcW w:w="3453" w:type="pct"/>
          </w:tcPr>
          <w:p w14:paraId="7C3BAF92">
            <w:r>
              <w:rPr>
                <w:rFonts w:ascii="Calibri" w:hAnsi="Calibri" w:eastAsia="Calibri" w:cs="Calibri"/>
                <w:b w:val="0"/>
                <w:bCs w:val="0"/>
                <w:color w:val="000000"/>
                <w:sz w:val="20"/>
                <w:szCs w:val="20"/>
              </w:rPr>
              <w:t>Generated answers cite/paraphrase only retrieved content; no fabricated plant names, doses, or claims in manual spot-checks.</w:t>
            </w:r>
          </w:p>
        </w:tc>
      </w:tr>
      <w:tr w14:paraId="1B00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4" w:hRule="atLeast"/>
        </w:trPr>
        <w:tc>
          <w:tcPr>
            <w:tcW w:w="1546" w:type="pct"/>
          </w:tcPr>
          <w:p w14:paraId="152D3440">
            <w:r>
              <w:rPr>
                <w:rFonts w:ascii="Calibri" w:hAnsi="Calibri" w:eastAsia="Calibri" w:cs="Calibri"/>
                <w:b w:val="0"/>
                <w:bCs w:val="0"/>
                <w:color w:val="000000"/>
                <w:sz w:val="20"/>
                <w:szCs w:val="20"/>
              </w:rPr>
              <w:t>Out-of-scope handling</w:t>
            </w:r>
          </w:p>
        </w:tc>
        <w:tc>
          <w:tcPr>
            <w:tcW w:w="3453" w:type="pct"/>
          </w:tcPr>
          <w:p w14:paraId="2233E934">
            <w:r>
              <w:rPr>
                <w:rFonts w:ascii="Calibri" w:hAnsi="Calibri" w:eastAsia="Calibri" w:cs="Calibri"/>
                <w:b w:val="0"/>
                <w:bCs w:val="0"/>
                <w:color w:val="000000"/>
                <w:sz w:val="20"/>
                <w:szCs w:val="20"/>
              </w:rPr>
              <w:t>Assistant correctly declines or flags questions outside the knowledge base (e.g., requests for drug dosages or clinical diagnosis).</w:t>
            </w:r>
          </w:p>
        </w:tc>
      </w:tr>
      <w:tr w14:paraId="652D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94" w:hRule="atLeast"/>
        </w:trPr>
        <w:tc>
          <w:tcPr>
            <w:tcW w:w="1546" w:type="pct"/>
          </w:tcPr>
          <w:p w14:paraId="284EEF46">
            <w:r>
              <w:rPr>
                <w:rFonts w:ascii="Calibri" w:hAnsi="Calibri" w:eastAsia="Calibri" w:cs="Calibri"/>
                <w:b w:val="0"/>
                <w:bCs w:val="0"/>
                <w:color w:val="000000"/>
                <w:sz w:val="20"/>
                <w:szCs w:val="20"/>
              </w:rPr>
              <w:t>Pipeline completeness</w:t>
            </w:r>
          </w:p>
        </w:tc>
        <w:tc>
          <w:tcPr>
            <w:tcW w:w="3453" w:type="pct"/>
          </w:tcPr>
          <w:p w14:paraId="00B3D51C">
            <w:r>
              <w:rPr>
                <w:rFonts w:ascii="Calibri" w:hAnsi="Calibri" w:eastAsia="Calibri" w:cs="Calibri"/>
                <w:b w:val="0"/>
                <w:bCs w:val="0"/>
                <w:color w:val="000000"/>
                <w:sz w:val="20"/>
                <w:szCs w:val="20"/>
              </w:rPr>
              <w:t>End-to-end path from raw text -&gt; cleaned text -&gt; embeddings -&gt; vector index -&gt; RAG response works without manual intervention by Checkpoint 3.</w:t>
            </w:r>
          </w:p>
        </w:tc>
      </w:tr>
    </w:tbl>
    <w:p w14:paraId="39735B18">
      <w:pPr>
        <w:pBdr>
          <w:top w:val="single" w:color="CCCCCC" w:sz="4" w:space="0"/>
        </w:pBdr>
        <w:spacing w:before="12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2EB66EDB"/>
    <w:rsid w:val="79A832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563</Words>
  <Characters>3589</Characters>
  <TotalTime>22</TotalTime>
  <ScaleCrop>false</ScaleCrop>
  <LinksUpToDate>false</LinksUpToDate>
  <CharactersWithSpaces>4119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2026-08-20T07:30:00Z</dcterms:created>
  <dc:creator>Un-named</dc:creator>
  <cp:lastModifiedBy>jeffrey cutamora</cp:lastModifiedBy>
  <dcterms:modified xsi:type="dcterms:W3CDTF">2026-08-20T08:17:11Z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eyJoZGlkIjoiZjVhNGJiMWVmZTg4ZjFhYWZhYWFiMzBkODkwYWRkZmUiLCJ1c2VySWQiOiI3MDQ5MDkwMTkzNDkifQ==</vt:lpwstr>
  </property>
  <property fmtid="{D5CDD505-2E9C-101B-9397-08002B2CF9AE}" pid="3" name="KSOProductBuildVer">
    <vt:lpwstr>1033-12.1.0.28032</vt:lpwstr>
  </property>
  <property fmtid="{D5CDD505-2E9C-101B-9397-08002B2CF9AE}" pid="4" name="ICV">
    <vt:lpwstr>C967CA9E548C471D93C24EBA584A1A7C_12</vt:lpwstr>
  </property>
</Properties>
</file>