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Circulation Report</w:t>
      </w:r>
    </w:p>
    <w:p>
      <w:r>
        <w:t xml:space="preserve">This is the year as the press room counted it: every copy that left the dock and every edition opened on a screen. Nothing is rounded upward.</w:t>
      </w:r>
      <w:r>
        <w:footnoteReference w:id="2"/>
      </w:r>
    </w:p>
    <w:p>
      <w:pPr>
        <w:pStyle w:val="Heading2"/>
      </w:pPr>
      <w:r>
        <w:t xml:space="preserve">The year in print</w:t>
      </w:r>
    </w:p>
    <w:p>
      <w:r>
        <w:t xml:space="preserve">Print circulation rose in every quarter but the flooded third. The full-year total came to </w:t>
      </w:r>
      <w:r>
        <w:rPr>
          <w:b/>
        </w:rPr>
        <w:t xml:space="preserve">8,315 copies</w:t>
      </w:r>
      <w:r>
        <w:t xml:space="preserve">, up eleven percent on the year before. The digital editions grew faster still — </w:t>
      </w:r>
      <w:r>
        <w:rPr>
          <w:i/>
        </w:rPr>
        <w:t xml:space="preserve">4,295 first opens</w:t>
      </w:r>
      <w:r>
        <w:t xml:space="preserve"> against 2,700. In the house colour: </w:t>
      </w:r>
      <w:r>
        <w:rPr>
          <w:b/>
          <w:color w:val="1C3F94"/>
        </w:rPr>
        <w:t xml:space="preserve">spoilage held under four percent</w:t>
      </w:r>
      <w:r>
        <w:t xml:space="preserve"> for the first time since the rebuild.</w:t>
      </w:r>
    </w:p>
    <w:p>
      <w:r>
        <w:t xml:space="preserve">The fourth quarter's 2,390-copy run, the largest since the two-press years, went to bed on schedule.</w:t>
      </w:r>
    </w:p>
    <w:p>
      <w:pPr>
        <w:pStyle w:val="Heading2"/>
      </w:pPr>
      <w:r>
        <w:t xml:space="preserve">How the counts are taken</w:t>
      </w:r>
    </w:p>
    <w:p>
      <w:r>
        <w:t xml:space="preserve">Three old rules govern every number in this report:</w:t>
      </w:r>
    </w:p>
    <w:p>
      <w:pPr>
        <w:numPr>
          <w:ilvl w:val="0"/>
          <w:numId w:val="1"/>
        </w:numPr>
      </w:pPr>
      <w:r>
        <w:t xml:space="preserve">A copy is counted when it leaves the dock, not when it is printed.</w:t>
      </w:r>
    </w:p>
    <w:p>
      <w:pPr>
        <w:numPr>
          <w:ilvl w:val="1"/>
          <w:numId w:val="1"/>
        </w:numPr>
      </w:pPr>
      <w:r>
        <w:t xml:space="preserve">Bundles broken for waste return to stock, uncounted.</w:t>
      </w:r>
    </w:p>
    <w:p>
      <w:pPr>
        <w:numPr>
          <w:ilvl w:val="1"/>
          <w:numId w:val="1"/>
        </w:numPr>
      </w:pPr>
      <w:r>
        <w:t xml:space="preserve">Water-damaged bundles are waste, whatever the driver says.</w:t>
      </w:r>
    </w:p>
    <w:p>
      <w:pPr>
        <w:numPr>
          <w:ilvl w:val="0"/>
          <w:numId w:val="1"/>
        </w:numPr>
      </w:pPr>
      <w:r>
        <w:t xml:space="preserve">A digital edition is counted on its first open, once per subscriber.</w:t>
      </w:r>
    </w:p>
    <w:p>
      <w:pPr>
        <w:numPr>
          <w:ilvl w:val="0"/>
          <w:numId w:val="1"/>
        </w:numPr>
      </w:pPr>
      <w:r>
        <w:t xml:space="preserve">Nothing is ever counted twice, even when counting twice would look better.</w:t>
      </w:r>
    </w:p>
    <w:p>
      <w:pPr>
        <w:pStyle w:val="Heading2"/>
      </w:pPr>
      <w:r>
        <w:t xml:space="preserve">Press operations</w:t>
      </w:r>
    </w:p>
    <w:p>
      <w:r>
        <w:t xml:space="preserve">Each step of the calendar gates the next:</w:t>
      </w:r>
    </w:p>
    <w:p>
      <w:pPr>
        <w:numPr>
          <w:ilvl w:val="0"/>
          <w:numId w:val="2"/>
        </w:numPr>
      </w:pPr>
      <w:r>
        <w:t xml:space="preserve">Plates are proofed against the signed-off layout.</w:t>
      </w:r>
    </w:p>
    <w:p>
      <w:pPr>
        <w:numPr>
          <w:ilvl w:val="1"/>
          <w:numId w:val="2"/>
        </w:numPr>
      </w:pPr>
      <w:r>
        <w:t xml:space="preserve">Registration is checked on the first fifty sheets.</w:t>
      </w:r>
    </w:p>
    <w:p>
      <w:pPr>
        <w:numPr>
          <w:ilvl w:val="1"/>
          <w:numId w:val="2"/>
        </w:numPr>
      </w:pPr>
      <w:r>
        <w:t xml:space="preserve">Colour bars are read, not eyeballed.</w:t>
      </w:r>
    </w:p>
    <w:p>
      <w:pPr>
        <w:numPr>
          <w:ilvl w:val="0"/>
          <w:numId w:val="2"/>
        </w:numPr>
      </w:pPr>
      <w:r>
        <w:t xml:space="preserve">The run is released to the folder.</w:t>
      </w:r>
    </w:p>
    <w:p>
      <w:pPr>
        <w:numPr>
          <w:ilvl w:val="0"/>
          <w:numId w:val="2"/>
        </w:numPr>
      </w:pPr>
      <w:r>
        <w:t xml:space="preserve">The dock tally is reconciled against the run counter.</w:t>
      </w:r>
    </w:p>
    <w:p>
      <w:pPr>
        <w:pStyle w:val="Heading2"/>
      </w:pPr>
      <w:r>
        <w:t xml:space="preserve">Circulation by region</w:t>
      </w:r>
    </w:p>
    <w:tbl>
      <w:tblGrid>
        <w:gridCol w:w="2400"/>
        <w:gridCol w:w="2400"/>
        <w:gridCol w:w="2400"/>
      </w:tblGrid>
      <w:tr>
        <w:tc>
          <w:tcPr>
            <w:gridSpan w:val="3"/>
          </w:tcPr>
          <w:p>
            <w:r>
              <w:t xml:space="preserve">Twelve months of counted copies</w:t>
            </w:r>
          </w:p>
        </w:tc>
      </w:tr>
      <w:tr>
        <w:tc>
          <w:p>
            <w:r>
              <w:t xml:space="preserve">Region</w:t>
            </w:r>
          </w:p>
        </w:tc>
        <w:tc>
          <w:p>
            <w:r>
              <w:t xml:space="preserve">Channel</w:t>
            </w:r>
          </w:p>
        </w:tc>
        <w:tc>
          <w:p>
            <w:r>
              <w:t xml:space="preserve">Copies</w:t>
            </w:r>
          </w:p>
        </w:tc>
      </w:tr>
      <w:tr>
        <w:tc>
          <w:tcPr>
            <w:vMerge w:val="restart"/>
          </w:tcPr>
          <w:p>
            <w:r>
              <w:t xml:space="preserve">Alpine</w:t>
            </w:r>
          </w:p>
        </w:tc>
        <w:tc>
          <w:p>
            <w:r>
              <w:t xml:space="preserve">Print</w:t>
            </w:r>
          </w:p>
        </w:tc>
        <w:tc>
          <w:p>
            <w:r>
              <w:t xml:space="preserve">3,410</w:t>
            </w:r>
          </w:p>
        </w:tc>
      </w:tr>
      <w:tr>
        <w:tc>
          <w:tcPr>
            <w:vMerge/>
          </w:tcPr>
          <w:p/>
        </w:tc>
        <w:tc>
          <w:p>
            <w:r>
              <w:t xml:space="preserve">Digital</w:t>
            </w:r>
          </w:p>
        </w:tc>
        <w:tc>
          <w:p>
            <w:r>
              <w:t xml:space="preserve">1,240</w:t>
            </w:r>
          </w:p>
        </w:tc>
      </w:tr>
      <w:tr>
        <w:tc>
          <w:p>
            <w:r>
              <w:t xml:space="preserve">Plateau</w:t>
            </w:r>
          </w:p>
        </w:tc>
        <w:tc>
          <w:p>
            <w:r>
              <w:t xml:space="preserve">Print</w:t>
            </w:r>
          </w:p>
        </w:tc>
        <w:tc>
          <w:p>
            <w:r>
              <w:t xml:space="preserve">2,000</w:t>
            </w:r>
          </w:p>
        </w:tc>
      </w:tr>
    </w:tbl>
    <w:p>
      <w:r>
        <w:t xml:space="preserve">The Alpine routes remain the house's backbone.</w:t>
      </w:r>
    </w:p>
    <w:p>
      <w:r>
        <w:drawing>
          <wp:inline distT="0" distB="0" distL="0" distR="0">
            <wp:extent cx="1524000" cy="1016000"/>
            <wp:docPr id="1" name="Plate mark"/>
            <a:graphic>
              <a:graphicData uri="http://schemas.openxmlformats.org/drawingml/2006/picture">
                <pic:pic>
                  <pic:nvPicPr>
                    <pic:cNvPr id="0" name="plate-mark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The plate mark, as it appears on every signature this house folds.</w:t>
      </w:r>
    </w:p>
    <w:p>
      <w:pPr>
        <w:pStyle w:val="Heading2"/>
      </w:pPr>
      <w:r>
        <w:t xml:space="preserve">Digital editions</w:t>
      </w:r>
    </w:p>
    <w:p>
      <w:r>
        <w:t xml:space="preserve">The full tables live at </w:t>
      </w:r>
      <w:hyperlink r:id="rId50">
        <w:r>
          <w:t>paged.media/annual</w:t>
        </w:r>
      </w:hyperlink>
      <w:r>
        <w:t xml:space="preserve">, the counting rules at </w:t>
      </w:r>
      <w:fldSimple w:instr="HYPERLINK &quot;https://docs.paged.media/&quot;">
        <w:r>
          <w:t>docs.paged.media</w:t>
        </w:r>
      </w:fldSimple>
      <w:r>
        <w:t xml:space="preserve">. Subscribers moved between the two channels</w:t>
      </w:r>
      <w:r>
        <w:footnoteReference w:id="3"/>
      </w:r>
      <w:r>
        <w:t xml:space="preserve">: one readership, two doors.</w:t>
      </w:r>
    </w:p>
    <w:p>
      <w:pPr>
        <w:tabs>
          <w:tab w:val="right" w:leader="dot" w:pos="4320"/>
        </w:tabs>
      </w:pPr>
      <w:r>
        <w:t xml:space="preserve">Largest single run (Q4)</w:t>
      </w:r>
      <w:r>
        <w:tab/>
      </w:r>
      <w:r>
        <w:t xml:space="preserve">2,390 copies</w:t>
      </w:r>
    </w:p>
    <w:p>
      <w:pPr>
        <w:tabs>
          <w:tab w:val="right" w:leader="dot" w:pos="4320"/>
        </w:tabs>
      </w:pPr>
      <w:r>
        <w:t xml:space="preserve">Spoilage, full year</w:t>
      </w:r>
      <w:r>
        <w:tab/>
      </w:r>
      <w:r>
        <w:t xml:space="preserve">3.7 percent</w:t>
      </w:r>
    </w:p>
    <w:p>
      <w:pPr>
        <w:tabs>
          <w:tab w:val="right" w:leader="dot" w:pos="4320"/>
        </w:tabs>
      </w:pPr>
      <w:r>
        <w:t xml:space="preserve">Editions gone to a second printing</w:t>
      </w:r>
      <w:r>
        <w:tab/>
      </w:r>
      <w:r>
        <w:t xml:space="preserve">3</w:t>
      </w:r>
    </w:p>
    <w:p>
      <w:r>
        <w:t xml:space="preserve">Next year: one more route, and spoilage below four. The presses are ready.</w:t>
      </w:r>
    </w:p>
    <w:sectPr>
      <w:pgSz w:w="10800" w:h="14400"/>
      <w:pgMar w:top="1080" w:right="1080" w:bottom="1080" w:left="10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t xml:space="preserve">Counted at the loading dock, not at the press: a copy that never leaves the building is not circulation, whatever the counter on the folder says.</w:t>
      </w:r>
    </w:p>
  </w:footnote>
  <w:footnote w:id="3">
    <w:p>
      <w:r>
        <w:t xml:space="preserve">Digital editions are tallied on the first open, once per subscriber per issue. Repeat opens are a compliment, not a copy.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  <w:pPr>
        <w:ind w:left="720" w:hanging="360"/>
      </w:pPr>
    </w:lvl>
    <w:lvl w:ilvl="1">
      <w:numFmt w:val="bullet"/>
      <w:lvlText w:val="–"/>
      <w:pPr>
        <w:ind w:left="144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  <w:lvl w:ilvl="1">
      <w:numFmt w:val="decimal"/>
      <w:lvlText w:val="%1.%2.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Source Serif 4"/>
        <w:sz w:val="21"/>
      </w:rPr>
    </w:rPrDefault>
    <w:pPrDefault>
      <w:pPr>
        <w:spacing w:after="120"/>
      </w:pPr>
    </w:pPrDefault>
  </w:docDefaults>
  <w:style w:type="paragraph" w:styleId="Normal">
    <w:name w:val="Normal"/>
  </w:style>
  <w:style w:type="paragraph" w:styleId="Heading1">
    <w:name w:val="heading 1"/>
    <w:basedOn w:val="Normal"/>
    <w:pPr>
      <w:keepNext/>
      <w:spacing w:before="240" w:after="180"/>
    </w:pPr>
    <w:rPr>
      <w:b/>
      <w:sz w:val="56"/>
    </w:rPr>
  </w:style>
  <w:style w:type="paragraph" w:styleId="Heading2">
    <w:name w:val="heading 2"/>
    <w:basedOn w:val="Normal"/>
    <w:pPr>
      <w:keepNext/>
      <w:spacing w:before="200" w:after="120"/>
    </w:pPr>
    <w:rPr>
      <w:b/>
      <w:sz w:val="32"/>
    </w:rPr>
  </w:style>
  <w:style w:type="paragraph" w:styleId="Caption">
    <w:name w:val="caption"/>
    <w:basedOn w:val="Normal"/>
    <w:pPr>
      <w:jc w:val="center"/>
    </w:pPr>
    <w:rPr>
      <w:i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50" Type="http://schemas.openxmlformats.org/officeDocument/2006/relationships/hyperlink" Target="https://paged.media/annual" TargetMode="External"/>
  <Relationship Id="rId100" Type="http://schemas.openxmlformats.org/officeDocument/2006/relationships/image" Target="media/plate-mark.png"/>
</Relationships>
</file>