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Circulation Report</w:t>
      </w:r>
    </w:p>
    <w:p>
      <w:r>
        <w:t xml:space="preserve">This is the year as the press room counted it: every copy that left the dock, every edition that opened on a screen, and the honest arithmetic between the two. The figures below are the same ones the ledgers carry — nothing is rounded upward, and nothing that stayed in the building is counted.</w:t>
      </w:r>
      <w:r>
        <w:footnoteReference w:id="2"/>
      </w:r>
    </w:p>
    <w:p>
      <w:pPr>
        <w:pStyle w:val="Heading2"/>
      </w:pPr>
      <w:r>
        <w:t xml:space="preserve">The year in print</w:t>
      </w:r>
    </w:p>
    <w:p>
      <w:r>
        <w:t xml:space="preserve">Print circulation rose in every quarter but the third, when the coastal routes flooded and two deliveries ran a week late. The full-year total came to </w:t>
      </w:r>
      <w:r>
        <w:rPr>
          <w:b/>
        </w:rPr>
        <w:t xml:space="preserve">8,315 copies</w:t>
      </w:r>
      <w:r>
        <w:t xml:space="preserve">, up eleven percent on the year before. The digital editions grew faster still — </w:t>
      </w:r>
      <w:r>
        <w:rPr>
          <w:i/>
        </w:rPr>
        <w:t xml:space="preserve">4,295 first opens</w:t>
      </w:r>
      <w:r>
        <w:t xml:space="preserve"> against 2,700 — though the press would like it noted that a screen has never once smelled of ink. The one number the board watched all year is printed here in the house colour: </w:t>
      </w:r>
      <w:r>
        <w:rPr>
          <w:b/>
          <w:color w:val="1C3F94"/>
        </w:rPr>
        <w:t xml:space="preserve">spoilage held under four percent</w:t>
      </w:r>
      <w:r>
        <w:t xml:space="preserve"> for the first time since the rebuild.</w:t>
      </w:r>
    </w:p>
    <w:p>
      <w:r>
        <w:t xml:space="preserve">The fourth quarter deserves its own sentence. A 2,390-copy run is the largest this house has set since the two-press years, and it went to bed on schedule, on the first attempt, with the plates still warm from the proofing pass. The crew has asked that this be recorded plainly and without adjectives; it is, except for that one.</w:t>
      </w:r>
    </w:p>
    <w:p>
      <w:pPr>
        <w:pStyle w:val="Heading2"/>
      </w:pPr>
      <w:r>
        <w:t xml:space="preserve">How the counts are taken</w:t>
      </w:r>
    </w:p>
    <w:p>
      <w:r>
        <w:t xml:space="preserve">Three rules govern every number in this report. They are old rules, and they have outlasted four presses and two buildings:</w:t>
      </w:r>
    </w:p>
    <w:p>
      <w:pPr>
        <w:numPr>
          <w:ilvl w:val="0"/>
          <w:numId w:val="1"/>
        </w:numPr>
      </w:pPr>
      <w:r>
        <w:t xml:space="preserve">A copy is counted when it leaves the dock, not when it is printed.</w:t>
      </w:r>
    </w:p>
    <w:p>
      <w:pPr>
        <w:numPr>
          <w:ilvl w:val="1"/>
          <w:numId w:val="1"/>
        </w:numPr>
      </w:pPr>
      <w:r>
        <w:t xml:space="preserve">Bundles broken for waste return to stock, uncounted.</w:t>
      </w:r>
    </w:p>
    <w:p>
      <w:pPr>
        <w:numPr>
          <w:ilvl w:val="1"/>
          <w:numId w:val="1"/>
        </w:numPr>
      </w:pPr>
      <w:r>
        <w:t xml:space="preserve">Water-damaged bundles are waste, whatever the driver says.</w:t>
      </w:r>
    </w:p>
    <w:p>
      <w:pPr>
        <w:numPr>
          <w:ilvl w:val="0"/>
          <w:numId w:val="1"/>
        </w:numPr>
      </w:pPr>
      <w:r>
        <w:t xml:space="preserve">A digital edition is counted on its first open, once per subscriber.</w:t>
      </w:r>
    </w:p>
    <w:p>
      <w:pPr>
        <w:numPr>
          <w:ilvl w:val="0"/>
          <w:numId w:val="1"/>
        </w:numPr>
      </w:pPr>
      <w:r>
        <w:t xml:space="preserve">Nothing is ever counted twice, even when counting twice would look better.</w:t>
      </w:r>
    </w:p>
    <w:p>
      <w:pPr>
        <w:pStyle w:val="Heading2"/>
      </w:pPr>
      <w:r>
        <w:t xml:space="preserve">Press operations</w:t>
      </w:r>
    </w:p>
    <w:p>
      <w:r>
        <w:t xml:space="preserve">The operations calendar ran in the same order it always has, and the order is the point — each step gates the next:</w:t>
      </w:r>
    </w:p>
    <w:p>
      <w:pPr>
        <w:numPr>
          <w:ilvl w:val="0"/>
          <w:numId w:val="2"/>
        </w:numPr>
      </w:pPr>
      <w:r>
        <w:t xml:space="preserve">Plates are proofed against the signed-off layout.</w:t>
      </w:r>
    </w:p>
    <w:p>
      <w:pPr>
        <w:numPr>
          <w:ilvl w:val="1"/>
          <w:numId w:val="2"/>
        </w:numPr>
      </w:pPr>
      <w:r>
        <w:t xml:space="preserve">Registration is checked on the first fifty sheets.</w:t>
      </w:r>
    </w:p>
    <w:p>
      <w:pPr>
        <w:numPr>
          <w:ilvl w:val="1"/>
          <w:numId w:val="2"/>
        </w:numPr>
      </w:pPr>
      <w:r>
        <w:t xml:space="preserve">Colour bars are read, not eyeballed.</w:t>
      </w:r>
    </w:p>
    <w:p>
      <w:pPr>
        <w:numPr>
          <w:ilvl w:val="0"/>
          <w:numId w:val="2"/>
        </w:numPr>
      </w:pPr>
      <w:r>
        <w:t xml:space="preserve">The run is released to the folder.</w:t>
      </w:r>
    </w:p>
    <w:p>
      <w:pPr>
        <w:numPr>
          <w:ilvl w:val="0"/>
          <w:numId w:val="2"/>
        </w:numPr>
      </w:pPr>
      <w:r>
        <w:t xml:space="preserve">The dock tally is reconciled against the run counter.</w:t>
      </w:r>
    </w:p>
    <w:p>
      <w:pPr>
        <w:pStyle w:val="Heading2"/>
      </w:pPr>
      <w:r>
        <w:t xml:space="preserve">Circulation by region</w:t>
      </w:r>
    </w:p>
    <w:tbl>
      <w:tblGrid>
        <w:gridCol w:w="2400"/>
        <w:gridCol w:w="2400"/>
        <w:gridCol w:w="2400"/>
      </w:tblGrid>
      <w:tr>
        <w:tc>
          <w:tcPr>
            <w:gridSpan w:val="3"/>
          </w:tcPr>
          <w:p>
            <w:r>
              <w:t xml:space="preserve">Twelve months of counted copies</w:t>
            </w:r>
          </w:p>
        </w:tc>
      </w:tr>
      <w:tr>
        <w:tc>
          <w:p>
            <w:r>
              <w:t xml:space="preserve">Region</w:t>
            </w:r>
          </w:p>
        </w:tc>
        <w:tc>
          <w:p>
            <w:r>
              <w:t xml:space="preserve">Channel</w:t>
            </w:r>
          </w:p>
        </w:tc>
        <w:tc>
          <w:p>
            <w:r>
              <w:t xml:space="preserve">Copies</w:t>
            </w:r>
          </w:p>
        </w:tc>
      </w:tr>
      <w:tr>
        <w:tc>
          <w:tcPr>
            <w:vMerge w:val="restart"/>
          </w:tcPr>
          <w:p>
            <w:r>
              <w:t xml:space="preserve">Alpine</w:t>
            </w:r>
          </w:p>
        </w:tc>
        <w:tc>
          <w:p>
            <w:r>
              <w:t xml:space="preserve">Print</w:t>
            </w:r>
          </w:p>
        </w:tc>
        <w:tc>
          <w:p>
            <w:r>
              <w:t xml:space="preserve">3,410</w:t>
            </w:r>
          </w:p>
        </w:tc>
      </w:tr>
      <w:tr>
        <w:tc>
          <w:tcPr>
            <w:vMerge/>
          </w:tcPr>
          <w:p/>
        </w:tc>
        <w:tc>
          <w:p>
            <w:r>
              <w:t xml:space="preserve">Digital</w:t>
            </w:r>
          </w:p>
        </w:tc>
        <w:tc>
          <w:p>
            <w:r>
              <w:t xml:space="preserve">1,240</w:t>
            </w:r>
          </w:p>
        </w:tc>
      </w:tr>
      <w:tr>
        <w:tc>
          <w:p>
            <w:r>
              <w:t xml:space="preserve">Harbour</w:t>
            </w:r>
          </w:p>
        </w:tc>
        <w:tc>
          <w:p>
            <w:r>
              <w:t xml:space="preserve">Print</w:t>
            </w:r>
          </w:p>
        </w:tc>
        <w:tc>
          <w:p>
            <w:r>
              <w:t xml:space="preserve">2,905</w:t>
            </w:r>
          </w:p>
        </w:tc>
      </w:tr>
      <w:tr>
        <w:tc>
          <w:p>
            <w:r>
              <w:t xml:space="preserve">Harbour</w:t>
            </w:r>
          </w:p>
        </w:tc>
        <w:tc>
          <w:p>
            <w:r>
              <w:t xml:space="preserve">Digital</w:t>
            </w:r>
          </w:p>
        </w:tc>
        <w:tc>
          <w:p>
            <w:r>
              <w:t xml:space="preserve">1,470</w:t>
            </w:r>
          </w:p>
        </w:tc>
      </w:tr>
      <w:tr>
        <w:tc>
          <w:p>
            <w:r>
              <w:t xml:space="preserve">Plateau</w:t>
            </w:r>
          </w:p>
        </w:tc>
        <w:tc>
          <w:p>
            <w:r>
              <w:t xml:space="preserve">Print</w:t>
            </w:r>
          </w:p>
        </w:tc>
        <w:tc>
          <w:p>
            <w:r>
              <w:t xml:space="preserve">2,000</w:t>
            </w:r>
          </w:p>
        </w:tc>
      </w:tr>
      <w:tr>
        <w:tc>
          <w:p>
            <w:r>
              <w:t xml:space="preserve">Plateau</w:t>
            </w:r>
          </w:p>
        </w:tc>
        <w:tc>
          <w:p>
            <w:r>
              <w:t xml:space="preserve">Digital</w:t>
            </w:r>
          </w:p>
        </w:tc>
        <w:tc>
          <w:p>
            <w:r>
              <w:t xml:space="preserve">1,585</w:t>
            </w:r>
          </w:p>
        </w:tc>
      </w:tr>
    </w:tbl>
    <w:p>
      <w:r>
        <w:t xml:space="preserve">The Alpine routes remain the house's backbone, and the plateau's digital growth is the story of the year: a region that took its first print delivery only six years ago now opens more editions on screens than it receives on paper.</w:t>
      </w:r>
    </w:p>
    <w:p>
      <w:r>
        <w:drawing>
          <wp:inline distT="0" distB="0" distL="0" distR="0">
            <wp:extent cx="1524000" cy="1016000"/>
            <wp:docPr id="1" name="Plate mark"/>
            <a:graphic>
              <a:graphicData uri="http://schemas.openxmlformats.org/drawingml/2006/picture">
                <pic:pic>
                  <pic:nvPicPr>
                    <pic:cNvPr id="0" name="plate-mark.png"/>
                    <pic:cNvPicPr/>
                  </pic:nvPicPr>
                  <pic:blipFill>
                    <a:blip r:embed="rId100"/>
                    <a:stretch>
                      <a:fillRect/>
                    </a:stretch>
                  </pic:blipFill>
                  <pic:spPr>
                    <a:xfrm>
                      <a:off x="0" y="0"/>
                      <a:ext cx="1524000" cy="1016000"/>
                    </a:xfrm>
                    <a:prstGeom prst="rect">
                      <a:avLst/>
                    </a:prstGeom>
                  </pic:spPr>
                </pic:pic>
              </a:graphicData>
            </a:graphic>
          </wp:inline>
        </w:drawing>
      </w:r>
    </w:p>
    <w:p>
      <w:pPr>
        <w:pStyle w:val="Caption"/>
      </w:pPr>
      <w:r>
        <w:t xml:space="preserve">The plate mark, as it appears on every signature this house folds.</w:t>
      </w:r>
    </w:p>
    <w:p>
      <w:pPr>
        <w:pStyle w:val="Heading2"/>
      </w:pPr>
      <w:r>
        <w:t xml:space="preserve">Digital editions</w:t>
      </w:r>
    </w:p>
    <w:p>
      <w:r>
        <w:t xml:space="preserve">The full tables, the route maps, and the month-by-month tallies live in the online annual at </w:t>
      </w:r>
      <w:hyperlink r:id="rId50">
        <w:r>
          <w:t>paged.media/annual</w:t>
        </w:r>
      </w:hyperlink>
      <w:r>
        <w:t xml:space="preserve">, and the counting rules themselves are documented, in more words than they deserve, at </w:t>
      </w:r>
      <w:fldSimple w:instr="HYPERLINK &quot;https://docs.paged.media/&quot;">
        <w:r>
          <w:t>docs.paged.media</w:t>
        </w:r>
      </w:fldSimple>
      <w:r>
        <w:t xml:space="preserve">. Subscribers moved between the two channels all year without ceremony</w:t>
      </w:r>
      <w:r>
        <w:footnoteReference w:id="3"/>
      </w:r>
      <w:r>
        <w:t xml:space="preserve"> and the report treats them as one readership with two doors.</w:t>
      </w:r>
    </w:p>
    <w:p>
      <w:pPr>
        <w:tabs>
          <w:tab w:val="right" w:leader="dot" w:pos="4320"/>
        </w:tabs>
      </w:pPr>
      <w:r>
        <w:t xml:space="preserve">Largest single run (Q4)</w:t>
      </w:r>
      <w:r>
        <w:tab/>
      </w:r>
      <w:r>
        <w:t xml:space="preserve">2,390 copies</w:t>
      </w:r>
    </w:p>
    <w:p>
      <w:pPr>
        <w:tabs>
          <w:tab w:val="right" w:leader="dot" w:pos="4320"/>
        </w:tabs>
      </w:pPr>
      <w:r>
        <w:t xml:space="preserve">Spoilage, full year</w:t>
      </w:r>
      <w:r>
        <w:tab/>
      </w:r>
      <w:r>
        <w:t xml:space="preserve">3.7 percent</w:t>
      </w:r>
    </w:p>
    <w:p>
      <w:pPr>
        <w:tabs>
          <w:tab w:val="right" w:leader="dot" w:pos="4320"/>
        </w:tabs>
      </w:pPr>
      <w:r>
        <w:t xml:space="preserve">Editions gone to a second printing</w:t>
      </w:r>
      <w:r>
        <w:tab/>
      </w:r>
      <w:r>
        <w:t xml:space="preserve">3</w:t>
      </w:r>
    </w:p>
    <w:p>
      <w:r>
        <w:t xml:space="preserve">Next year's targets are set the way this house has always set them: one more route, one fewer excuse, and a spoilage figure that keeps its head below four. The presses are ready. So is the dock.</w:t>
      </w:r>
    </w:p>
    <w:sectPr>
      <w:pgSz w:w="10800" w:h="14400"/>
      <w:pgMar w:top="1080" w:right="1080" w:bottom="1080" w:left="108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2">
    <w:p>
      <w:r>
        <w:t xml:space="preserve">Counted at the loading dock, not at the press: a copy that never leaves the building is not circulation, whatever the counter on the folder says.</w:t>
      </w:r>
    </w:p>
  </w:footnote>
  <w:footnote w:id="3">
    <w:p>
      <w:r>
        <w:t xml:space="preserve">Digital editions are tallied on the first open, once per subscriber per issue. Repeat opens are a compliment, not a copy.</w:t>
      </w:r>
    </w:p>
  </w:footnote>
</w:footnotes>
</file>

<file path=word/numbering.xml><?xml version="1.0" encoding="utf-8"?>
<w:numbering xmlns:w="http://schemas.openxmlformats.org/wordprocessingml/2006/main">
  <w:abstractNum w:abstractNumId="0">
    <w:lvl w:ilvl="0">
      <w:numFmt w:val="bullet"/>
      <w:lvlText w:val=""/>
      <w:pPr>
        <w:ind w:left="720" w:hanging="360"/>
      </w:pPr>
    </w:lvl>
    <w:lvl w:ilvl="1">
      <w:numFmt w:val="bullet"/>
      <w:lvlText w:val="–"/>
      <w:pPr>
        <w:ind w:left="1440" w:hanging="360"/>
      </w:pPr>
    </w:lvl>
  </w:abstractNum>
  <w:abstractNum w:abstractNumId="1">
    <w:lvl w:ilvl="0">
      <w:numFmt w:val="decimal"/>
      <w:lvlText w:val="%1."/>
      <w:pPr>
        <w:ind w:left="720" w:hanging="360"/>
      </w:pPr>
    </w:lvl>
    <w:lvl w:ilvl="1">
      <w:numFmt w:val="decimal"/>
      <w:lvlText w:val="%1.%2."/>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sz w:val="21"/>
      </w:rPr>
    </w:rPrDefault>
    <w:pPrDefault>
      <w:pPr>
        <w:spacing w:after="120"/>
      </w:pPr>
    </w:pPrDefault>
  </w:docDefaults>
  <w:style w:type="paragraph" w:styleId="Normal">
    <w:name w:val="Normal"/>
  </w:style>
  <w:style w:type="paragraph" w:styleId="Heading1">
    <w:name w:val="heading 1"/>
    <w:basedOn w:val="Normal"/>
    <w:pPr>
      <w:keepNext/>
      <w:spacing w:before="240" w:after="180"/>
    </w:pPr>
    <w:rPr>
      <w:b/>
      <w:sz w:val="56"/>
    </w:rPr>
  </w:style>
  <w:style w:type="paragraph" w:styleId="Heading2">
    <w:name w:val="heading 2"/>
    <w:basedOn w:val="Normal"/>
    <w:pPr>
      <w:keepNext/>
      <w:spacing w:before="200" w:after="120"/>
    </w:pPr>
    <w:rPr>
      <w:b/>
      <w:sz w:val="32"/>
    </w:rPr>
  </w:style>
  <w:style w:type="paragraph" w:styleId="Caption">
    <w:name w:val="caption"/>
    <w:basedOn w:val="Normal"/>
    <w:pPr>
      <w:jc w:val="center"/>
    </w:pPr>
    <w:rPr>
      <w:i/>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50" Type="http://schemas.openxmlformats.org/officeDocument/2006/relationships/hyperlink" Target="https://paged.media/annual" TargetMode="External"/>
  <Relationship Id="rId100" Type="http://schemas.openxmlformats.org/officeDocument/2006/relationships/image" Target="media/plate-mark.png"/>
</Relationships>
</file>