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648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Spett. le</w:t>
      </w:r>
    </w:p>
    <w:p w:rsidR="00000000" w:rsidDel="00000000" w:rsidP="00000000" w:rsidRDefault="00000000" w:rsidRPr="00000000" w14:paraId="00000002">
      <w:pPr>
        <w:pageBreakBefore w:val="0"/>
        <w:ind w:left="6480" w:firstLine="0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PagoPA S.p.A.</w:t>
      </w:r>
    </w:p>
    <w:p w:rsidR="00000000" w:rsidDel="00000000" w:rsidP="00000000" w:rsidRDefault="00000000" w:rsidRPr="00000000" w14:paraId="00000003">
      <w:pPr>
        <w:pageBreakBefore w:val="0"/>
        <w:ind w:left="648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Piazza Colonna 370</w:t>
      </w:r>
    </w:p>
    <w:p w:rsidR="00000000" w:rsidDel="00000000" w:rsidP="00000000" w:rsidRDefault="00000000" w:rsidRPr="00000000" w14:paraId="00000004">
      <w:pPr>
        <w:pageBreakBefore w:val="0"/>
        <w:ind w:left="648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00187 - Roma</w:t>
      </w:r>
    </w:p>
    <w:p w:rsidR="00000000" w:rsidDel="00000000" w:rsidP="00000000" w:rsidRDefault="00000000" w:rsidRPr="00000000" w14:paraId="00000005">
      <w:pPr>
        <w:pageBreakBefore w:val="0"/>
        <w:ind w:left="648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4320" w:firstLine="720"/>
        <w:rPr>
          <w:rFonts w:ascii="Titillium Web" w:cs="Titillium Web" w:eastAsia="Titillium Web" w:hAnsi="Titillium Web"/>
          <w:i w:val="1"/>
        </w:rPr>
      </w:pPr>
      <w:r w:rsidDel="00000000" w:rsidR="00000000" w:rsidRPr="00000000">
        <w:rPr>
          <w:rFonts w:ascii="Titillium Web" w:cs="Titillium Web" w:eastAsia="Titillium Web" w:hAnsi="Titillium Web"/>
          <w:i w:val="1"/>
          <w:rtl w:val="0"/>
        </w:rPr>
        <w:t xml:space="preserve">Solo via e-mail: </w:t>
      </w:r>
      <w:hyperlink r:id="rId6">
        <w:r w:rsidDel="00000000" w:rsidR="00000000" w:rsidRPr="00000000">
          <w:rPr>
            <w:rFonts w:ascii="Titillium Web" w:cs="Titillium Web" w:eastAsia="Titillium Web" w:hAnsi="Titillium Web"/>
            <w:i w:val="1"/>
            <w:color w:val="1155cc"/>
            <w:u w:val="single"/>
            <w:rtl w:val="0"/>
          </w:rPr>
          <w:t xml:space="preserve">comunicazione@pagopa.it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4320" w:firstLine="720"/>
        <w:rPr>
          <w:rFonts w:ascii="Titillium Web" w:cs="Titillium Web" w:eastAsia="Titillium Web" w:hAnsi="Titillium Web"/>
          <w:i w:val="1"/>
        </w:rPr>
      </w:pPr>
      <w:r w:rsidDel="00000000" w:rsidR="00000000" w:rsidRPr="00000000">
        <w:rPr>
          <w:rFonts w:ascii="Titillium Web" w:cs="Titillium Web" w:eastAsia="Titillium Web" w:hAnsi="Titillium Web"/>
          <w:i w:val="1"/>
          <w:rtl w:val="0"/>
        </w:rPr>
        <w:t xml:space="preserve">cc via e-mail: </w:t>
      </w:r>
      <w:hyperlink r:id="rId7">
        <w:r w:rsidDel="00000000" w:rsidR="00000000" w:rsidRPr="00000000">
          <w:rPr>
            <w:rFonts w:ascii="Titillium Web" w:cs="Titillium Web" w:eastAsia="Titillium Web" w:hAnsi="Titillium Web"/>
            <w:i w:val="1"/>
            <w:color w:val="1155cc"/>
            <w:u w:val="single"/>
            <w:rtl w:val="0"/>
          </w:rPr>
          <w:t xml:space="preserve">legal@pagopa.it</w:t>
        </w:r>
      </w:hyperlink>
      <w:r w:rsidDel="00000000" w:rsidR="00000000" w:rsidRPr="00000000">
        <w:rPr>
          <w:rFonts w:ascii="Titillium Web" w:cs="Titillium Web" w:eastAsia="Titillium Web" w:hAnsi="Titillium Web"/>
          <w:i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ind w:left="6480" w:firstLine="0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Titillium Web SemiBold" w:cs="Titillium Web SemiBold" w:eastAsia="Titillium Web SemiBold" w:hAnsi="Titillium Web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Titillium Web SemiBold" w:cs="Titillium Web SemiBold" w:eastAsia="Titillium Web SemiBold" w:hAnsi="Titillium Web SemiBold"/>
        </w:rPr>
      </w:pPr>
      <w:r w:rsidDel="00000000" w:rsidR="00000000" w:rsidRPr="00000000">
        <w:rPr>
          <w:rFonts w:ascii="Titillium Web SemiBold" w:cs="Titillium Web SemiBold" w:eastAsia="Titillium Web SemiBold" w:hAnsi="Titillium Web SemiBold"/>
          <w:rtl w:val="0"/>
        </w:rPr>
        <w:t xml:space="preserve">Richiesta di autorizzazione all’uso dei Marchi di PagoPA S.p.A.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Il/la sottoscritto/a ________________________, nato/a a ________________________ il ________,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in qualità di legale rappresentante di ________________________,  con sede in ________________________, via/piazza ________________________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, codice fiscale ________________________, partita IVA ________________________, di seguito “</w:t>
      </w: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Richiedente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”-</w:t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CHIEDE</w:t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il rilascio dell’autorizzazione all’uso dei seguenti Marchi di PagoPA S.p.A.:</w:t>
      </w:r>
    </w:p>
    <w:p w:rsidR="00000000" w:rsidDel="00000000" w:rsidP="00000000" w:rsidRDefault="00000000" w:rsidRPr="00000000" w14:paraId="00000011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1215"/>
        <w:tblGridChange w:id="0">
          <w:tblGrid>
            <w:gridCol w:w="7785"/>
            <w:gridCol w:w="1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pagoPA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 - è il marchio collettivo che contraddistingue la Piattaforma pagoPA, ossia la piattaforma di pagamento di cui all’art. 5 del CAD</w:t>
            </w:r>
          </w:p>
          <w:tbl>
            <w:tblPr>
              <w:tblStyle w:val="Table2"/>
              <w:tblW w:w="1485.0" w:type="dxa"/>
              <w:jc w:val="left"/>
              <w:tblInd w:w="4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85"/>
              <w:tblGridChange w:id="0">
                <w:tblGrid>
                  <w:gridCol w:w="1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3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tillium Web" w:cs="Titillium Web" w:eastAsia="Titillium Web" w:hAnsi="Titillium Web"/>
                    </w:rPr>
                  </w:pPr>
                  <w:r w:rsidDel="00000000" w:rsidR="00000000" w:rsidRPr="00000000">
                    <w:rPr>
                      <w:rFonts w:ascii="Titillium Web" w:cs="Titillium Web" w:eastAsia="Titillium Web" w:hAnsi="Titillium Web"/>
                    </w:rPr>
                    <w:drawing>
                      <wp:inline distB="114300" distT="114300" distL="114300" distR="114300">
                        <wp:extent cx="623888" cy="490698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 b="10961" l="9411" r="11764" t="259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3888" cy="49069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pageBreakBefore w:val="0"/>
              <w:ind w:left="720" w:firstLine="0"/>
              <w:jc w:val="both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IO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 - è il marchio individuale che contraddistingue l’App IO e la piattaforma di cui all’art. 64-bis del CAD (di seguito “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IO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”)</w:t>
            </w:r>
          </w:p>
          <w:p w:rsidR="00000000" w:rsidDel="00000000" w:rsidP="00000000" w:rsidRDefault="00000000" w:rsidRPr="00000000" w14:paraId="0000001B">
            <w:pPr>
              <w:pageBreakBefore w:val="0"/>
              <w:ind w:left="720" w:firstLine="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85.0" w:type="dxa"/>
              <w:jc w:val="left"/>
              <w:tblInd w:w="4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85"/>
              <w:tblGridChange w:id="0">
                <w:tblGrid>
                  <w:gridCol w:w="14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line="240" w:lineRule="auto"/>
                    <w:rPr>
                      <w:rFonts w:ascii="Titillium Web" w:cs="Titillium Web" w:eastAsia="Titillium Web" w:hAnsi="Titillium Web"/>
                    </w:rPr>
                  </w:pPr>
                  <w:r w:rsidDel="00000000" w:rsidR="00000000" w:rsidRPr="00000000">
                    <w:rPr>
                      <w:rFonts w:ascii="Titillium Web" w:cs="Titillium Web" w:eastAsia="Titillium Web" w:hAnsi="Titillium Web"/>
                    </w:rPr>
                    <w:drawing>
                      <wp:inline distB="114300" distT="114300" distL="114300" distR="114300">
                        <wp:extent cx="481013" cy="414411"/>
                        <wp:effectExtent b="0" l="0" r="0" t="0"/>
                        <wp:docPr id="1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9"/>
                                <a:srcRect b="13846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1013" cy="41441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⬚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PagoPA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 - sono i marchi individuali che contraddistinguono la società PagoPA S.p.A.</w:t>
            </w:r>
          </w:p>
          <w:p w:rsidR="00000000" w:rsidDel="00000000" w:rsidP="00000000" w:rsidRDefault="00000000" w:rsidRPr="00000000" w14:paraId="00000023">
            <w:pPr>
              <w:pageBreakBefore w:val="0"/>
              <w:ind w:left="720" w:firstLine="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Ind w:w="4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625"/>
              <w:tblGridChange w:id="0">
                <w:tblGrid>
                  <w:gridCol w:w="8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pageBreakBefore w:val="0"/>
                    <w:spacing w:after="80" w:before="120" w:line="288" w:lineRule="auto"/>
                    <w:ind w:right="19.1338582677173"/>
                    <w:jc w:val="center"/>
                    <w:rPr>
                      <w:rFonts w:ascii="Titillium Web" w:cs="Titillium Web" w:eastAsia="Titillium Web" w:hAnsi="Titillium Web"/>
                    </w:rPr>
                  </w:pPr>
                  <w:r w:rsidDel="00000000" w:rsidR="00000000" w:rsidRPr="00000000">
                    <w:rPr>
                      <w:rFonts w:ascii="Montserrat" w:cs="Montserrat" w:eastAsia="Montserrat" w:hAnsi="Montserrat"/>
                      <w:color w:val="434343"/>
                      <w:sz w:val="14"/>
                      <w:szCs w:val="14"/>
                    </w:rPr>
                    <w:drawing>
                      <wp:inline distB="114300" distT="114300" distL="114300" distR="114300">
                        <wp:extent cx="1087379" cy="304743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7379" cy="30474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434343"/>
                      <w:sz w:val="14"/>
                      <w:szCs w:val="14"/>
                      <w:rtl w:val="0"/>
                    </w:rPr>
                    <w:t xml:space="preserve">                     </w:t>
                  </w:r>
                  <w:r w:rsidDel="00000000" w:rsidR="00000000" w:rsidRPr="00000000">
                    <w:rPr>
                      <w:rFonts w:ascii="Montserrat" w:cs="Montserrat" w:eastAsia="Montserrat" w:hAnsi="Montserrat"/>
                      <w:color w:val="434343"/>
                      <w:sz w:val="14"/>
                      <w:szCs w:val="14"/>
                    </w:rPr>
                    <w:drawing>
                      <wp:inline distB="114300" distT="114300" distL="114300" distR="114300">
                        <wp:extent cx="350838" cy="350838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838" cy="3508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    D   SEND 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-</w:t>
            </w:r>
            <w:r w:rsidDel="00000000" w:rsidR="00000000" w:rsidRPr="00000000">
              <w:rPr>
                <w:rFonts w:ascii="Titillium Web" w:cs="Titillium Web" w:eastAsia="Titillium Web" w:hAnsi="Titillium Web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 è il marchio individuale che contraddistingue la piattaforma digitale di cui all’art. 26 del D.L. 76/2020 </w:t>
            </w:r>
            <w:r w:rsidDel="00000000" w:rsidR="00000000" w:rsidRPr="00000000">
              <w:rPr>
                <w:rFonts w:ascii="Titillium Web" w:cs="Titillium Web" w:eastAsia="Titillium Web" w:hAnsi="Titillium Web"/>
                <w:rtl w:val="0"/>
              </w:rPr>
              <w:t xml:space="preserve">utilizzata dalle Amministrazioni di cui al comma 2, lettera c), del predetto articolo per effettuare, con valore legale, le notifiche di atti, provvedimenti, avvisi e comunicazioni.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ind w:left="720" w:firstLine="0"/>
              <w:jc w:val="both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1400175</wp:posOffset>
                  </wp:positionH>
                  <wp:positionV relativeFrom="paragraph">
                    <wp:posOffset>200025</wp:posOffset>
                  </wp:positionV>
                  <wp:extent cx="2278170" cy="824755"/>
                  <wp:effectExtent b="0" l="0" r="0" t="0"/>
                  <wp:wrapNone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33325" l="0" r="0" t="30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170" cy="824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tillium Web" w:cs="Titillium Web" w:eastAsia="Titillium Web" w:hAnsi="Titillium Web"/>
                <w:b w:val="1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⬚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ai termini e condizioni di cui alla presente, dichiarando di voler utilizzare i Marchi esclusivamente per: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⬚ Utilizzo cartaceo: _________________________________________________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⬚ Utilizzo digitale: __________________________________________________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⬚ Altro utilizzo: ____________________________________________________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Descrivere di seguito, nel dettaglio, la destinazione d'uso dei Marchi, la natura privata o pubblica dell'uso, la presenza di altri segni distintivi di terzi e qualunque altra informazione necessaria ai fini della concessione della licenza: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tillium Web" w:cs="Titillium Web" w:eastAsia="Titillium Web" w:hAnsi="Titillium We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Allegare alla presente richiesta: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ind w:left="720" w:hanging="360"/>
        <w:jc w:val="both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la documentazione grafica completa della destinazione d'uso, anche mediante il reindirizzamento ad un link web in caso di utilizzo digitale;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jc w:val="both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i testi di accompagnamento, compresi eventuali comunicati stampa;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jc w:val="both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ogni altra documentazione necessaria ai fini della concessione della licenza.</w:t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DICHIARA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⬚ di aver stipulato con PagoPA S.p.A. l’accordo </w:t>
      </w:r>
      <w:r w:rsidDel="00000000" w:rsidR="00000000" w:rsidRPr="00000000">
        <w:rPr>
          <w:rFonts w:ascii="Titillium Web" w:cs="Titillium Web" w:eastAsia="Titillium Web" w:hAnsi="Titillium Web"/>
          <w:i w:val="1"/>
          <w:rtl w:val="0"/>
        </w:rPr>
        <w:t xml:space="preserve">[inserire il tipo di accordo stipulato da cui discenda il diritto all’uso dei Marchi, ad esempio per l’adesione al sistema pagoPA. In caso di più accordi, inserire i dettagli per ciascuno di essi]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______________________ in data ________.</w:t>
      </w:r>
    </w:p>
    <w:p w:rsidR="00000000" w:rsidDel="00000000" w:rsidP="00000000" w:rsidRDefault="00000000" w:rsidRPr="00000000" w14:paraId="00000052">
      <w:pPr>
        <w:pageBreakBefore w:val="0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⬚ di non aver stipulato alcun accordo precedente con PagoPA S.p.A..</w:t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center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ACCETTA E RICONOSCE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720" w:hanging="360"/>
        <w:jc w:val="both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Che la licenza viene rilasciata a condizione che vengano rispettati in ogni momento i termini degli accordi e delle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Linee Guida per l’uso dei Marchi di PagoPA S.p.A e dei documenti ivi richiamati,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che il Richiedente dichiara di conoscere e comprendere, e ai quali accetta di conformarsi.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jc w:val="both"/>
        <w:rPr>
          <w:rFonts w:ascii="Titillium Web" w:cs="Titillium Web" w:eastAsia="Titillium Web" w:hAnsi="Titillium Web"/>
          <w:u w:val="none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Che r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icevute le informazioni necessarie, PagoPA S.p.A. si riserva il diritto di valutare discrezionalmente la concessione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di una licenza specifica per l'uso dei Marchi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, fermo restando che: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l’assenza di riscontro non può in alcun modo essere intesa come una licenza implicita per l'uso dei Marchi;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ind w:left="144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la licenza eventualmente concessa si intende non esclusiva, revocabile, non trasferibile ed è limitata allo specifico uso ivi approvato, non costituisce licenza generale e può essere in ogni momento revocata da PagoPA S.p.A. qualora venga rilevato un uso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dubbio o non conforme.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ind w:left="720" w:hanging="36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Che l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a licenza si intende concessa </w:t>
      </w: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solo previa approvazione per iscritto della Licenziante, alle condizioni da essa indicate, fermo restando che qualunque utilizzo diverso da quello eventualmente approvato dovrà essere nuovamente valutato dalla Licenziante.</w:t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(Luogo e data) _________________________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both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both"/>
        <w:rPr>
          <w:rFonts w:ascii="Titillium Web" w:cs="Titillium Web" w:eastAsia="Titillium Web" w:hAnsi="Titillium Web"/>
          <w:b w:val="1"/>
        </w:rPr>
      </w:pPr>
      <w:r w:rsidDel="00000000" w:rsidR="00000000" w:rsidRPr="00000000">
        <w:rPr>
          <w:rFonts w:ascii="Titillium Web" w:cs="Titillium Web" w:eastAsia="Titillium Web" w:hAnsi="Titillium Web"/>
          <w:b w:val="1"/>
          <w:rtl w:val="0"/>
        </w:rPr>
        <w:t xml:space="preserve">Il Richiedente</w:t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(Nome e Cognome) ______________________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Fonts w:ascii="Titillium Web" w:cs="Titillium Web" w:eastAsia="Titillium Web" w:hAnsi="Titillium Web"/>
          <w:rtl w:val="0"/>
        </w:rPr>
        <w:t xml:space="preserve">(Firma)  ______________________________</w:t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both"/>
        <w:rPr>
          <w:rFonts w:ascii="Titillium Web" w:cs="Titillium Web" w:eastAsia="Titillium Web" w:hAnsi="Titillium Web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itillium Web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va Mono">
    <w:embedRegular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ageBreakBefore w:val="0"/>
      <w:jc w:val="right"/>
      <w:rPr>
        <w:rFonts w:ascii="Titillium Web" w:cs="Titillium Web" w:eastAsia="Titillium Web" w:hAnsi="Titillium Web"/>
      </w:rPr>
    </w:pPr>
    <w:r w:rsidDel="00000000" w:rsidR="00000000" w:rsidRPr="00000000">
      <w:rPr>
        <w:rFonts w:ascii="Titillium Web" w:cs="Titillium Web" w:eastAsia="Titillium Web" w:hAnsi="Titillium Web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mailto:comunicazione@pagopa.it" TargetMode="External"/><Relationship Id="rId7" Type="http://schemas.openxmlformats.org/officeDocument/2006/relationships/hyperlink" Target="mailto:legal@pagopa.i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TitilliumWeb-italic.ttf"/><Relationship Id="rId10" Type="http://schemas.openxmlformats.org/officeDocument/2006/relationships/font" Target="fonts/TitilliumWeb-bold.ttf"/><Relationship Id="rId13" Type="http://schemas.openxmlformats.org/officeDocument/2006/relationships/font" Target="fonts/NovaMono-regular.ttf"/><Relationship Id="rId12" Type="http://schemas.openxmlformats.org/officeDocument/2006/relationships/font" Target="fonts/TitilliumWeb-boldItalic.ttf"/><Relationship Id="rId1" Type="http://schemas.openxmlformats.org/officeDocument/2006/relationships/font" Target="fonts/TitilliumWebSemiBold-regular.ttf"/><Relationship Id="rId2" Type="http://schemas.openxmlformats.org/officeDocument/2006/relationships/font" Target="fonts/TitilliumWebSemiBold-bold.ttf"/><Relationship Id="rId3" Type="http://schemas.openxmlformats.org/officeDocument/2006/relationships/font" Target="fonts/TitilliumWebSemiBold-italic.ttf"/><Relationship Id="rId4" Type="http://schemas.openxmlformats.org/officeDocument/2006/relationships/font" Target="fonts/TitilliumWebSemiBold-boldItalic.ttf"/><Relationship Id="rId9" Type="http://schemas.openxmlformats.org/officeDocument/2006/relationships/font" Target="fonts/TitilliumWeb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