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F4B3" w14:textId="77777777" w:rsidR="00454205" w:rsidRPr="00C556C6" w:rsidRDefault="00454205" w:rsidP="00C556C6">
      <w:pPr>
        <w:pStyle w:val="Standard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</w:rPr>
      </w:pPr>
      <w:r w:rsidRPr="00C556C6">
        <w:rPr>
          <w:rFonts w:ascii="Book Antiqua" w:hAnsi="Book Antiqua" w:cstheme="minorHAnsi"/>
          <w:noProof/>
          <w:color w:val="000000" w:themeColor="text1"/>
          <w:lang w:eastAsia="pt-BR" w:bidi="ar-SA"/>
        </w:rPr>
        <w:drawing>
          <wp:anchor distT="0" distB="0" distL="114300" distR="114300" simplePos="0" relativeHeight="251658752" behindDoc="0" locked="0" layoutInCell="1" allowOverlap="1" wp14:anchorId="3E5C0436" wp14:editId="6B1A6108">
            <wp:simplePos x="0" y="0"/>
            <wp:positionH relativeFrom="margin">
              <wp:posOffset>2568245</wp:posOffset>
            </wp:positionH>
            <wp:positionV relativeFrom="margin">
              <wp:posOffset>0</wp:posOffset>
            </wp:positionV>
            <wp:extent cx="1981200" cy="657225"/>
            <wp:effectExtent l="0" t="0" r="0" b="9525"/>
            <wp:wrapSquare wrapText="bothSides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56C6">
        <w:rPr>
          <w:rFonts w:ascii="Book Antiqua" w:hAnsi="Book Antiqua" w:cstheme="minorHAnsi"/>
          <w:color w:val="000000" w:themeColor="text1"/>
        </w:rPr>
        <w:tab/>
      </w:r>
    </w:p>
    <w:p w14:paraId="50156BEA" w14:textId="77777777" w:rsidR="00454205" w:rsidRPr="00C556C6" w:rsidRDefault="00454205" w:rsidP="00C556C6">
      <w:pPr>
        <w:pStyle w:val="Standard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</w:rPr>
      </w:pPr>
    </w:p>
    <w:p w14:paraId="60D9D7A2" w14:textId="77777777" w:rsidR="00454205" w:rsidRPr="00C556C6" w:rsidRDefault="00454205" w:rsidP="00C556C6">
      <w:pPr>
        <w:pStyle w:val="Standard"/>
        <w:spacing w:line="360" w:lineRule="auto"/>
        <w:ind w:firstLine="567"/>
        <w:jc w:val="both"/>
        <w:rPr>
          <w:rFonts w:ascii="Book Antiqua" w:hAnsi="Book Antiqua" w:cstheme="minorHAnsi"/>
          <w:b/>
          <w:bCs/>
          <w:iCs/>
          <w:color w:val="000000" w:themeColor="text1"/>
        </w:rPr>
      </w:pPr>
      <w:r w:rsidRPr="00C556C6">
        <w:rPr>
          <w:rFonts w:ascii="Book Antiqua" w:hAnsi="Book Antiqua" w:cstheme="minorHAnsi"/>
          <w:color w:val="000000" w:themeColor="text1"/>
        </w:rPr>
        <w:tab/>
      </w:r>
      <w:r w:rsidRPr="00C556C6">
        <w:rPr>
          <w:rFonts w:ascii="Book Antiqua" w:hAnsi="Book Antiqua" w:cstheme="minorHAnsi"/>
          <w:color w:val="000000" w:themeColor="text1"/>
        </w:rPr>
        <w:tab/>
      </w:r>
    </w:p>
    <w:p w14:paraId="203243B6" w14:textId="77777777" w:rsidR="00454205" w:rsidRPr="00C556C6" w:rsidRDefault="00454205" w:rsidP="00C556C6">
      <w:pPr>
        <w:pStyle w:val="Standard"/>
        <w:spacing w:line="360" w:lineRule="auto"/>
        <w:ind w:firstLine="567"/>
        <w:jc w:val="center"/>
        <w:rPr>
          <w:rFonts w:ascii="Book Antiqua" w:hAnsi="Book Antiqua" w:cstheme="minorHAnsi"/>
          <w:b/>
          <w:bCs/>
          <w:i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iCs/>
          <w:color w:val="000000" w:themeColor="text1"/>
        </w:rPr>
        <w:t>CÉLULA DE GESTÃO PARA AÇÃO FISCAL</w:t>
      </w:r>
    </w:p>
    <w:p w14:paraId="435C5923" w14:textId="77777777" w:rsidR="00454205" w:rsidRPr="00C556C6" w:rsidRDefault="00E613DA" w:rsidP="00C556C6">
      <w:pPr>
        <w:pStyle w:val="Standard"/>
        <w:spacing w:line="360" w:lineRule="auto"/>
        <w:ind w:firstLine="567"/>
        <w:jc w:val="center"/>
        <w:rPr>
          <w:rFonts w:ascii="Book Antiqua" w:hAnsi="Book Antiqua" w:cstheme="minorHAnsi"/>
          <w:b/>
          <w:bCs/>
          <w:i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iCs/>
          <w:color w:val="000000" w:themeColor="text1"/>
        </w:rPr>
        <w:t>Á</w:t>
      </w:r>
      <w:r w:rsidR="00454205" w:rsidRPr="00C556C6">
        <w:rPr>
          <w:rFonts w:ascii="Book Antiqua" w:hAnsi="Book Antiqua" w:cstheme="minorHAnsi"/>
          <w:b/>
          <w:bCs/>
          <w:iCs/>
          <w:color w:val="000000" w:themeColor="text1"/>
        </w:rPr>
        <w:t>REA DE MERCADORIA EM TRÂNSITO</w:t>
      </w:r>
    </w:p>
    <w:p w14:paraId="48D45A26" w14:textId="77777777" w:rsidR="00454205" w:rsidRPr="00C556C6" w:rsidRDefault="00454205" w:rsidP="00C556C6">
      <w:pPr>
        <w:pStyle w:val="Standard"/>
        <w:spacing w:line="360" w:lineRule="auto"/>
        <w:ind w:firstLine="567"/>
        <w:jc w:val="center"/>
        <w:rPr>
          <w:rFonts w:ascii="Book Antiqua" w:hAnsi="Book Antiqua" w:cstheme="minorHAnsi"/>
          <w:b/>
          <w:bCs/>
          <w:color w:val="000000" w:themeColor="text1"/>
        </w:rPr>
      </w:pPr>
    </w:p>
    <w:p w14:paraId="159333C2" w14:textId="77777777" w:rsidR="00454205" w:rsidRPr="00C556C6" w:rsidRDefault="00A32B12" w:rsidP="00C556C6">
      <w:pPr>
        <w:pStyle w:val="Standard"/>
        <w:spacing w:line="360" w:lineRule="auto"/>
        <w:ind w:firstLine="567"/>
        <w:jc w:val="center"/>
        <w:rPr>
          <w:rFonts w:ascii="Book Antiqua" w:hAnsi="Book Antiqua" w:cstheme="minorHAnsi"/>
          <w:b/>
          <w:color w:val="000000" w:themeColor="text1"/>
        </w:rPr>
      </w:pPr>
      <w:r w:rsidRPr="00C556C6">
        <w:rPr>
          <w:rFonts w:ascii="Book Antiqua" w:hAnsi="Book Antiqua" w:cstheme="minorHAnsi"/>
          <w:b/>
          <w:color w:val="000000" w:themeColor="text1"/>
        </w:rPr>
        <w:t>IDENTIFICAÇÃO DO CONTRIBUINTE</w:t>
      </w:r>
      <w:r w:rsidR="00D07B63" w:rsidRPr="00C556C6">
        <w:rPr>
          <w:rFonts w:ascii="Book Antiqua" w:hAnsi="Book Antiqua" w:cstheme="minorHAnsi"/>
          <w:b/>
          <w:color w:val="000000" w:themeColor="text1"/>
        </w:rPr>
        <w:t>/RESPONSÁVEL</w:t>
      </w:r>
    </w:p>
    <w:p w14:paraId="4B3545AF" w14:textId="77777777" w:rsidR="00A32B12" w:rsidRPr="00A250A1" w:rsidRDefault="00A32B12" w:rsidP="00C556C6">
      <w:pPr>
        <w:pStyle w:val="Standard"/>
        <w:spacing w:line="360" w:lineRule="auto"/>
        <w:ind w:firstLine="567"/>
        <w:jc w:val="both"/>
        <w:rPr>
          <w:rFonts w:ascii="Book Antiqua" w:hAnsi="Book Antiqua" w:cstheme="minorHAnsi"/>
        </w:rPr>
      </w:pPr>
    </w:p>
    <w:p w14:paraId="351CC884" w14:textId="77777777" w:rsidR="00022E5C" w:rsidRPr="00A250A1" w:rsidRDefault="00022E5C" w:rsidP="00022E5C">
      <w:pPr>
        <w:pStyle w:val="Default"/>
        <w:spacing w:line="360" w:lineRule="auto"/>
        <w:ind w:firstLine="567"/>
        <w:jc w:val="both"/>
        <w:rPr>
          <w:rFonts w:ascii="Book Antiqua" w:hAnsi="Book Antiqua" w:cstheme="minorHAnsi"/>
          <w:color w:val="auto"/>
        </w:rPr>
      </w:pPr>
      <w:r w:rsidRPr="00A250A1">
        <w:rPr>
          <w:rFonts w:ascii="Book Antiqua" w:hAnsi="Book Antiqua" w:cstheme="minorHAnsi"/>
          <w:b/>
          <w:bCs/>
          <w:color w:val="auto"/>
        </w:rPr>
        <w:t>Inscrição Estadual</w:t>
      </w:r>
      <w:r w:rsidRPr="00A250A1">
        <w:rPr>
          <w:rFonts w:ascii="Book Antiqua" w:hAnsi="Book Antiqua" w:cstheme="minorHAnsi"/>
          <w:color w:val="auto"/>
        </w:rPr>
        <w:t xml:space="preserve">: </w:t>
      </w:r>
      <w:r w:rsidRPr="00A250A1">
        <w:rPr>
          <w:color w:val="auto"/>
        </w:rPr>
        <w:t>#INSCRICAO</w:t>
      </w:r>
    </w:p>
    <w:p w14:paraId="2C45424D" w14:textId="77777777" w:rsidR="00022E5C" w:rsidRPr="00A250A1" w:rsidRDefault="00022E5C" w:rsidP="00022E5C">
      <w:pPr>
        <w:pStyle w:val="Default"/>
        <w:spacing w:line="360" w:lineRule="auto"/>
        <w:ind w:firstLine="567"/>
        <w:jc w:val="both"/>
        <w:rPr>
          <w:rFonts w:ascii="Book Antiqua" w:hAnsi="Book Antiqua" w:cstheme="minorHAnsi"/>
          <w:color w:val="auto"/>
        </w:rPr>
      </w:pPr>
      <w:r w:rsidRPr="00A250A1">
        <w:rPr>
          <w:rFonts w:ascii="Book Antiqua" w:hAnsi="Book Antiqua" w:cstheme="minorHAnsi"/>
          <w:b/>
          <w:bCs/>
          <w:color w:val="auto"/>
        </w:rPr>
        <w:t>CPF/CNPJ</w:t>
      </w:r>
      <w:r w:rsidRPr="00A250A1">
        <w:rPr>
          <w:rFonts w:ascii="Book Antiqua" w:hAnsi="Book Antiqua" w:cstheme="minorHAnsi"/>
          <w:color w:val="auto"/>
        </w:rPr>
        <w:t>: #CNPJ</w:t>
      </w:r>
    </w:p>
    <w:p w14:paraId="780D4F59" w14:textId="77777777" w:rsidR="00022E5C" w:rsidRPr="00A250A1" w:rsidRDefault="00022E5C" w:rsidP="00022E5C">
      <w:pPr>
        <w:pStyle w:val="Default"/>
        <w:spacing w:line="360" w:lineRule="auto"/>
        <w:ind w:firstLine="567"/>
        <w:jc w:val="both"/>
        <w:rPr>
          <w:color w:val="auto"/>
        </w:rPr>
      </w:pPr>
      <w:r w:rsidRPr="00A250A1">
        <w:rPr>
          <w:rFonts w:ascii="Book Antiqua" w:hAnsi="Book Antiqua" w:cstheme="minorHAnsi"/>
          <w:b/>
          <w:bCs/>
          <w:color w:val="auto"/>
        </w:rPr>
        <w:t>Razão Social</w:t>
      </w:r>
      <w:r w:rsidRPr="00A250A1">
        <w:rPr>
          <w:rFonts w:ascii="Book Antiqua" w:hAnsi="Book Antiqua" w:cstheme="minorHAnsi"/>
          <w:color w:val="auto"/>
        </w:rPr>
        <w:t xml:space="preserve">: </w:t>
      </w:r>
      <w:r w:rsidRPr="00A250A1">
        <w:rPr>
          <w:color w:val="auto"/>
        </w:rPr>
        <w:t>#RAZAO</w:t>
      </w:r>
    </w:p>
    <w:p w14:paraId="6E5CB31B" w14:textId="79177FF4" w:rsidR="00FC34EF" w:rsidRPr="00A250A1" w:rsidRDefault="00FC34EF" w:rsidP="00C556C6">
      <w:pPr>
        <w:pStyle w:val="Default"/>
        <w:spacing w:line="360" w:lineRule="auto"/>
        <w:ind w:firstLine="567"/>
        <w:jc w:val="both"/>
        <w:rPr>
          <w:rFonts w:ascii="Book Antiqua" w:hAnsi="Book Antiqua" w:cstheme="minorHAnsi"/>
          <w:color w:val="auto"/>
        </w:rPr>
      </w:pPr>
      <w:r w:rsidRPr="00A250A1">
        <w:rPr>
          <w:rFonts w:ascii="Book Antiqua" w:hAnsi="Book Antiqua" w:cstheme="minorHAnsi"/>
          <w:b/>
          <w:bCs/>
          <w:color w:val="auto"/>
        </w:rPr>
        <w:t>Assunto</w:t>
      </w:r>
      <w:r w:rsidRPr="00A250A1">
        <w:rPr>
          <w:rFonts w:ascii="Book Antiqua" w:hAnsi="Book Antiqua" w:cstheme="minorHAnsi"/>
          <w:color w:val="auto"/>
        </w:rPr>
        <w:t>: Conversão de TVI/IF em Auto de Infração</w:t>
      </w:r>
    </w:p>
    <w:p w14:paraId="755008F8" w14:textId="77777777" w:rsidR="00FC34EF" w:rsidRPr="00A250A1" w:rsidRDefault="00FC34EF" w:rsidP="00C556C6">
      <w:pPr>
        <w:pStyle w:val="Default"/>
        <w:spacing w:line="360" w:lineRule="auto"/>
        <w:ind w:firstLine="567"/>
        <w:jc w:val="both"/>
        <w:rPr>
          <w:rFonts w:ascii="Book Antiqua" w:hAnsi="Book Antiqua" w:cstheme="minorHAnsi"/>
          <w:color w:val="auto"/>
        </w:rPr>
      </w:pPr>
    </w:p>
    <w:p w14:paraId="1A74FD2B" w14:textId="77777777" w:rsidR="00626934" w:rsidRPr="00A250A1" w:rsidRDefault="00626934" w:rsidP="00C556C6">
      <w:pPr>
        <w:pStyle w:val="Default"/>
        <w:numPr>
          <w:ilvl w:val="0"/>
          <w:numId w:val="13"/>
        </w:numPr>
        <w:spacing w:line="360" w:lineRule="auto"/>
        <w:ind w:left="0" w:firstLine="567"/>
        <w:jc w:val="both"/>
        <w:rPr>
          <w:rFonts w:ascii="Book Antiqua" w:hAnsi="Book Antiqua" w:cstheme="minorHAnsi"/>
          <w:b/>
          <w:color w:val="auto"/>
        </w:rPr>
      </w:pPr>
      <w:r w:rsidRPr="00A250A1">
        <w:rPr>
          <w:rFonts w:ascii="Book Antiqua" w:hAnsi="Book Antiqua" w:cstheme="minorHAnsi"/>
          <w:b/>
          <w:bCs/>
          <w:color w:val="auto"/>
        </w:rPr>
        <w:t>DOS FATOS</w:t>
      </w:r>
    </w:p>
    <w:p w14:paraId="171F79D2" w14:textId="4F64E4F4" w:rsidR="00C70193" w:rsidRDefault="00626934" w:rsidP="00AF1C90">
      <w:pPr>
        <w:pStyle w:val="Default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</w:rPr>
      </w:pPr>
      <w:r w:rsidRPr="00A250A1">
        <w:rPr>
          <w:rFonts w:ascii="Book Antiqua" w:hAnsi="Book Antiqua" w:cstheme="minorHAnsi"/>
          <w:color w:val="auto"/>
        </w:rPr>
        <w:t>Trata-se da conversão do</w:t>
      </w:r>
      <w:r w:rsidR="00267391" w:rsidRPr="00A250A1">
        <w:rPr>
          <w:rFonts w:ascii="Book Antiqua" w:hAnsi="Book Antiqua" w:cstheme="minorHAnsi"/>
          <w:color w:val="auto"/>
        </w:rPr>
        <w:t xml:space="preserve">s </w:t>
      </w:r>
      <w:r w:rsidRPr="00A250A1">
        <w:rPr>
          <w:rFonts w:ascii="Book Antiqua" w:hAnsi="Book Antiqua" w:cstheme="minorHAnsi"/>
          <w:color w:val="auto"/>
        </w:rPr>
        <w:t>TVI</w:t>
      </w:r>
      <w:r w:rsidR="00267391" w:rsidRPr="00A250A1">
        <w:rPr>
          <w:rFonts w:ascii="Book Antiqua" w:hAnsi="Book Antiqua" w:cstheme="minorHAnsi"/>
          <w:color w:val="auto"/>
        </w:rPr>
        <w:t xml:space="preserve">/IF(s) </w:t>
      </w:r>
      <w:r w:rsidR="00022E5C" w:rsidRPr="00A250A1">
        <w:rPr>
          <w:rFonts w:ascii="Book Antiqua" w:hAnsi="Book Antiqua" w:cstheme="minorHAnsi"/>
          <w:color w:val="auto"/>
        </w:rPr>
        <w:t>#TVIS</w:t>
      </w:r>
      <w:r w:rsidR="00C70193" w:rsidRPr="00A250A1">
        <w:rPr>
          <w:rFonts w:ascii="Book Antiqua" w:hAnsi="Book Antiqua" w:cstheme="minorHAnsi"/>
          <w:color w:val="auto"/>
        </w:rPr>
        <w:t xml:space="preserve"> </w:t>
      </w:r>
      <w:r w:rsidRPr="00A250A1">
        <w:rPr>
          <w:rFonts w:ascii="Book Antiqua" w:hAnsi="Book Antiqua" w:cstheme="minorHAnsi"/>
          <w:color w:val="auto"/>
        </w:rPr>
        <w:t xml:space="preserve">não </w:t>
      </w:r>
      <w:r w:rsidRPr="00C556C6">
        <w:rPr>
          <w:rFonts w:ascii="Book Antiqua" w:hAnsi="Book Antiqua" w:cstheme="minorHAnsi"/>
          <w:color w:val="000000" w:themeColor="text1"/>
        </w:rPr>
        <w:t>pag</w:t>
      </w:r>
      <w:r w:rsidR="00B2450A">
        <w:rPr>
          <w:rFonts w:ascii="Book Antiqua" w:hAnsi="Book Antiqua" w:cstheme="minorHAnsi"/>
          <w:color w:val="000000" w:themeColor="text1"/>
        </w:rPr>
        <w:t>o</w:t>
      </w:r>
      <w:r w:rsidRPr="00C556C6">
        <w:rPr>
          <w:rFonts w:ascii="Book Antiqua" w:hAnsi="Book Antiqua" w:cstheme="minorHAnsi"/>
          <w:color w:val="000000" w:themeColor="text1"/>
        </w:rPr>
        <w:t>,</w:t>
      </w:r>
      <w:r w:rsidR="008C1602">
        <w:rPr>
          <w:rFonts w:ascii="Book Antiqua" w:hAnsi="Book Antiqua" w:cstheme="minorHAnsi"/>
          <w:color w:val="000000" w:themeColor="text1"/>
        </w:rPr>
        <w:t xml:space="preserve"> </w:t>
      </w:r>
      <w:r w:rsidR="00B2450A" w:rsidRPr="00C556C6">
        <w:rPr>
          <w:rFonts w:ascii="Book Antiqua" w:hAnsi="Book Antiqua" w:cstheme="minorHAnsi"/>
          <w:color w:val="000000" w:themeColor="text1"/>
        </w:rPr>
        <w:t>em Auto de Infração</w:t>
      </w:r>
      <w:r w:rsidR="00B2450A">
        <w:rPr>
          <w:rFonts w:ascii="Book Antiqua" w:hAnsi="Book Antiqua" w:cstheme="minorHAnsi"/>
          <w:color w:val="000000" w:themeColor="text1"/>
        </w:rPr>
        <w:t xml:space="preserve">, </w:t>
      </w:r>
      <w:r w:rsidRPr="00C556C6">
        <w:rPr>
          <w:rFonts w:ascii="Book Antiqua" w:hAnsi="Book Antiqua" w:cstheme="minorHAnsi"/>
          <w:color w:val="000000" w:themeColor="text1"/>
        </w:rPr>
        <w:t>oriundo</w:t>
      </w:r>
      <w:r w:rsidR="00267391">
        <w:rPr>
          <w:rFonts w:ascii="Book Antiqua" w:hAnsi="Book Antiqua" w:cstheme="minorHAnsi"/>
          <w:color w:val="000000" w:themeColor="text1"/>
        </w:rPr>
        <w:t xml:space="preserve">s </w:t>
      </w:r>
      <w:r w:rsidRPr="00C556C6">
        <w:rPr>
          <w:rFonts w:ascii="Book Antiqua" w:hAnsi="Book Antiqua" w:cstheme="minorHAnsi"/>
          <w:color w:val="000000" w:themeColor="text1"/>
        </w:rPr>
        <w:t xml:space="preserve">de circulação de mercadorias, </w:t>
      </w:r>
      <w:r w:rsidR="000C32DE" w:rsidRPr="000C32DE">
        <w:rPr>
          <w:rFonts w:ascii="Book Antiqua" w:hAnsi="Book Antiqua" w:cstheme="minorHAnsi"/>
          <w:color w:val="000000" w:themeColor="text1"/>
        </w:rPr>
        <w:t>fundamentados em SUSPENSÃO DE OFÍCIO, constantes na conta fiscal de contribuinte, enquanto este permanece no Regime de Apuração Normal.</w:t>
      </w:r>
    </w:p>
    <w:p w14:paraId="33684140" w14:textId="77777777" w:rsidR="00626934" w:rsidRDefault="00626934" w:rsidP="00C556C6">
      <w:pPr>
        <w:pStyle w:val="Default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419C07CC" w14:textId="77777777" w:rsidR="009110E8" w:rsidRPr="00C556C6" w:rsidRDefault="00177D53" w:rsidP="00C556C6">
      <w:pPr>
        <w:pStyle w:val="Default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ENQUADRAMENTO</w:t>
      </w:r>
    </w:p>
    <w:p w14:paraId="19E3E4E5" w14:textId="77777777" w:rsidR="009110E8" w:rsidRPr="00C556C6" w:rsidRDefault="009110E8" w:rsidP="00C556C6">
      <w:pPr>
        <w:pStyle w:val="Default"/>
        <w:ind w:firstLine="567"/>
        <w:jc w:val="both"/>
        <w:rPr>
          <w:rFonts w:ascii="Book Antiqua" w:hAnsi="Book Antiqua" w:cstheme="minorHAnsi"/>
          <w:bCs/>
          <w:color w:val="000000" w:themeColor="text1"/>
        </w:rPr>
      </w:pPr>
    </w:p>
    <w:tbl>
      <w:tblPr>
        <w:tblStyle w:val="Tabelacomgrade"/>
        <w:tblW w:w="8500" w:type="dxa"/>
        <w:jc w:val="center"/>
        <w:tblLook w:val="04A0" w:firstRow="1" w:lastRow="0" w:firstColumn="1" w:lastColumn="0" w:noHBand="0" w:noVBand="1"/>
      </w:tblPr>
      <w:tblGrid>
        <w:gridCol w:w="2405"/>
        <w:gridCol w:w="6095"/>
      </w:tblGrid>
      <w:tr w:rsidR="000C32DE" w:rsidRPr="006D0172" w14:paraId="60BDC306" w14:textId="77777777" w:rsidTr="000C32DE">
        <w:trPr>
          <w:trHeight w:val="421"/>
          <w:jc w:val="center"/>
        </w:trPr>
        <w:tc>
          <w:tcPr>
            <w:tcW w:w="2405" w:type="dxa"/>
            <w:vAlign w:val="center"/>
          </w:tcPr>
          <w:p w14:paraId="2D1CDE8E" w14:textId="77777777" w:rsidR="000C32DE" w:rsidRPr="006D0172" w:rsidRDefault="000C32DE" w:rsidP="00045570">
            <w:pPr>
              <w:ind w:firstLine="29"/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Código AI - SIAT</w:t>
            </w:r>
          </w:p>
        </w:tc>
        <w:tc>
          <w:tcPr>
            <w:tcW w:w="6095" w:type="dxa"/>
            <w:vAlign w:val="center"/>
          </w:tcPr>
          <w:p w14:paraId="4792AB2D" w14:textId="77777777" w:rsidR="000C32DE" w:rsidRPr="000C32DE" w:rsidRDefault="000C32DE" w:rsidP="000C32DE">
            <w:pPr>
              <w:jc w:val="center"/>
              <w:rPr>
                <w:rFonts w:ascii="Book Antiqua" w:hAnsi="Book Antiqua"/>
                <w:b/>
                <w:bCs/>
              </w:rPr>
            </w:pPr>
            <w:r w:rsidRPr="000C32DE">
              <w:rPr>
                <w:rFonts w:ascii="Book Antiqua" w:hAnsi="Book Antiqua"/>
                <w:b/>
                <w:bCs/>
              </w:rPr>
              <w:t>34243</w:t>
            </w:r>
          </w:p>
        </w:tc>
      </w:tr>
      <w:tr w:rsidR="000C32DE" w:rsidRPr="006D0172" w14:paraId="36A8CFA7" w14:textId="77777777" w:rsidTr="000C32DE">
        <w:trPr>
          <w:trHeight w:val="412"/>
          <w:jc w:val="center"/>
        </w:trPr>
        <w:tc>
          <w:tcPr>
            <w:tcW w:w="2405" w:type="dxa"/>
            <w:vAlign w:val="center"/>
          </w:tcPr>
          <w:p w14:paraId="6AEFA9AC" w14:textId="77777777" w:rsidR="000C32DE" w:rsidRPr="006D0172" w:rsidRDefault="000C32DE" w:rsidP="00045570">
            <w:pPr>
              <w:ind w:firstLine="29"/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Tipo cobrança</w:t>
            </w:r>
          </w:p>
        </w:tc>
        <w:tc>
          <w:tcPr>
            <w:tcW w:w="6095" w:type="dxa"/>
            <w:vAlign w:val="center"/>
          </w:tcPr>
          <w:p w14:paraId="074D2C4A" w14:textId="77777777" w:rsidR="000C32DE" w:rsidRPr="006D0172" w:rsidRDefault="000C32DE" w:rsidP="00045570">
            <w:pPr>
              <w:jc w:val="both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Falta de p</w:t>
            </w:r>
            <w:r w:rsidRPr="006D0172">
              <w:rPr>
                <w:rFonts w:ascii="Book Antiqua" w:hAnsi="Book Antiqua"/>
              </w:rPr>
              <w:t xml:space="preserve">agamento antecipado de ICMS – </w:t>
            </w:r>
            <w:r>
              <w:rPr>
                <w:rFonts w:ascii="Book Antiqua" w:hAnsi="Book Antiqua"/>
              </w:rPr>
              <w:t>C</w:t>
            </w:r>
            <w:r w:rsidRPr="006D0172">
              <w:rPr>
                <w:rFonts w:ascii="Book Antiqua" w:hAnsi="Book Antiqua"/>
              </w:rPr>
              <w:t>ontribuinte Suspenso de Ofício.</w:t>
            </w:r>
          </w:p>
        </w:tc>
      </w:tr>
      <w:tr w:rsidR="000C32DE" w:rsidRPr="006D0172" w14:paraId="293BD48B" w14:textId="77777777" w:rsidTr="000C32DE">
        <w:trPr>
          <w:trHeight w:val="517"/>
          <w:jc w:val="center"/>
        </w:trPr>
        <w:tc>
          <w:tcPr>
            <w:tcW w:w="2405" w:type="dxa"/>
            <w:vAlign w:val="center"/>
          </w:tcPr>
          <w:p w14:paraId="0532F910" w14:textId="77777777" w:rsidR="000C32DE" w:rsidRPr="006D0172" w:rsidRDefault="000C32DE" w:rsidP="00045570">
            <w:pPr>
              <w:ind w:firstLine="29"/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Descrição da Infração</w:t>
            </w:r>
          </w:p>
        </w:tc>
        <w:tc>
          <w:tcPr>
            <w:tcW w:w="6095" w:type="dxa"/>
            <w:vAlign w:val="center"/>
          </w:tcPr>
          <w:p w14:paraId="0F89818E" w14:textId="77777777" w:rsidR="000C32DE" w:rsidRPr="006D0172" w:rsidRDefault="000C32DE" w:rsidP="00045570">
            <w:pPr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Falta de pagamento antecipado de ICMS nas operações de entradas interestaduais com mercadorias destinadas a contribuintes em situação de irregularidade fiscal ou cadastral.</w:t>
            </w:r>
          </w:p>
        </w:tc>
      </w:tr>
      <w:tr w:rsidR="000C32DE" w:rsidRPr="006D0172" w14:paraId="1F523A89" w14:textId="77777777" w:rsidTr="000C32DE">
        <w:trPr>
          <w:trHeight w:val="517"/>
          <w:jc w:val="center"/>
        </w:trPr>
        <w:tc>
          <w:tcPr>
            <w:tcW w:w="2405" w:type="dxa"/>
            <w:vAlign w:val="center"/>
          </w:tcPr>
          <w:p w14:paraId="7755958F" w14:textId="77777777" w:rsidR="000C32DE" w:rsidRPr="006D0172" w:rsidRDefault="000C32DE" w:rsidP="00045570">
            <w:pPr>
              <w:ind w:firstLine="29"/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Capitulação legal</w:t>
            </w:r>
          </w:p>
        </w:tc>
        <w:tc>
          <w:tcPr>
            <w:tcW w:w="6095" w:type="dxa"/>
            <w:vAlign w:val="center"/>
          </w:tcPr>
          <w:p w14:paraId="29579094" w14:textId="77777777" w:rsidR="000C32DE" w:rsidRPr="006D0172" w:rsidRDefault="000C32DE" w:rsidP="00045570">
            <w:pPr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Art. 5º, I c/c art. 12, I, §7º da Lei 7799/02; e Art. 17, IV e V do Decreto nº 19.714, de 10 de julho de 2003.</w:t>
            </w:r>
          </w:p>
        </w:tc>
      </w:tr>
      <w:tr w:rsidR="000C32DE" w:rsidRPr="006D0172" w14:paraId="40517AF4" w14:textId="77777777" w:rsidTr="000C32DE">
        <w:trPr>
          <w:trHeight w:val="517"/>
          <w:jc w:val="center"/>
        </w:trPr>
        <w:tc>
          <w:tcPr>
            <w:tcW w:w="2405" w:type="dxa"/>
            <w:vAlign w:val="center"/>
          </w:tcPr>
          <w:p w14:paraId="309C5929" w14:textId="77777777" w:rsidR="000C32DE" w:rsidRPr="006D0172" w:rsidRDefault="000C32DE" w:rsidP="00045570">
            <w:pPr>
              <w:ind w:firstLine="29"/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Multa</w:t>
            </w:r>
          </w:p>
        </w:tc>
        <w:tc>
          <w:tcPr>
            <w:tcW w:w="6095" w:type="dxa"/>
            <w:vAlign w:val="center"/>
          </w:tcPr>
          <w:p w14:paraId="791546FE" w14:textId="77777777" w:rsidR="000C32DE" w:rsidRPr="006D0172" w:rsidRDefault="000C32DE" w:rsidP="00045570">
            <w:pPr>
              <w:jc w:val="both"/>
              <w:rPr>
                <w:rFonts w:ascii="Book Antiqua" w:hAnsi="Book Antiqua"/>
              </w:rPr>
            </w:pPr>
            <w:r w:rsidRPr="006D0172">
              <w:rPr>
                <w:rFonts w:ascii="Book Antiqua" w:hAnsi="Book Antiqua"/>
              </w:rPr>
              <w:t>Art. 80, inciso II, alínea "e" da lei estadual nº 7.799/2002.</w:t>
            </w:r>
          </w:p>
        </w:tc>
      </w:tr>
    </w:tbl>
    <w:p w14:paraId="1C18A0B0" w14:textId="77777777" w:rsidR="000C32DE" w:rsidRDefault="000C32DE" w:rsidP="00C556C6">
      <w:pPr>
        <w:pStyle w:val="Default"/>
        <w:spacing w:line="360" w:lineRule="auto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13C386E5" w14:textId="77777777" w:rsidR="00626934" w:rsidRPr="00C556C6" w:rsidRDefault="00177D53" w:rsidP="00C556C6">
      <w:pPr>
        <w:pStyle w:val="Default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DA SITUAÇÃO FÁTICA DO CONTRIBUINTE/RESPONSÁVEL</w:t>
      </w:r>
    </w:p>
    <w:p w14:paraId="4F1AB61D" w14:textId="77777777" w:rsidR="00AA4405" w:rsidRPr="00C556C6" w:rsidRDefault="00AA4405" w:rsidP="00C556C6">
      <w:pPr>
        <w:pStyle w:val="Default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0FCD251B" w14:textId="77777777" w:rsidR="00C9249A" w:rsidRPr="00A61E3D" w:rsidRDefault="00CB3DE0" w:rsidP="00AB34CA">
      <w:pPr>
        <w:pStyle w:val="SemEspaamento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  <w:r w:rsidRPr="00A61E3D">
        <w:rPr>
          <w:rFonts w:ascii="Book Antiqua" w:hAnsi="Book Antiqua" w:cstheme="minorHAnsi"/>
          <w:color w:val="000000" w:themeColor="text1"/>
          <w:sz w:val="24"/>
          <w:szCs w:val="24"/>
        </w:rPr>
        <w:t>Conforme o art. 66, da Lei Estadual nº 7.799/2002:</w:t>
      </w:r>
    </w:p>
    <w:p w14:paraId="4C15451D" w14:textId="77777777" w:rsidR="00CB3DE0" w:rsidRDefault="00CB3DE0" w:rsidP="00AB34CA">
      <w:pPr>
        <w:pStyle w:val="SemEspaamento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</w:rPr>
      </w:pPr>
    </w:p>
    <w:p w14:paraId="67094E3D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 66. Para efeito de inscrição estadual no CAD/ICMS serão consideradas, conforme o caso, as seguintes situações: </w:t>
      </w:r>
    </w:p>
    <w:p w14:paraId="6B0B58CB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§ 1º Cadastral: </w:t>
      </w:r>
    </w:p>
    <w:p w14:paraId="2D5A4D65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(...) </w:t>
      </w:r>
    </w:p>
    <w:p w14:paraId="7C57FA06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lastRenderedPageBreak/>
        <w:t xml:space="preserve">III - suspensa de ofício; </w:t>
      </w:r>
    </w:p>
    <w:p w14:paraId="561FAC51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(...) </w:t>
      </w:r>
    </w:p>
    <w:p w14:paraId="18228E3F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§ 4º A inscrição será suspensa de ofício quando:</w:t>
      </w:r>
    </w:p>
    <w:p w14:paraId="00B7D32B" w14:textId="77777777" w:rsidR="00CB3DE0" w:rsidRP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I - </w:t>
      </w:r>
      <w:proofErr w:type="gramStart"/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não</w:t>
      </w:r>
      <w:proofErr w:type="gramEnd"/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apresentar declaração de informação por quarenta dias consecutivos; </w:t>
      </w:r>
    </w:p>
    <w:p w14:paraId="272CC8A7" w14:textId="77777777" w:rsidR="00CB3DE0" w:rsidRDefault="00CB3DE0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II - </w:t>
      </w:r>
      <w:proofErr w:type="gramStart"/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atrasar</w:t>
      </w:r>
      <w:proofErr w:type="gramEnd"/>
      <w:r w:rsidRPr="00CB3DE0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o pagamento do ICMS por período superior a quarenta dias;</w:t>
      </w:r>
    </w:p>
    <w:p w14:paraId="7C1A72B3" w14:textId="760218B3" w:rsidR="006D5C94" w:rsidRDefault="006D5C94" w:rsidP="00CB3DE0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(...)</w:t>
      </w:r>
    </w:p>
    <w:p w14:paraId="507279EC" w14:textId="77777777" w:rsidR="00BC6EA5" w:rsidRPr="00BC6EA5" w:rsidRDefault="00BC6EA5" w:rsidP="00BC6EA5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BC6EA5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§ 6º O Secretário de Estado da Fazenda poderá estabelecer outras hipóteses</w:t>
      </w:r>
    </w:p>
    <w:p w14:paraId="497A8948" w14:textId="178B3AA3" w:rsidR="00BC6EA5" w:rsidRDefault="00BC6EA5" w:rsidP="00BC6EA5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BC6EA5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de suspensão de ofício da inscrição estadual.</w:t>
      </w:r>
    </w:p>
    <w:p w14:paraId="535549FE" w14:textId="4C745CEE" w:rsidR="00BC6EA5" w:rsidRDefault="00BC6EA5" w:rsidP="00BC6EA5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(...)</w:t>
      </w:r>
    </w:p>
    <w:p w14:paraId="1DAF4609" w14:textId="77777777" w:rsidR="006D5C94" w:rsidRPr="00CB3DE0" w:rsidRDefault="006D5C94" w:rsidP="006D5C94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6D5C94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§ 8º Os contribuintes nas situações cadastrais previstas nos§§ 3º, 4º e 6º ficam sujeitos ao recolhimento do ICMS por ocasião das operações e prestações, quando da passagem pela primeira repartição fiscal do Estado.</w:t>
      </w:r>
    </w:p>
    <w:p w14:paraId="681E9305" w14:textId="77777777" w:rsidR="00CB3DE0" w:rsidRDefault="00CB3DE0" w:rsidP="00AB34CA">
      <w:pPr>
        <w:pStyle w:val="SemEspaamento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</w:rPr>
      </w:pPr>
    </w:p>
    <w:p w14:paraId="77FB1927" w14:textId="5C1D0802" w:rsidR="006D5C94" w:rsidRDefault="00402683" w:rsidP="006D5C94">
      <w:pPr>
        <w:pStyle w:val="SemEspaamento"/>
        <w:spacing w:line="360" w:lineRule="auto"/>
        <w:ind w:firstLine="708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  <w:r>
        <w:rPr>
          <w:rFonts w:ascii="Book Antiqua" w:hAnsi="Book Antiqua" w:cstheme="minorHAnsi"/>
          <w:color w:val="000000" w:themeColor="text1"/>
          <w:sz w:val="24"/>
          <w:szCs w:val="24"/>
        </w:rPr>
        <w:t xml:space="preserve"> N</w:t>
      </w:r>
      <w:r w:rsidR="006D5C94" w:rsidRPr="00511F99">
        <w:rPr>
          <w:rFonts w:ascii="Book Antiqua" w:hAnsi="Book Antiqua" w:cstheme="minorHAnsi"/>
          <w:color w:val="000000" w:themeColor="text1"/>
          <w:sz w:val="24"/>
          <w:szCs w:val="24"/>
        </w:rPr>
        <w:t>o momento da lavratura do</w:t>
      </w:r>
      <w:r w:rsidR="00E92E7A">
        <w:rPr>
          <w:rFonts w:ascii="Book Antiqua" w:hAnsi="Book Antiqua" w:cstheme="minorHAnsi"/>
          <w:color w:val="000000" w:themeColor="text1"/>
          <w:sz w:val="24"/>
          <w:szCs w:val="24"/>
        </w:rPr>
        <w:t xml:space="preserve">s </w:t>
      </w:r>
      <w:r w:rsidR="00E92E7A" w:rsidRPr="00C556C6">
        <w:rPr>
          <w:rFonts w:ascii="Book Antiqua" w:hAnsi="Book Antiqua" w:cstheme="minorHAnsi"/>
          <w:color w:val="000000" w:themeColor="text1"/>
        </w:rPr>
        <w:t>TVI/IF</w:t>
      </w:r>
      <w:r w:rsidR="00E92E7A">
        <w:rPr>
          <w:rFonts w:ascii="Book Antiqua" w:hAnsi="Book Antiqua" w:cstheme="minorHAnsi"/>
          <w:color w:val="000000" w:themeColor="text1"/>
        </w:rPr>
        <w:t>(s)</w:t>
      </w:r>
      <w:r>
        <w:rPr>
          <w:rFonts w:ascii="Book Antiqua" w:hAnsi="Book Antiqua" w:cstheme="minorHAnsi"/>
          <w:color w:val="000000" w:themeColor="text1"/>
          <w:sz w:val="24"/>
          <w:szCs w:val="24"/>
        </w:rPr>
        <w:t>, o contribuinte encontrava-se SUSPENSO DE OFÍCIO</w:t>
      </w:r>
      <w:r w:rsidR="006D5C94" w:rsidRPr="00511F99">
        <w:rPr>
          <w:rFonts w:ascii="Book Antiqua" w:hAnsi="Book Antiqua" w:cstheme="minorHAnsi"/>
          <w:color w:val="000000" w:themeColor="text1"/>
          <w:sz w:val="24"/>
          <w:szCs w:val="24"/>
        </w:rPr>
        <w:t>. Assim, segundo a Lei Estadual nº 7.799/2002, art. 12, §7:</w:t>
      </w:r>
    </w:p>
    <w:p w14:paraId="7700F469" w14:textId="77777777" w:rsidR="00511F99" w:rsidRPr="00511F99" w:rsidRDefault="00511F99" w:rsidP="006D5C94">
      <w:pPr>
        <w:pStyle w:val="SemEspaamento"/>
        <w:spacing w:line="360" w:lineRule="auto"/>
        <w:ind w:firstLine="708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</w:p>
    <w:p w14:paraId="7AAD5B19" w14:textId="6327F929" w:rsidR="006D5C94" w:rsidRDefault="006D5C94" w:rsidP="006D5C94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6D5C94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§ 7º Poderá ser exigido o pagamento antecipado do imposto nas operações e prestações realizadas por estabelecimentos não inscritos no cadastro de contribuintes do ICMS - CAD/ICMS, </w:t>
      </w:r>
      <w:r w:rsidRPr="006D5C94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bem como pelos inscritos de existência transitória ou daqueles cuja inscrição esteja suspensa, baixada ou cancelada</w:t>
      </w:r>
      <w:r w:rsidRPr="006D5C94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.</w:t>
      </w:r>
    </w:p>
    <w:p w14:paraId="0F8E93F5" w14:textId="0DDE921E" w:rsidR="0047167E" w:rsidRDefault="0047167E" w:rsidP="006D5C94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(...)</w:t>
      </w:r>
    </w:p>
    <w:p w14:paraId="0F7D4CE1" w14:textId="77777777" w:rsidR="0047167E" w:rsidRPr="0047167E" w:rsidRDefault="0047167E" w:rsidP="0047167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47167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§ 9º Além das hipóteses dos §§ 3º, 4º e 7º deste artigo, poderá ser exigido o pagamento antecipado do imposto: </w:t>
      </w:r>
    </w:p>
    <w:p w14:paraId="2E984C56" w14:textId="54FB1A18" w:rsidR="0047167E" w:rsidRPr="006D5C94" w:rsidRDefault="0047167E" w:rsidP="0047167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47167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I - </w:t>
      </w:r>
      <w:proofErr w:type="gramStart"/>
      <w:r w:rsidRPr="0047167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nas</w:t>
      </w:r>
      <w:proofErr w:type="gramEnd"/>
      <w:r w:rsidRPr="0047167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operações de entradas interestaduais com mercadorias destinadas a contribuintes em situação de irregularidade fiscal ou cadastral;</w:t>
      </w:r>
    </w:p>
    <w:p w14:paraId="678CD121" w14:textId="77777777" w:rsidR="00CB3DE0" w:rsidRDefault="00CB3DE0" w:rsidP="00AB34CA">
      <w:pPr>
        <w:pStyle w:val="SemEspaamento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</w:p>
    <w:p w14:paraId="203FD35B" w14:textId="77777777" w:rsidR="00511F99" w:rsidRDefault="00511F99" w:rsidP="00A61E3D">
      <w:pPr>
        <w:pStyle w:val="SemEspaamento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  <w:r w:rsidRPr="00511F99">
        <w:rPr>
          <w:rFonts w:ascii="Book Antiqua" w:hAnsi="Book Antiqua" w:cstheme="minorHAnsi"/>
          <w:color w:val="000000" w:themeColor="text1"/>
          <w:sz w:val="24"/>
          <w:szCs w:val="24"/>
        </w:rPr>
        <w:t>Tendo em vista a SUSPENSÃO por motivo legal e justo, exige-se o pagamento antecipado com fulcro no artigo supracitado.</w:t>
      </w:r>
    </w:p>
    <w:p w14:paraId="05B8A0EF" w14:textId="77777777" w:rsidR="00AF1C90" w:rsidRDefault="00AF1C90" w:rsidP="00AB34CA">
      <w:pPr>
        <w:pStyle w:val="SemEspaamento"/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</w:p>
    <w:p w14:paraId="58C89090" w14:textId="77777777" w:rsidR="00626934" w:rsidRPr="00C556C6" w:rsidRDefault="00626934" w:rsidP="00C556C6">
      <w:pPr>
        <w:pStyle w:val="Standard"/>
        <w:numPr>
          <w:ilvl w:val="0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DA FUNDAMENTAÇÃO LEGAL</w:t>
      </w:r>
    </w:p>
    <w:p w14:paraId="215EC25A" w14:textId="77777777" w:rsidR="00573EA6" w:rsidRPr="00C556C6" w:rsidRDefault="00573EA6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4B52A899" w14:textId="77777777" w:rsidR="00626934" w:rsidRPr="00C556C6" w:rsidRDefault="006E0B99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DO AUTO DE INFRAÇÃO</w:t>
      </w:r>
    </w:p>
    <w:p w14:paraId="3D1ACE5F" w14:textId="77777777" w:rsidR="006E0B99" w:rsidRDefault="006E0B99" w:rsidP="00D616A5">
      <w:pPr>
        <w:pStyle w:val="Standard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486BF5B7" w14:textId="77777777" w:rsidR="009A08C9" w:rsidRDefault="009A08C9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O auto de infração é o instrumento legal constitutivo do crédito tributário, formalizado por autoridade fiscal competente, contendo os fundamentos da exigência tributária nos aspectos dimensional, pessoal, material, temporal e quantitativo, apto a municiar o fisco a investir contra o sujeito passivo no objetivo de recuperar, para o tesouro do ente competente da jurisdição correlata, os valores que lhe são devidos, conforme a atribuição constitucional vigente. Conforme o art. 17</w:t>
      </w:r>
      <w:r w:rsidR="008B6E02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4 e art. 176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, da Lei </w:t>
      </w:r>
      <w:r w:rsidR="004F6940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Estadual 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nº 7</w:t>
      </w:r>
      <w:r w:rsidR="004F6940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.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799/2002:</w:t>
      </w:r>
    </w:p>
    <w:p w14:paraId="70BE5A33" w14:textId="77777777" w:rsidR="00A60D90" w:rsidRPr="00C556C6" w:rsidRDefault="00A60D90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519745DF" w14:textId="77777777" w:rsidR="009A08C9" w:rsidRPr="00C556C6" w:rsidRDefault="009A08C9" w:rsidP="00E26F1C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 174. Todos os meios legais, bem como os moralmente legítimos, são hábeis 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lastRenderedPageBreak/>
        <w:t xml:space="preserve">para provar a verdade dos fatos em que se funda o </w:t>
      </w:r>
      <w:r w:rsidRPr="008B6E02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auto de infração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ou a defesa.</w:t>
      </w:r>
    </w:p>
    <w:p w14:paraId="336052DB" w14:textId="77777777" w:rsidR="009A08C9" w:rsidRPr="00C556C6" w:rsidRDefault="009A08C9" w:rsidP="00E26F1C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(...) </w:t>
      </w:r>
    </w:p>
    <w:p w14:paraId="1157630B" w14:textId="77777777" w:rsidR="008B6E02" w:rsidRDefault="009A08C9" w:rsidP="00E26F1C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 176. A exigência do crédito tributário será formalizada em </w:t>
      </w:r>
      <w:r w:rsidRPr="008B6E02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auto de infração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ou notificação de lançamento. </w:t>
      </w:r>
    </w:p>
    <w:p w14:paraId="607F5B69" w14:textId="77777777" w:rsidR="009A08C9" w:rsidRPr="00C556C6" w:rsidRDefault="009A08C9" w:rsidP="00E26F1C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Parágrafo Único. Sempre que imprescindível </w:t>
      </w:r>
      <w:r w:rsidRPr="008B6E02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para prevenir os efeitos da decadência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, o auto de infração será lavrado, também, na pendência de decisão judicial que suspenda liminarmente a exigibilidade, hipótese em que será lançada na peça fiscal a condição de suspensão da exigibilidade até a decisão judicial definitiva. </w:t>
      </w:r>
    </w:p>
    <w:p w14:paraId="10E2B0C0" w14:textId="77777777" w:rsidR="009A08C9" w:rsidRPr="00C556C6" w:rsidRDefault="009A08C9" w:rsidP="00E26F1C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 177. A lavratura do </w:t>
      </w:r>
      <w:r w:rsidRPr="008B6E02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auto de infração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é de competência do Auditor Fiscal da Receita Estadual.</w:t>
      </w:r>
    </w:p>
    <w:p w14:paraId="63A374EA" w14:textId="77777777" w:rsidR="009A08C9" w:rsidRPr="00C556C6" w:rsidRDefault="009A08C9" w:rsidP="00C556C6">
      <w:pPr>
        <w:pStyle w:val="Standard"/>
        <w:ind w:firstLine="567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</w:p>
    <w:p w14:paraId="10C91392" w14:textId="77777777" w:rsidR="009A08C9" w:rsidRPr="00C556C6" w:rsidRDefault="009A08C9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Ainda, de acordo com o art. 230, da Lei nº 7</w:t>
      </w:r>
      <w:r w:rsidR="004F6940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.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799/2002: </w:t>
      </w:r>
    </w:p>
    <w:p w14:paraId="0D00845C" w14:textId="77777777" w:rsidR="009A08C9" w:rsidRPr="00C556C6" w:rsidRDefault="009A08C9" w:rsidP="00C556C6">
      <w:pPr>
        <w:pStyle w:val="Standard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67E2795D" w14:textId="77777777" w:rsidR="009A08C9" w:rsidRPr="00C556C6" w:rsidRDefault="009A08C9" w:rsidP="00E26F1C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 230. As incorreções ou omissões do </w:t>
      </w:r>
      <w:r w:rsidRPr="00CF05E4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Auto de Infração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, inclusive aquelas decorrentes de cálculo ou de capitulação de infração ou de multa, </w:t>
      </w:r>
      <w:r w:rsidRPr="00CF05E4">
        <w:rPr>
          <w:rFonts w:ascii="Book Antiqua" w:eastAsiaTheme="minorHAnsi" w:hAnsi="Book Antiqua" w:cstheme="minorHAnsi"/>
          <w:b/>
          <w:bCs/>
          <w:i/>
          <w:iCs/>
          <w:color w:val="000000" w:themeColor="text1"/>
          <w:kern w:val="0"/>
          <w:lang w:eastAsia="en-US" w:bidi="ar-SA"/>
        </w:rPr>
        <w:t>não acarretarão a sua nulidade</w:t>
      </w: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, se do processo constarem elementos suficientes para determinar com segurança a infração e o infrator.</w:t>
      </w:r>
    </w:p>
    <w:p w14:paraId="7656CA9C" w14:textId="51E94F8A" w:rsidR="00CF05E4" w:rsidRDefault="00CF05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796C6878" w14:textId="77777777" w:rsidR="00517334" w:rsidRDefault="0051733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6D8D2CEC" w14:textId="77777777" w:rsidR="005E7DF8" w:rsidRPr="00C556C6" w:rsidRDefault="005E7DF8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7AA7BD1A" w14:textId="77777777" w:rsidR="00626934" w:rsidRPr="00C556C6" w:rsidRDefault="00E26F1C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DO MOMENTO DO FATO GERADOR</w:t>
      </w:r>
    </w:p>
    <w:p w14:paraId="100E8728" w14:textId="77777777" w:rsidR="009A08C9" w:rsidRPr="00C556C6" w:rsidRDefault="009A08C9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1863D4FD" w14:textId="3182A136" w:rsidR="009D37E4" w:rsidRPr="00C556C6" w:rsidRDefault="009D37E4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O fato gerador é a situação de fato, prevista na lei de forma prévia, genérica e abstrata, que, ao ocorrer no mundo real, faz com que, pela materialização do direito ocorra o nascimento da obrigação tributária, seja esta principal ou acessória. Dessa forma a Legislação Tributária do Estado do Maranhão, no art. 12, I, da Lei </w:t>
      </w:r>
      <w:r w:rsidR="00A251CD"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nº</w:t>
      </w:r>
      <w:r w:rsidR="00A251CD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7799/2002</w:t>
      </w:r>
      <w:r w:rsidR="00A251CD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</w:t>
      </w:r>
      <w:r w:rsidR="00A369EE" w:rsidRPr="00A369EE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fixa da seguinte forma o Momento do Fato Gerador</w:t>
      </w:r>
      <w:r w:rsidR="00A369EE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:</w:t>
      </w:r>
    </w:p>
    <w:p w14:paraId="48EE9E04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</w:p>
    <w:p w14:paraId="0530CA76" w14:textId="77777777" w:rsidR="001E7E14" w:rsidRDefault="009D37E4" w:rsidP="001E7E14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Art.12. Considera-se ocorrido o fato gerador do imposto no momento: </w:t>
      </w:r>
    </w:p>
    <w:p w14:paraId="3BD3BD86" w14:textId="77777777" w:rsidR="009D37E4" w:rsidRDefault="009D37E4" w:rsidP="001E7E14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I - </w:t>
      </w:r>
      <w:proofErr w:type="gramStart"/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da</w:t>
      </w:r>
      <w:proofErr w:type="gramEnd"/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saída de mercadoria de estabelecimento de contribuinte, ainda que para outro estabelecimento do mesmo titular;</w:t>
      </w:r>
    </w:p>
    <w:p w14:paraId="3B1C4EDE" w14:textId="77777777" w:rsidR="00A369EE" w:rsidRPr="00A369EE" w:rsidRDefault="00A369EE" w:rsidP="00A369E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</w:t>
      </w:r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...</w:t>
      </w: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)</w:t>
      </w:r>
    </w:p>
    <w:p w14:paraId="480A73F6" w14:textId="77777777" w:rsidR="00A369EE" w:rsidRPr="00A369EE" w:rsidRDefault="00A369EE" w:rsidP="00A369E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§ 7º Poderá ser exigido o pagamento antecipado do imposto nas operações e prestações realizadas por estabelecimentos não inscritos no cadastro de contribuintes do ICMS -CAD/ICMS, bem como pelos inscritos de existência transitória ou daqueles cuja inscrição esteja suspensa, baixada ou cancelada.</w:t>
      </w:r>
    </w:p>
    <w:p w14:paraId="540F91FD" w14:textId="77777777" w:rsidR="00A369EE" w:rsidRPr="00A369EE" w:rsidRDefault="00A369EE" w:rsidP="00A369E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</w:t>
      </w:r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..</w:t>
      </w: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.)</w:t>
      </w:r>
    </w:p>
    <w:p w14:paraId="746066C8" w14:textId="77777777" w:rsidR="00A369EE" w:rsidRPr="00A369EE" w:rsidRDefault="00A369EE" w:rsidP="00A369E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§ 9º Além das hipóteses dos §§ 3º, 4º e 7º deste artigo, poderá ser exigido o pagamento antecipado do imposto:</w:t>
      </w:r>
    </w:p>
    <w:p w14:paraId="3153F8A0" w14:textId="77777777" w:rsidR="00A369EE" w:rsidRPr="00C556C6" w:rsidRDefault="00A369EE" w:rsidP="001E7E14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I -</w:t>
      </w:r>
      <w:r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</w:t>
      </w:r>
      <w:proofErr w:type="gramStart"/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nas</w:t>
      </w:r>
      <w:proofErr w:type="gramEnd"/>
      <w:r w:rsidRPr="00A369EE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operações de entradas interestaduais com mercadorias destinadas a contribuintes em situação de irregularidade fiscal ou cadastral;</w:t>
      </w:r>
    </w:p>
    <w:p w14:paraId="7D75D03D" w14:textId="77777777" w:rsidR="009D37E4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3CFCAC61" w14:textId="77777777" w:rsidR="00626934" w:rsidRPr="00C556C6" w:rsidRDefault="008C3A4E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DO LOCAL DA OPERAÇÃO</w:t>
      </w:r>
    </w:p>
    <w:p w14:paraId="446DE3DF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46CBCBA9" w14:textId="448DE42E" w:rsidR="009D37E4" w:rsidRPr="00C556C6" w:rsidRDefault="009D37E4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O local da operação corresponde à limitação geográfica da manifestação do Fato Gerador onde o ente exercerá sua competência para cobrar o tributo. A Legislação Tributária do Estado do Maranhão, no fixa, no art. 25, I, “a”, da Lei </w:t>
      </w:r>
      <w:r w:rsidR="00A251CD"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nº</w:t>
      </w:r>
      <w:r w:rsidR="00A251CD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7799/2002, da seguinte forma o Local do Fato Gerador:</w:t>
      </w:r>
    </w:p>
    <w:p w14:paraId="1350F095" w14:textId="77777777" w:rsidR="009D37E4" w:rsidRPr="00C556C6" w:rsidRDefault="009D37E4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</w:p>
    <w:p w14:paraId="232A43F8" w14:textId="77777777" w:rsidR="009D37E4" w:rsidRPr="00C556C6" w:rsidRDefault="009D37E4" w:rsidP="008C3A4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Art. 25. O local da operação ou da prestação, para os efeitos da cobrança do imposto e definição do estabelecimento responsável, é: </w:t>
      </w:r>
    </w:p>
    <w:p w14:paraId="277E51A5" w14:textId="77777777" w:rsidR="00AB34CA" w:rsidRDefault="009D37E4" w:rsidP="008C3A4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I - </w:t>
      </w:r>
      <w:proofErr w:type="gramStart"/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tratando-se</w:t>
      </w:r>
      <w:proofErr w:type="gramEnd"/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de mercadoria ou bem: </w:t>
      </w:r>
    </w:p>
    <w:p w14:paraId="340EE489" w14:textId="77777777" w:rsidR="009D37E4" w:rsidRPr="00C556C6" w:rsidRDefault="009D37E4" w:rsidP="008C3A4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a) o do estabelecimento onde se encontre, no momento da ocorrência do fato gerador;</w:t>
      </w:r>
    </w:p>
    <w:p w14:paraId="3A621B16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60B5E120" w14:textId="77777777" w:rsidR="00626934" w:rsidRPr="00C556C6" w:rsidRDefault="008C3A4E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DO SUJEITO PASSIVO</w:t>
      </w:r>
    </w:p>
    <w:p w14:paraId="3C8A6310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24073FDF" w14:textId="77777777" w:rsidR="009D37E4" w:rsidRPr="00C556C6" w:rsidRDefault="009D37E4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O sujeito passivo escolhido pela Legislação Tributária do ICMS para arcar com o recolhimento tem a sua previsibilidade prevista da seguinte forma: </w:t>
      </w:r>
    </w:p>
    <w:p w14:paraId="452A066F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</w:p>
    <w:p w14:paraId="7845A18B" w14:textId="77777777" w:rsidR="009D37E4" w:rsidRPr="00C556C6" w:rsidRDefault="009D37E4" w:rsidP="008C3A4E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Art. 26. Contribuinte é qualquer pessoa, física ou jurídica, que realize, com habitualidade ou em volume que caracterize intuito comercial, operações de circulação de mercadoria ou prestações de serviços de transporte interestadual e intermunicipal e de comunicação, ainda que as operações e as prestações se iniciem no exterior.</w:t>
      </w:r>
    </w:p>
    <w:p w14:paraId="22534DCE" w14:textId="77777777" w:rsidR="009D37E4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020AC386" w14:textId="77777777" w:rsidR="00517334" w:rsidRPr="00C556C6" w:rsidRDefault="0051733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70DC987F" w14:textId="77777777" w:rsidR="00626934" w:rsidRPr="00C556C6" w:rsidRDefault="00D616A5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DA BASE DE CÁLCULO</w:t>
      </w:r>
    </w:p>
    <w:p w14:paraId="59D336F9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0A828479" w14:textId="0F9E1099" w:rsidR="00A251CD" w:rsidRPr="00A251CD" w:rsidRDefault="00A251CD" w:rsidP="00A251CD">
      <w:pPr>
        <w:ind w:firstLine="567"/>
        <w:jc w:val="both"/>
        <w:rPr>
          <w:rFonts w:ascii="Book Antiqua" w:hAnsi="Book Antiqua"/>
          <w:sz w:val="24"/>
          <w:szCs w:val="24"/>
        </w:rPr>
      </w:pPr>
      <w:r w:rsidRPr="00A251CD">
        <w:rPr>
          <w:rFonts w:ascii="Book Antiqua" w:hAnsi="Book Antiqua"/>
          <w:sz w:val="24"/>
          <w:szCs w:val="24"/>
        </w:rPr>
        <w:t xml:space="preserve">No caso de pagamento antecipado, a Base de Cálculo definida na </w:t>
      </w:r>
      <w:r w:rsidRPr="00A251CD">
        <w:rPr>
          <w:rFonts w:ascii="Book Antiqua" w:hAnsi="Book Antiqua" w:cstheme="minorHAnsi"/>
          <w:color w:val="000000" w:themeColor="text1"/>
          <w:sz w:val="24"/>
          <w:szCs w:val="24"/>
        </w:rPr>
        <w:t>da Lei</w:t>
      </w:r>
      <w:r>
        <w:rPr>
          <w:rFonts w:ascii="Book Antiqua" w:hAnsi="Book Antiqua" w:cstheme="minorHAnsi"/>
          <w:color w:val="000000" w:themeColor="text1"/>
          <w:sz w:val="24"/>
          <w:szCs w:val="24"/>
        </w:rPr>
        <w:t xml:space="preserve"> </w:t>
      </w:r>
      <w:r w:rsidRPr="00C556C6">
        <w:rPr>
          <w:rFonts w:ascii="Book Antiqua" w:hAnsi="Book Antiqua" w:cstheme="minorHAnsi"/>
          <w:color w:val="000000" w:themeColor="text1"/>
        </w:rPr>
        <w:t>nº</w:t>
      </w:r>
      <w:r>
        <w:rPr>
          <w:rFonts w:ascii="Book Antiqua" w:hAnsi="Book Antiqua" w:cstheme="minorHAnsi"/>
          <w:color w:val="000000" w:themeColor="text1"/>
        </w:rPr>
        <w:t xml:space="preserve"> </w:t>
      </w:r>
      <w:r w:rsidRPr="00A251CD">
        <w:rPr>
          <w:rFonts w:ascii="Book Antiqua" w:hAnsi="Book Antiqua" w:cstheme="minorHAnsi"/>
          <w:color w:val="000000" w:themeColor="text1"/>
          <w:sz w:val="24"/>
          <w:szCs w:val="24"/>
        </w:rPr>
        <w:t xml:space="preserve">7799/2002 </w:t>
      </w:r>
      <w:r w:rsidRPr="00A251CD">
        <w:rPr>
          <w:rFonts w:ascii="Book Antiqua" w:hAnsi="Book Antiqua"/>
          <w:sz w:val="24"/>
          <w:szCs w:val="24"/>
        </w:rPr>
        <w:t>é:</w:t>
      </w:r>
    </w:p>
    <w:p w14:paraId="4C20D5CC" w14:textId="77777777" w:rsidR="00A251CD" w:rsidRPr="00A251CD" w:rsidRDefault="00A251CD" w:rsidP="00A251CD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1CD">
        <w:rPr>
          <w:rFonts w:ascii="Book Antiqua" w:hAnsi="Book Antiqua"/>
          <w:i/>
          <w:sz w:val="24"/>
          <w:szCs w:val="24"/>
        </w:rPr>
        <w:t>Art. 13. A base de cálculo do imposto é:</w:t>
      </w:r>
    </w:p>
    <w:p w14:paraId="22B6C3A9" w14:textId="77777777" w:rsidR="00A251CD" w:rsidRPr="00A251CD" w:rsidRDefault="00A251CD" w:rsidP="00A251CD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1CD">
        <w:rPr>
          <w:rFonts w:ascii="Book Antiqua" w:hAnsi="Book Antiqua"/>
          <w:i/>
          <w:sz w:val="24"/>
          <w:szCs w:val="24"/>
        </w:rPr>
        <w:t>(...)</w:t>
      </w:r>
    </w:p>
    <w:p w14:paraId="587CE7FC" w14:textId="77777777" w:rsidR="00A251CD" w:rsidRPr="00A251CD" w:rsidRDefault="00A251CD" w:rsidP="00A251CD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1CD">
        <w:rPr>
          <w:rFonts w:ascii="Book Antiqua" w:hAnsi="Book Antiqua"/>
          <w:i/>
          <w:sz w:val="24"/>
          <w:szCs w:val="24"/>
        </w:rPr>
        <w:t>XVII - na hipótese do pagamento antecipado a que se refere o § 7o do art. 12, o valor da mercadoria ou da prestação, acrescido do percentual de 50% (cinquenta por cento), deduzido o crédito fiscal;</w:t>
      </w:r>
    </w:p>
    <w:p w14:paraId="4ADC9439" w14:textId="25F37CF6" w:rsidR="00A251CD" w:rsidRPr="00A251CD" w:rsidRDefault="00A251CD" w:rsidP="00A251CD">
      <w:pPr>
        <w:ind w:firstLine="567"/>
        <w:jc w:val="both"/>
        <w:rPr>
          <w:rFonts w:ascii="Book Antiqua" w:hAnsi="Book Antiqua"/>
          <w:sz w:val="24"/>
          <w:szCs w:val="24"/>
        </w:rPr>
      </w:pPr>
      <w:r w:rsidRPr="00A251CD">
        <w:rPr>
          <w:rFonts w:ascii="Book Antiqua" w:hAnsi="Book Antiqua"/>
          <w:sz w:val="24"/>
          <w:szCs w:val="24"/>
        </w:rPr>
        <w:t>Ainda, de acordo com o Decreto Estadual nº 19.714, de 10 de julho de 2003, a Base de Cálculo do ICMS é:</w:t>
      </w:r>
    </w:p>
    <w:p w14:paraId="0B2F3B35" w14:textId="77777777" w:rsidR="00A251CD" w:rsidRPr="00A251CD" w:rsidRDefault="00A251CD" w:rsidP="00A251CD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1CD">
        <w:rPr>
          <w:rFonts w:ascii="Book Antiqua" w:hAnsi="Book Antiqua"/>
          <w:i/>
          <w:sz w:val="24"/>
          <w:szCs w:val="24"/>
        </w:rPr>
        <w:t>Art. 17. Ressalvadas as hipóteses expressamente previstas, a base de cálculo do imposto é:</w:t>
      </w:r>
    </w:p>
    <w:p w14:paraId="2DFF1455" w14:textId="77777777" w:rsidR="00A251CD" w:rsidRPr="00A251CD" w:rsidRDefault="00A251CD" w:rsidP="00A251CD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1CD">
        <w:rPr>
          <w:rFonts w:ascii="Book Antiqua" w:hAnsi="Book Antiqua"/>
          <w:i/>
          <w:sz w:val="24"/>
          <w:szCs w:val="24"/>
        </w:rPr>
        <w:t xml:space="preserve">V - </w:t>
      </w:r>
      <w:proofErr w:type="gramStart"/>
      <w:r w:rsidRPr="00A251CD">
        <w:rPr>
          <w:rFonts w:ascii="Book Antiqua" w:hAnsi="Book Antiqua"/>
          <w:i/>
          <w:sz w:val="24"/>
          <w:szCs w:val="24"/>
        </w:rPr>
        <w:t>nas</w:t>
      </w:r>
      <w:proofErr w:type="gramEnd"/>
      <w:r w:rsidRPr="00A251CD">
        <w:rPr>
          <w:rFonts w:ascii="Book Antiqua" w:hAnsi="Book Antiqua"/>
          <w:i/>
          <w:sz w:val="24"/>
          <w:szCs w:val="24"/>
        </w:rPr>
        <w:t xml:space="preserve"> operações de entradas interestaduais com mercadorias destinadas a contribuintes em situação de irregularidade fiscal ou cadastral, o imposto será cobrado antecipado, acrescido do percentual de 50% (cinquenta por cento), deduzido o crédito fiscal.</w:t>
      </w:r>
    </w:p>
    <w:p w14:paraId="21CEA9F6" w14:textId="105AFAA4" w:rsidR="00A251CD" w:rsidRDefault="00A251CD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2EA36CFB" w14:textId="77777777" w:rsidR="00626934" w:rsidRPr="00C556C6" w:rsidRDefault="008851A6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DA ALÍQUOTA</w:t>
      </w:r>
    </w:p>
    <w:p w14:paraId="4E98B33F" w14:textId="77777777" w:rsidR="009D37E4" w:rsidRPr="00C556C6" w:rsidRDefault="009D37E4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53215E76" w14:textId="461EED29" w:rsidR="009D37E4" w:rsidRPr="00C556C6" w:rsidRDefault="009D37E4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A alíquota representa o quantum monetário que o Estado decidiu retirar do patrimônio do contribuinte. A legislação Tributária Estadual do Maranhão definiu, no art. 23, da Lei </w:t>
      </w:r>
      <w:r w:rsidR="005F35B3"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nº 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7799/2002, as alíquotas: </w:t>
      </w:r>
      <w:bookmarkStart w:id="0" w:name="_Hlk164254012"/>
    </w:p>
    <w:p w14:paraId="0156ED8F" w14:textId="77777777" w:rsidR="00F85B15" w:rsidRPr="00F85B15" w:rsidRDefault="00F85B15" w:rsidP="00F85B15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F85B15">
        <w:rPr>
          <w:rFonts w:ascii="Book Antiqua" w:hAnsi="Book Antiqua"/>
          <w:i/>
          <w:sz w:val="24"/>
          <w:szCs w:val="24"/>
        </w:rPr>
        <w:t>Art. 23. As alíquotas do ICMS são:</w:t>
      </w:r>
    </w:p>
    <w:p w14:paraId="4C9977D8" w14:textId="77777777" w:rsidR="00A250A1" w:rsidRDefault="00F85B15" w:rsidP="00F85B15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F85B15">
        <w:rPr>
          <w:rFonts w:ascii="Book Antiqua" w:hAnsi="Book Antiqua"/>
          <w:i/>
          <w:sz w:val="24"/>
          <w:szCs w:val="24"/>
        </w:rPr>
        <w:lastRenderedPageBreak/>
        <w:t xml:space="preserve"> </w:t>
      </w:r>
    </w:p>
    <w:p w14:paraId="1F52DD39" w14:textId="77777777" w:rsidR="00A250A1" w:rsidRDefault="00A250A1" w:rsidP="00A250A1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0A1">
        <w:rPr>
          <w:rFonts w:ascii="Book Antiqua" w:hAnsi="Book Antiqua"/>
          <w:i/>
          <w:sz w:val="24"/>
          <w:szCs w:val="24"/>
        </w:rPr>
        <w:t>III - 22% (vinte e dois por cento):</w:t>
      </w:r>
    </w:p>
    <w:p w14:paraId="783BE6F6" w14:textId="77777777" w:rsidR="00A250A1" w:rsidRDefault="00A250A1" w:rsidP="00A250A1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A250A1">
        <w:rPr>
          <w:rFonts w:ascii="Book Antiqua" w:hAnsi="Book Antiqua"/>
          <w:i/>
          <w:sz w:val="24"/>
          <w:szCs w:val="24"/>
        </w:rPr>
        <w:t>(NR – Lei 12.120/23, com efeito a partir de 19.02.24)</w:t>
      </w:r>
    </w:p>
    <w:p w14:paraId="7EE4260A" w14:textId="7E59B0C6" w:rsidR="00F85B15" w:rsidRPr="00F85B15" w:rsidRDefault="00A250A1" w:rsidP="00F85B15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* 2</w:t>
      </w:r>
      <w:r w:rsidR="00F85B15" w:rsidRPr="00F85B15">
        <w:rPr>
          <w:rFonts w:ascii="Book Antiqua" w:hAnsi="Book Antiqua"/>
          <w:i/>
          <w:sz w:val="24"/>
          <w:szCs w:val="24"/>
        </w:rPr>
        <w:t xml:space="preserve">0% </w:t>
      </w:r>
      <w:r w:rsidRPr="00F85B15">
        <w:rPr>
          <w:rFonts w:ascii="Book Antiqua" w:hAnsi="Book Antiqua"/>
          <w:i/>
          <w:sz w:val="24"/>
          <w:szCs w:val="24"/>
        </w:rPr>
        <w:t xml:space="preserve">para operações </w:t>
      </w:r>
      <w:r>
        <w:rPr>
          <w:rFonts w:ascii="Book Antiqua" w:hAnsi="Book Antiqua"/>
          <w:i/>
          <w:sz w:val="24"/>
          <w:szCs w:val="24"/>
        </w:rPr>
        <w:t>entre</w:t>
      </w:r>
      <w:r w:rsidRPr="00F85B15">
        <w:rPr>
          <w:rFonts w:ascii="Book Antiqua" w:hAnsi="Book Antiqua"/>
          <w:i/>
          <w:sz w:val="24"/>
          <w:szCs w:val="24"/>
        </w:rPr>
        <w:t xml:space="preserve"> 01/04/2023</w:t>
      </w:r>
      <w:r>
        <w:rPr>
          <w:rFonts w:ascii="Book Antiqua" w:hAnsi="Book Antiqua"/>
          <w:i/>
          <w:sz w:val="24"/>
          <w:szCs w:val="24"/>
        </w:rPr>
        <w:t xml:space="preserve"> e 19/02/2024</w:t>
      </w:r>
      <w:r w:rsidR="00F85B15" w:rsidRPr="00F85B15">
        <w:rPr>
          <w:rFonts w:ascii="Book Antiqua" w:hAnsi="Book Antiqua"/>
          <w:i/>
          <w:sz w:val="24"/>
          <w:szCs w:val="24"/>
        </w:rPr>
        <w:t>:</w:t>
      </w:r>
    </w:p>
    <w:p w14:paraId="55E86F25" w14:textId="70C98755" w:rsidR="00A250A1" w:rsidRDefault="00A250A1" w:rsidP="00A250A1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 xml:space="preserve">* </w:t>
      </w:r>
      <w:r w:rsidRPr="00F85B15">
        <w:rPr>
          <w:rFonts w:ascii="Book Antiqua" w:hAnsi="Book Antiqua"/>
          <w:i/>
          <w:sz w:val="24"/>
          <w:szCs w:val="24"/>
        </w:rPr>
        <w:t>18% para operações anteriores a 01/04/2023</w:t>
      </w:r>
    </w:p>
    <w:p w14:paraId="190EF180" w14:textId="77777777" w:rsidR="00A250A1" w:rsidRPr="00F85B15" w:rsidRDefault="00A250A1" w:rsidP="00F85B15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</w:p>
    <w:p w14:paraId="5178E247" w14:textId="0EF9759B" w:rsidR="009D37E4" w:rsidRDefault="009D37E4" w:rsidP="00C556C6">
      <w:pPr>
        <w:pStyle w:val="Standard"/>
        <w:ind w:firstLine="567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</w:p>
    <w:bookmarkEnd w:id="0"/>
    <w:p w14:paraId="1A62E4E0" w14:textId="77777777" w:rsidR="00DE76F4" w:rsidRPr="00C556C6" w:rsidRDefault="00DE76F4" w:rsidP="00C556C6">
      <w:pPr>
        <w:pStyle w:val="Standard"/>
        <w:ind w:firstLine="567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</w:p>
    <w:p w14:paraId="28180F68" w14:textId="77777777" w:rsidR="00626934" w:rsidRPr="00C556C6" w:rsidRDefault="00D616A5" w:rsidP="00C556C6">
      <w:pPr>
        <w:pStyle w:val="Standard"/>
        <w:numPr>
          <w:ilvl w:val="1"/>
          <w:numId w:val="13"/>
        </w:numPr>
        <w:ind w:left="0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DA MULTA</w:t>
      </w:r>
    </w:p>
    <w:p w14:paraId="3E13D416" w14:textId="77777777" w:rsidR="006B7588" w:rsidRPr="00C556C6" w:rsidRDefault="006B7588" w:rsidP="00D616A5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19BC1887" w14:textId="05B7DA48" w:rsidR="006B7588" w:rsidRDefault="006B7588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Pelo descumprimento das obrigações principais ou acessórias, há a previsão da multa na Legislação Tributária da seguinte forma no </w:t>
      </w:r>
      <w:r w:rsidR="0089296A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a</w:t>
      </w:r>
      <w:r w:rsidRPr="00C556C6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rt. 80, II, alínea e: </w:t>
      </w:r>
    </w:p>
    <w:p w14:paraId="793DA331" w14:textId="77777777" w:rsidR="005F35B3" w:rsidRPr="00C556C6" w:rsidRDefault="005F35B3" w:rsidP="00C556C6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60059FEC" w14:textId="77777777" w:rsidR="006B7588" w:rsidRPr="00C556C6" w:rsidRDefault="006B7588" w:rsidP="001C0B6B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Art. 80. O descumprimento das obrigações principal e acessória previstas na legislação tributária, apurado mediante procedimento fiscal cabível, sem prejuízo do pagamento do valor do imposto, quando devido, sujeitará o infrator às seguintes multas:</w:t>
      </w:r>
    </w:p>
    <w:p w14:paraId="52D5195E" w14:textId="77777777" w:rsidR="006B7588" w:rsidRPr="00C556C6" w:rsidRDefault="006B7588" w:rsidP="001C0B6B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(...)</w:t>
      </w:r>
    </w:p>
    <w:p w14:paraId="543B15EC" w14:textId="77777777" w:rsidR="001C0B6B" w:rsidRDefault="006B7588" w:rsidP="001C0B6B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II - </w:t>
      </w:r>
      <w:proofErr w:type="gramStart"/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de</w:t>
      </w:r>
      <w:proofErr w:type="gramEnd"/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50% (cinquenta por cento) do valor do imposto, quando: (...)</w:t>
      </w:r>
    </w:p>
    <w:p w14:paraId="79C4D25A" w14:textId="77777777" w:rsidR="006B7588" w:rsidRPr="00C556C6" w:rsidRDefault="006B7588" w:rsidP="001C0B6B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C556C6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 xml:space="preserve"> e) deixar de recolher o imposto, no todo ou em parte, nas demais hipóteses não contidas nas alíneas anteriores, inclusive quando apurado em levantamento fiscal;</w:t>
      </w:r>
    </w:p>
    <w:p w14:paraId="0EC6BBD0" w14:textId="3B82A19C" w:rsidR="004B7B10" w:rsidRDefault="004B7B10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1D7EBC89" w14:textId="77777777" w:rsidR="00B77780" w:rsidRDefault="00B77780" w:rsidP="00C556C6">
      <w:pPr>
        <w:pStyle w:val="Standard"/>
        <w:ind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27586BD1" w14:textId="77777777" w:rsidR="004B7B10" w:rsidRDefault="004B7B10" w:rsidP="004B7B10">
      <w:pPr>
        <w:pStyle w:val="Standard"/>
        <w:numPr>
          <w:ilvl w:val="0"/>
          <w:numId w:val="13"/>
        </w:numPr>
        <w:ind w:left="0" w:right="-1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>
        <w:rPr>
          <w:rFonts w:ascii="Book Antiqua" w:hAnsi="Book Antiqua" w:cstheme="minorHAnsi"/>
          <w:b/>
          <w:bCs/>
          <w:color w:val="000000" w:themeColor="text1"/>
        </w:rPr>
        <w:t>DA MEMÓRIA DE CÁCULO</w:t>
      </w:r>
    </w:p>
    <w:p w14:paraId="170952FE" w14:textId="77777777" w:rsidR="00977CC5" w:rsidRDefault="00977CC5" w:rsidP="00977CC5">
      <w:pPr>
        <w:pStyle w:val="Standard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53B67B5F" w14:textId="24C78BB6" w:rsidR="00977CC5" w:rsidRDefault="00977CC5" w:rsidP="00A73E2F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977CC5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O cálculo do imposto em decorrência da antecipação prevista no parágrafo 7º do Art. 12 da Lei Estadual nº 7.799 de 2002 considerou a</w:t>
      </w:r>
      <w:r w:rsid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s</w:t>
      </w:r>
      <w:r w:rsidRPr="00977CC5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cobrança</w:t>
      </w:r>
      <w:r w:rsid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s</w:t>
      </w:r>
      <w:r w:rsidRPr="00977CC5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derivadas de TVI/IF</w:t>
      </w:r>
      <w:r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(s)</w:t>
      </w:r>
      <w:r w:rsidRPr="00977CC5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com as respectivas Notas Fiscais vinculadas ao fato gerador que fundamentou a sua cobrança, assegurando, assim, a previsão contida no art. 18, XI, da Lei Estadual nº 10.977/2018, Código de Defesa do Contribuinte do Estado do Maranhão:</w:t>
      </w:r>
    </w:p>
    <w:p w14:paraId="662FE8F1" w14:textId="77777777" w:rsidR="00977CC5" w:rsidRPr="00977CC5" w:rsidRDefault="00977CC5" w:rsidP="00977CC5">
      <w:pPr>
        <w:pStyle w:val="Standard"/>
        <w:ind w:left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1AA7C08F" w14:textId="77777777" w:rsidR="00977CC5" w:rsidRPr="00977CC5" w:rsidRDefault="00977CC5" w:rsidP="00977CC5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977CC5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Art. 18. É vedado à autoridade administrativa:</w:t>
      </w:r>
    </w:p>
    <w:p w14:paraId="3092E7A5" w14:textId="77777777" w:rsidR="00977CC5" w:rsidRPr="00977CC5" w:rsidRDefault="00977CC5" w:rsidP="00977CC5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977CC5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(...)</w:t>
      </w:r>
    </w:p>
    <w:p w14:paraId="0ECD798A" w14:textId="77777777" w:rsidR="00977CC5" w:rsidRPr="00977CC5" w:rsidRDefault="00977CC5" w:rsidP="00977CC5">
      <w:pPr>
        <w:pStyle w:val="Standard"/>
        <w:shd w:val="clear" w:color="auto" w:fill="DBE5F1" w:themeFill="accent1" w:themeFillTint="33"/>
        <w:ind w:left="2835"/>
        <w:jc w:val="both"/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</w:pPr>
      <w:r w:rsidRPr="00977CC5">
        <w:rPr>
          <w:rFonts w:ascii="Book Antiqua" w:eastAsiaTheme="minorHAnsi" w:hAnsi="Book Antiqua" w:cstheme="minorHAnsi"/>
          <w:i/>
          <w:iCs/>
          <w:color w:val="000000" w:themeColor="text1"/>
          <w:kern w:val="0"/>
          <w:lang w:eastAsia="en-US" w:bidi="ar-SA"/>
        </w:rPr>
        <w:t>XI – impor ao contribuinte a cobrança de débito que não tenha sido devidamente apurado e demonstrado;</w:t>
      </w:r>
    </w:p>
    <w:p w14:paraId="7BBC5961" w14:textId="77777777" w:rsidR="00977CC5" w:rsidRPr="00977CC5" w:rsidRDefault="00977CC5" w:rsidP="00977CC5">
      <w:pPr>
        <w:pStyle w:val="Standard"/>
        <w:ind w:left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5B76C917" w14:textId="62472E50" w:rsidR="00E829DC" w:rsidRDefault="00977CC5" w:rsidP="00A73E2F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977CC5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Dessa forma, foi levada em conta, para o cálculo do imposto devido e da multa, quando prevista, a majoração da Base de Cálculo, a aplicação da alíquota vigente para a operação, a dedução do crédito correspondente destacado nas Notas Fiscais e a multa correspondente, sem prejuízo de </w:t>
      </w:r>
      <w:r w:rsidRPr="00977CC5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lastRenderedPageBreak/>
        <w:t>juros moratórios.</w:t>
      </w:r>
    </w:p>
    <w:p w14:paraId="73EA602F" w14:textId="08D1363B" w:rsidR="00977CC5" w:rsidRDefault="000E2454" w:rsidP="00B77780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Apresenta-se </w:t>
      </w:r>
      <w:r w:rsidR="008060A3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a seguir</w:t>
      </w:r>
      <w:r w:rsidRP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um resumo da memória de cálculo do imposto devido com a devida majoração (50%), desconto do crédito destacado em Nota Fiscal e com o acréscimo da Multa aplicada. Destaca-se que a memória de cálculo detalhada </w:t>
      </w:r>
      <w:proofErr w:type="gramStart"/>
      <w:r w:rsidRP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encontra-se</w:t>
      </w:r>
      <w:proofErr w:type="gramEnd"/>
      <w:r w:rsidRP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anex</w:t>
      </w:r>
      <w:r w:rsidR="008060A3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a</w:t>
      </w:r>
      <w:r w:rsidRPr="000E2454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 xml:space="preserve"> a este relatório.</w:t>
      </w:r>
    </w:p>
    <w:p w14:paraId="09BDBE3D" w14:textId="77777777" w:rsidR="005E7DF8" w:rsidRDefault="005E7DF8" w:rsidP="00B77780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4DED82D5" w14:textId="56BD1DD2" w:rsidR="008060A3" w:rsidRDefault="00AA6985" w:rsidP="005E7DF8">
      <w:pPr>
        <w:pStyle w:val="Standard"/>
        <w:spacing w:line="360" w:lineRule="auto"/>
        <w:ind w:firstLine="567"/>
        <w:jc w:val="center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#QUADRORESUMO</w:t>
      </w:r>
    </w:p>
    <w:p w14:paraId="2A882829" w14:textId="77777777" w:rsidR="00F43BAE" w:rsidRDefault="00F43BAE" w:rsidP="00B77780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</w:p>
    <w:p w14:paraId="2F58E2FC" w14:textId="77777777" w:rsidR="005E7DF8" w:rsidRDefault="005E7DF8" w:rsidP="000B2580">
      <w:pPr>
        <w:pStyle w:val="Standard"/>
        <w:spacing w:line="360" w:lineRule="auto"/>
        <w:ind w:firstLine="567"/>
        <w:jc w:val="center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bookmarkStart w:id="1" w:name="tab2"/>
      <w:bookmarkEnd w:id="1"/>
    </w:p>
    <w:p w14:paraId="1449E61F" w14:textId="5987620E" w:rsidR="00626934" w:rsidRPr="00C556C6" w:rsidRDefault="00626934" w:rsidP="00D616A5">
      <w:pPr>
        <w:pStyle w:val="Standard"/>
        <w:numPr>
          <w:ilvl w:val="0"/>
          <w:numId w:val="13"/>
        </w:numPr>
        <w:ind w:left="0" w:right="-1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PARECER</w:t>
      </w:r>
    </w:p>
    <w:p w14:paraId="720E0096" w14:textId="77777777" w:rsidR="00023F4B" w:rsidRPr="00977CC5" w:rsidRDefault="00023F4B" w:rsidP="00C556C6">
      <w:pPr>
        <w:pStyle w:val="Standard"/>
        <w:ind w:right="-1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4D69AB4E" w14:textId="3D9FFCC2" w:rsidR="00977CC5" w:rsidRPr="00A73E2F" w:rsidRDefault="00977CC5" w:rsidP="00A73E2F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A73E2F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A empresa encontrava-se com a inscrição suspensa no momento da lavratura dos TVI/IF(s) citados anteriormente. Assim, segundo a Legislação do estado, Lei 7799/02, Art. 12, § 7º:</w:t>
      </w:r>
    </w:p>
    <w:p w14:paraId="69DDB4B6" w14:textId="77777777" w:rsidR="00977CC5" w:rsidRPr="00977CC5" w:rsidRDefault="00977CC5" w:rsidP="00977CC5">
      <w:pPr>
        <w:shd w:val="clear" w:color="auto" w:fill="DBE5F1" w:themeFill="accent1" w:themeFillTint="33"/>
        <w:spacing w:line="240" w:lineRule="auto"/>
        <w:ind w:left="2835"/>
        <w:jc w:val="both"/>
        <w:rPr>
          <w:rFonts w:ascii="Book Antiqua" w:hAnsi="Book Antiqua"/>
          <w:i/>
          <w:sz w:val="24"/>
          <w:szCs w:val="24"/>
        </w:rPr>
      </w:pPr>
      <w:r w:rsidRPr="00977CC5">
        <w:rPr>
          <w:rFonts w:ascii="Book Antiqua" w:hAnsi="Book Antiqua"/>
          <w:i/>
          <w:sz w:val="24"/>
          <w:szCs w:val="24"/>
        </w:rPr>
        <w:t>§ 7º Poderá ser exigido o pagamento antecipado do imposto nas operações e prestações realizadas por estabelecimentos não inscritos no cadastro de contribuintes do ICMS - CAD/ICMS, bem como pelos inscritos de existência transitória ou daqueles cuja inscrição esteja suspensa, baixada ou cancelada.</w:t>
      </w:r>
    </w:p>
    <w:p w14:paraId="796AA11A" w14:textId="4FE3F77A" w:rsidR="00977CC5" w:rsidRDefault="00977CC5" w:rsidP="00A73E2F">
      <w:pPr>
        <w:pStyle w:val="Standard"/>
        <w:spacing w:line="360" w:lineRule="auto"/>
        <w:ind w:firstLine="567"/>
        <w:jc w:val="both"/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</w:pPr>
      <w:r w:rsidRPr="00A73E2F">
        <w:rPr>
          <w:rFonts w:ascii="Book Antiqua" w:eastAsiaTheme="minorHAnsi" w:hAnsi="Book Antiqua" w:cstheme="minorHAnsi"/>
          <w:color w:val="000000" w:themeColor="text1"/>
          <w:kern w:val="0"/>
          <w:lang w:eastAsia="en-US" w:bidi="ar-SA"/>
        </w:rPr>
        <w:t>Considerando que o contribuinte estava suspenso de ofício por motivo legal e justo, exige-se o pagamento antecipado com fulcro no artigo supracitado.</w:t>
      </w:r>
    </w:p>
    <w:p w14:paraId="68585B1D" w14:textId="77777777" w:rsidR="00023F4B" w:rsidRPr="00C556C6" w:rsidRDefault="00023F4B" w:rsidP="00C556C6">
      <w:pPr>
        <w:pStyle w:val="Standard"/>
        <w:ind w:right="-1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</w:p>
    <w:p w14:paraId="20AC6232" w14:textId="77777777" w:rsidR="00626934" w:rsidRPr="00AA7A08" w:rsidRDefault="00626934" w:rsidP="00AA7A08">
      <w:pPr>
        <w:pStyle w:val="Standard"/>
        <w:numPr>
          <w:ilvl w:val="0"/>
          <w:numId w:val="13"/>
        </w:numPr>
        <w:ind w:left="0" w:right="-1" w:firstLine="567"/>
        <w:jc w:val="both"/>
        <w:rPr>
          <w:rFonts w:ascii="Book Antiqua" w:hAnsi="Book Antiqua" w:cstheme="minorHAnsi"/>
          <w:b/>
          <w:bCs/>
          <w:color w:val="000000" w:themeColor="text1"/>
        </w:rPr>
      </w:pPr>
      <w:r w:rsidRPr="00C556C6">
        <w:rPr>
          <w:rFonts w:ascii="Book Antiqua" w:hAnsi="Book Antiqua" w:cstheme="minorHAnsi"/>
          <w:b/>
          <w:bCs/>
          <w:color w:val="000000" w:themeColor="text1"/>
        </w:rPr>
        <w:t>CONCLUSÃO</w:t>
      </w:r>
    </w:p>
    <w:p w14:paraId="103FD8E8" w14:textId="77777777" w:rsidR="00626934" w:rsidRPr="00C556C6" w:rsidRDefault="00626934" w:rsidP="00D616A5">
      <w:pPr>
        <w:pStyle w:val="Default"/>
        <w:ind w:firstLine="567"/>
        <w:jc w:val="both"/>
        <w:rPr>
          <w:rFonts w:ascii="Book Antiqua" w:hAnsi="Book Antiqua" w:cstheme="minorHAnsi"/>
          <w:color w:val="000000" w:themeColor="text1"/>
        </w:rPr>
      </w:pPr>
    </w:p>
    <w:p w14:paraId="7C70ED5B" w14:textId="77777777" w:rsidR="00C556C6" w:rsidRPr="00C556C6" w:rsidRDefault="00C556C6" w:rsidP="00C556C6">
      <w:pPr>
        <w:tabs>
          <w:tab w:val="left" w:pos="7215"/>
        </w:tabs>
        <w:spacing w:after="0" w:line="360" w:lineRule="auto"/>
        <w:ind w:firstLine="567"/>
        <w:jc w:val="both"/>
        <w:rPr>
          <w:rFonts w:ascii="Book Antiqua" w:hAnsi="Book Antiqua" w:cstheme="minorHAnsi"/>
          <w:b/>
          <w:bCs/>
          <w:color w:val="000000" w:themeColor="text1"/>
          <w:sz w:val="24"/>
          <w:szCs w:val="24"/>
        </w:rPr>
      </w:pPr>
      <w:r w:rsidRPr="00C556C6">
        <w:rPr>
          <w:rFonts w:ascii="Book Antiqua" w:hAnsi="Book Antiqua" w:cstheme="minorHAnsi"/>
          <w:color w:val="000000" w:themeColor="text1"/>
          <w:sz w:val="24"/>
          <w:szCs w:val="24"/>
        </w:rPr>
        <w:t xml:space="preserve">Conclui-se favorável à Fazenda Estadual exercer o seu direito contra o respectivo contribuinte que praticou o fato gerador, conforme demonstrado nesse relatório, e praticar todos os atos necessários para recuperar os valores devidos ao Tesouro Estadual. </w:t>
      </w:r>
    </w:p>
    <w:p w14:paraId="1077ECF7" w14:textId="3FB38C4E" w:rsidR="009D5755" w:rsidRDefault="00C556C6" w:rsidP="00C556C6">
      <w:pPr>
        <w:tabs>
          <w:tab w:val="left" w:pos="7215"/>
        </w:tabs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  <w:r w:rsidRPr="00C556C6">
        <w:rPr>
          <w:rFonts w:ascii="Book Antiqua" w:hAnsi="Book Antiqua" w:cstheme="minorHAnsi"/>
          <w:color w:val="000000" w:themeColor="text1"/>
          <w:sz w:val="24"/>
          <w:szCs w:val="24"/>
        </w:rPr>
        <w:t>Após a ciência pelo contribuinte do Auto de Infração, o</w:t>
      </w:r>
      <w:r w:rsidR="00824678">
        <w:rPr>
          <w:rFonts w:ascii="Book Antiqua" w:hAnsi="Book Antiqua" w:cstheme="minorHAnsi"/>
          <w:color w:val="000000" w:themeColor="text1"/>
          <w:sz w:val="24"/>
          <w:szCs w:val="24"/>
        </w:rPr>
        <w:t>s</w:t>
      </w:r>
      <w:r w:rsidRPr="00C556C6">
        <w:rPr>
          <w:rFonts w:ascii="Book Antiqua" w:hAnsi="Book Antiqua" w:cstheme="minorHAnsi"/>
          <w:color w:val="000000" w:themeColor="text1"/>
          <w:sz w:val="24"/>
          <w:szCs w:val="24"/>
        </w:rPr>
        <w:t xml:space="preserve"> TVI/IF</w:t>
      </w:r>
      <w:r w:rsidR="00824678">
        <w:rPr>
          <w:rFonts w:ascii="Book Antiqua" w:hAnsi="Book Antiqua" w:cstheme="minorHAnsi"/>
          <w:color w:val="000000" w:themeColor="text1"/>
          <w:sz w:val="24"/>
          <w:szCs w:val="24"/>
        </w:rPr>
        <w:t>(s)</w:t>
      </w:r>
      <w:r w:rsidRPr="00C556C6">
        <w:rPr>
          <w:rFonts w:ascii="Book Antiqua" w:hAnsi="Book Antiqua" w:cstheme="minorHAnsi"/>
          <w:color w:val="000000" w:themeColor="text1"/>
          <w:sz w:val="24"/>
          <w:szCs w:val="24"/>
        </w:rPr>
        <w:t xml:space="preserve"> ser</w:t>
      </w:r>
      <w:r w:rsidR="00824678">
        <w:rPr>
          <w:rFonts w:ascii="Book Antiqua" w:hAnsi="Book Antiqua" w:cstheme="minorHAnsi"/>
          <w:color w:val="000000" w:themeColor="text1"/>
          <w:sz w:val="24"/>
          <w:szCs w:val="24"/>
        </w:rPr>
        <w:t>ão</w:t>
      </w:r>
      <w:r w:rsidRPr="00C556C6">
        <w:rPr>
          <w:rFonts w:ascii="Book Antiqua" w:hAnsi="Book Antiqua" w:cstheme="minorHAnsi"/>
          <w:color w:val="000000" w:themeColor="text1"/>
          <w:sz w:val="24"/>
          <w:szCs w:val="24"/>
        </w:rPr>
        <w:t xml:space="preserve"> devidamente homologado</w:t>
      </w:r>
      <w:r w:rsidR="00824678">
        <w:rPr>
          <w:rFonts w:ascii="Book Antiqua" w:hAnsi="Book Antiqua" w:cstheme="minorHAnsi"/>
          <w:color w:val="000000" w:themeColor="text1"/>
          <w:sz w:val="24"/>
          <w:szCs w:val="24"/>
        </w:rPr>
        <w:t>s</w:t>
      </w:r>
      <w:r w:rsidRPr="00C556C6">
        <w:rPr>
          <w:rFonts w:ascii="Book Antiqua" w:hAnsi="Book Antiqua" w:cstheme="minorHAnsi"/>
          <w:color w:val="000000" w:themeColor="text1"/>
          <w:sz w:val="24"/>
          <w:szCs w:val="24"/>
        </w:rPr>
        <w:t xml:space="preserve"> na conta corrente do contribuinte.</w:t>
      </w:r>
    </w:p>
    <w:p w14:paraId="5F62AE1D" w14:textId="77777777" w:rsidR="009D5755" w:rsidRPr="00C556C6" w:rsidRDefault="009D5755" w:rsidP="009D5755">
      <w:pPr>
        <w:tabs>
          <w:tab w:val="left" w:pos="7215"/>
        </w:tabs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</w:p>
    <w:p w14:paraId="67BE6BBE" w14:textId="0964830A" w:rsidR="009D5755" w:rsidRPr="00E32095" w:rsidRDefault="009D5755" w:rsidP="009D5755">
      <w:pPr>
        <w:pStyle w:val="Standard"/>
        <w:spacing w:line="360" w:lineRule="auto"/>
        <w:ind w:right="-1" w:firstLine="567"/>
        <w:jc w:val="center"/>
        <w:rPr>
          <w:rFonts w:ascii="Book Antiqua" w:hAnsi="Book Antiqua" w:cstheme="minorHAnsi"/>
          <w:b/>
        </w:rPr>
      </w:pPr>
      <w:r w:rsidRPr="00E32095">
        <w:rPr>
          <w:rFonts w:ascii="Book Antiqua" w:hAnsi="Book Antiqua" w:cstheme="minorHAnsi"/>
        </w:rPr>
        <w:t xml:space="preserve">CEGAF/COTAF/TRÂNSITO, </w:t>
      </w:r>
      <w:r w:rsidR="00022E5C" w:rsidRPr="00A250A1">
        <w:rPr>
          <w:rFonts w:ascii="Book Antiqua" w:hAnsi="Book Antiqua" w:cstheme="minorHAnsi"/>
        </w:rPr>
        <w:t>#DATA</w:t>
      </w:r>
      <w:r w:rsidRPr="00A250A1">
        <w:rPr>
          <w:rFonts w:ascii="Book Antiqua" w:hAnsi="Book Antiqua" w:cstheme="minorHAnsi"/>
        </w:rPr>
        <w:t>.</w:t>
      </w:r>
    </w:p>
    <w:p w14:paraId="0F3856BB" w14:textId="77777777" w:rsidR="009D5755" w:rsidRDefault="009D5755" w:rsidP="009D5755">
      <w:pPr>
        <w:pStyle w:val="SemEspaamento"/>
        <w:spacing w:line="360" w:lineRule="auto"/>
        <w:ind w:right="-1" w:firstLine="567"/>
        <w:jc w:val="center"/>
        <w:rPr>
          <w:rFonts w:ascii="Book Antiqua" w:hAnsi="Book Antiqua" w:cstheme="minorHAnsi"/>
          <w:b/>
          <w:sz w:val="24"/>
          <w:szCs w:val="24"/>
        </w:rPr>
      </w:pPr>
    </w:p>
    <w:p w14:paraId="550C00C0" w14:textId="77777777" w:rsidR="009D5755" w:rsidRPr="00E32095" w:rsidRDefault="009D5755" w:rsidP="009D5755">
      <w:pPr>
        <w:pStyle w:val="SemEspaamento"/>
        <w:spacing w:line="360" w:lineRule="auto"/>
        <w:ind w:right="-1" w:firstLine="567"/>
        <w:jc w:val="center"/>
        <w:rPr>
          <w:rFonts w:ascii="Book Antiqua" w:hAnsi="Book Antiqua" w:cstheme="minorHAnsi"/>
          <w:b/>
          <w:sz w:val="24"/>
          <w:szCs w:val="24"/>
        </w:rPr>
      </w:pPr>
    </w:p>
    <w:p w14:paraId="4885B88A" w14:textId="77777777" w:rsidR="009D5755" w:rsidRPr="00E32095" w:rsidRDefault="009D5755" w:rsidP="009D5755">
      <w:pPr>
        <w:pStyle w:val="SemEspaamento"/>
        <w:spacing w:line="360" w:lineRule="auto"/>
        <w:ind w:right="-1" w:firstLine="567"/>
        <w:jc w:val="center"/>
        <w:rPr>
          <w:rFonts w:ascii="Book Antiqua" w:hAnsi="Book Antiqua" w:cstheme="minorHAnsi"/>
          <w:b/>
          <w:sz w:val="24"/>
          <w:szCs w:val="24"/>
        </w:rPr>
      </w:pPr>
    </w:p>
    <w:p w14:paraId="4D056A76" w14:textId="188B185E" w:rsidR="009D5755" w:rsidRPr="00E32095" w:rsidRDefault="00AA6985" w:rsidP="009D5755">
      <w:pPr>
        <w:pStyle w:val="SemEspaamento"/>
        <w:ind w:firstLine="567"/>
        <w:jc w:val="center"/>
        <w:rPr>
          <w:rFonts w:ascii="Book Antiqua" w:hAnsi="Book Antiqua" w:cstheme="minorHAnsi"/>
          <w:b/>
          <w:sz w:val="24"/>
          <w:szCs w:val="24"/>
        </w:rPr>
      </w:pPr>
      <w:r>
        <w:rPr>
          <w:rFonts w:ascii="Book Antiqua" w:hAnsi="Book Antiqua" w:cstheme="minorHAnsi"/>
          <w:b/>
          <w:sz w:val="24"/>
          <w:szCs w:val="24"/>
        </w:rPr>
        <w:t>Pedro Henrique Perotto Pagot</w:t>
      </w:r>
    </w:p>
    <w:p w14:paraId="63D21305" w14:textId="01697233" w:rsidR="009D5755" w:rsidRPr="00E32095" w:rsidRDefault="009D5755" w:rsidP="009D5755">
      <w:pPr>
        <w:pStyle w:val="SemEspaamento"/>
        <w:ind w:firstLine="567"/>
        <w:jc w:val="center"/>
        <w:rPr>
          <w:rFonts w:ascii="Book Antiqua" w:hAnsi="Book Antiqua" w:cstheme="minorHAnsi"/>
          <w:b/>
          <w:sz w:val="24"/>
          <w:szCs w:val="24"/>
        </w:rPr>
      </w:pPr>
      <w:r w:rsidRPr="00E32095">
        <w:rPr>
          <w:rFonts w:ascii="Book Antiqua" w:hAnsi="Book Antiqua" w:cstheme="minorHAnsi"/>
          <w:b/>
          <w:sz w:val="24"/>
          <w:szCs w:val="24"/>
        </w:rPr>
        <w:t xml:space="preserve">AFRE - MA </w:t>
      </w:r>
      <w:r w:rsidR="00AA6985">
        <w:rPr>
          <w:rFonts w:ascii="Book Antiqua" w:hAnsi="Book Antiqua" w:cstheme="minorHAnsi"/>
          <w:b/>
          <w:sz w:val="24"/>
          <w:szCs w:val="24"/>
        </w:rPr>
        <w:t>882829</w:t>
      </w:r>
    </w:p>
    <w:p w14:paraId="692584C0" w14:textId="42EEADFB" w:rsidR="009D5755" w:rsidRPr="00C556C6" w:rsidRDefault="00751F47" w:rsidP="009D5755">
      <w:pPr>
        <w:tabs>
          <w:tab w:val="left" w:pos="7215"/>
        </w:tabs>
        <w:spacing w:line="360" w:lineRule="auto"/>
        <w:ind w:firstLine="567"/>
        <w:jc w:val="both"/>
        <w:rPr>
          <w:rFonts w:ascii="Book Antiqua" w:hAnsi="Book Antiqua" w:cstheme="minorHAnsi"/>
          <w:color w:val="000000" w:themeColor="text1"/>
          <w:sz w:val="24"/>
          <w:szCs w:val="24"/>
        </w:rPr>
      </w:pPr>
      <w:r>
        <w:rPr>
          <w:rFonts w:ascii="Book Antiqua" w:hAnsi="Book Antiqua" w:cstheme="minorHAnsi"/>
          <w:sz w:val="24"/>
          <w:szCs w:val="24"/>
        </w:rPr>
        <w:t xml:space="preserve">                                                      </w:t>
      </w:r>
      <w:r w:rsidR="009D5755" w:rsidRPr="00E32095">
        <w:rPr>
          <w:rFonts w:ascii="Book Antiqua" w:hAnsi="Book Antiqua" w:cstheme="minorHAnsi"/>
          <w:sz w:val="24"/>
          <w:szCs w:val="24"/>
        </w:rPr>
        <w:t>CEGAF/COTAF/TRÂNSITO</w:t>
      </w:r>
    </w:p>
    <w:sectPr w:rsidR="009D5755" w:rsidRPr="00C556C6" w:rsidSect="001B28A9">
      <w:footerReference w:type="default" r:id="rId9"/>
      <w:pgSz w:w="11906" w:h="16838"/>
      <w:pgMar w:top="851" w:right="720" w:bottom="851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1DE11" w14:textId="77777777" w:rsidR="001C123C" w:rsidRDefault="001C123C" w:rsidP="0051030E">
      <w:pPr>
        <w:spacing w:after="0" w:line="240" w:lineRule="auto"/>
      </w:pPr>
      <w:r>
        <w:separator/>
      </w:r>
    </w:p>
  </w:endnote>
  <w:endnote w:type="continuationSeparator" w:id="0">
    <w:p w14:paraId="67311C30" w14:textId="77777777" w:rsidR="001C123C" w:rsidRDefault="001C123C" w:rsidP="0051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6496"/>
      <w:docPartObj>
        <w:docPartGallery w:val="Page Numbers (Bottom of Page)"/>
        <w:docPartUnique/>
      </w:docPartObj>
    </w:sdtPr>
    <w:sdtEndPr/>
    <w:sdtContent>
      <w:p w14:paraId="2D11968C" w14:textId="77777777" w:rsidR="00A63136" w:rsidRDefault="00A63136" w:rsidP="00A377AA">
        <w:pPr>
          <w:pStyle w:val="Rodap"/>
          <w:jc w:val="center"/>
        </w:pPr>
      </w:p>
      <w:p w14:paraId="16C941B1" w14:textId="4B056426" w:rsidR="0051030E" w:rsidRDefault="00655D83" w:rsidP="00A377AA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1959312" wp14:editId="28C4102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1260" cy="190500"/>
                  <wp:effectExtent l="9525" t="9525" r="9525" b="0"/>
                  <wp:wrapNone/>
                  <wp:docPr id="1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126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6260294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37DF12" w14:textId="77777777" w:rsidR="0051030E" w:rsidRDefault="00A067D9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51030E"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3B1987" w:rsidRPr="003B198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0043132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59312" id="Grupo 4" o:spid="_x0000_s1026" style="position:absolute;left:0;text-align:left;margin-left:0;margin-top:0;width:593.8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" filled="f" stroked="f">
                    <v:textbox inset="0,0,0,0">
                      <w:txbxContent>
                        <w:p w14:paraId="5237DF12" w14:textId="77777777" w:rsidR="0051030E" w:rsidRDefault="00A067D9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51030E"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3B1987" w:rsidRPr="003B198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5087A" w14:textId="77777777" w:rsidR="001C123C" w:rsidRDefault="001C123C" w:rsidP="0051030E">
      <w:pPr>
        <w:spacing w:after="0" w:line="240" w:lineRule="auto"/>
      </w:pPr>
      <w:r>
        <w:separator/>
      </w:r>
    </w:p>
  </w:footnote>
  <w:footnote w:type="continuationSeparator" w:id="0">
    <w:p w14:paraId="16F0A817" w14:textId="77777777" w:rsidR="001C123C" w:rsidRDefault="001C123C" w:rsidP="00510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635"/>
    <w:multiLevelType w:val="hybridMultilevel"/>
    <w:tmpl w:val="B2840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70061"/>
    <w:multiLevelType w:val="multilevel"/>
    <w:tmpl w:val="3A4003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1C6612"/>
    <w:multiLevelType w:val="hybridMultilevel"/>
    <w:tmpl w:val="DB58694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25C97"/>
    <w:multiLevelType w:val="hybridMultilevel"/>
    <w:tmpl w:val="8A5C941E"/>
    <w:lvl w:ilvl="0" w:tplc="04160013">
      <w:start w:val="1"/>
      <w:numFmt w:val="upperRoman"/>
      <w:lvlText w:val="%1."/>
      <w:lvlJc w:val="right"/>
      <w:pPr>
        <w:ind w:left="720" w:hanging="360"/>
      </w:pPr>
      <w:rPr>
        <w:b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A4880"/>
    <w:multiLevelType w:val="hybridMultilevel"/>
    <w:tmpl w:val="38F6B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A1F73"/>
    <w:multiLevelType w:val="hybridMultilevel"/>
    <w:tmpl w:val="6D1AF6EC"/>
    <w:lvl w:ilvl="0" w:tplc="4B4E62E6">
      <w:start w:val="1"/>
      <w:numFmt w:val="lowerLetter"/>
      <w:lvlText w:val="%1)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2AC327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C3773"/>
    <w:multiLevelType w:val="hybridMultilevel"/>
    <w:tmpl w:val="0F548E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E5661"/>
    <w:multiLevelType w:val="hybridMultilevel"/>
    <w:tmpl w:val="325EAB60"/>
    <w:lvl w:ilvl="0" w:tplc="B9B4CFD2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363D03D2"/>
    <w:multiLevelType w:val="hybridMultilevel"/>
    <w:tmpl w:val="C7C8DDB4"/>
    <w:lvl w:ilvl="0" w:tplc="664267CE">
      <w:start w:val="1"/>
      <w:numFmt w:val="lowerLetter"/>
      <w:lvlText w:val="%1)"/>
      <w:lvlJc w:val="left"/>
      <w:pPr>
        <w:ind w:left="37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482" w:hanging="360"/>
      </w:pPr>
    </w:lvl>
    <w:lvl w:ilvl="2" w:tplc="0416001B" w:tentative="1">
      <w:start w:val="1"/>
      <w:numFmt w:val="lowerRoman"/>
      <w:lvlText w:val="%3."/>
      <w:lvlJc w:val="right"/>
      <w:pPr>
        <w:ind w:left="5202" w:hanging="180"/>
      </w:pPr>
    </w:lvl>
    <w:lvl w:ilvl="3" w:tplc="0416000F" w:tentative="1">
      <w:start w:val="1"/>
      <w:numFmt w:val="decimal"/>
      <w:lvlText w:val="%4."/>
      <w:lvlJc w:val="left"/>
      <w:pPr>
        <w:ind w:left="5922" w:hanging="360"/>
      </w:pPr>
    </w:lvl>
    <w:lvl w:ilvl="4" w:tplc="04160019" w:tentative="1">
      <w:start w:val="1"/>
      <w:numFmt w:val="lowerLetter"/>
      <w:lvlText w:val="%5."/>
      <w:lvlJc w:val="left"/>
      <w:pPr>
        <w:ind w:left="6642" w:hanging="360"/>
      </w:pPr>
    </w:lvl>
    <w:lvl w:ilvl="5" w:tplc="0416001B" w:tentative="1">
      <w:start w:val="1"/>
      <w:numFmt w:val="lowerRoman"/>
      <w:lvlText w:val="%6."/>
      <w:lvlJc w:val="right"/>
      <w:pPr>
        <w:ind w:left="7362" w:hanging="180"/>
      </w:pPr>
    </w:lvl>
    <w:lvl w:ilvl="6" w:tplc="0416000F" w:tentative="1">
      <w:start w:val="1"/>
      <w:numFmt w:val="decimal"/>
      <w:lvlText w:val="%7."/>
      <w:lvlJc w:val="left"/>
      <w:pPr>
        <w:ind w:left="8082" w:hanging="360"/>
      </w:pPr>
    </w:lvl>
    <w:lvl w:ilvl="7" w:tplc="04160019" w:tentative="1">
      <w:start w:val="1"/>
      <w:numFmt w:val="lowerLetter"/>
      <w:lvlText w:val="%8."/>
      <w:lvlJc w:val="left"/>
      <w:pPr>
        <w:ind w:left="8802" w:hanging="360"/>
      </w:pPr>
    </w:lvl>
    <w:lvl w:ilvl="8" w:tplc="0416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0" w15:restartNumberingAfterBreak="0">
    <w:nsid w:val="365C339A"/>
    <w:multiLevelType w:val="hybridMultilevel"/>
    <w:tmpl w:val="A66CE97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820009"/>
    <w:multiLevelType w:val="hybridMultilevel"/>
    <w:tmpl w:val="179061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D3B7D"/>
    <w:multiLevelType w:val="hybridMultilevel"/>
    <w:tmpl w:val="B6C67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771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8A2F07"/>
    <w:multiLevelType w:val="multilevel"/>
    <w:tmpl w:val="178A67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6180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9615D2"/>
    <w:multiLevelType w:val="hybridMultilevel"/>
    <w:tmpl w:val="782CC6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5"/>
  </w:num>
  <w:num w:numId="5">
    <w:abstractNumId w:val="10"/>
  </w:num>
  <w:num w:numId="6">
    <w:abstractNumId w:val="11"/>
  </w:num>
  <w:num w:numId="7">
    <w:abstractNumId w:val="13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  <w:num w:numId="12">
    <w:abstractNumId w:val="8"/>
  </w:num>
  <w:num w:numId="13">
    <w:abstractNumId w:val="14"/>
  </w:num>
  <w:num w:numId="14">
    <w:abstractNumId w:val="1"/>
  </w:num>
  <w:num w:numId="15">
    <w:abstractNumId w:val="2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5"/>
    <w:rsid w:val="00012CAD"/>
    <w:rsid w:val="00022E5C"/>
    <w:rsid w:val="00023F4B"/>
    <w:rsid w:val="00027680"/>
    <w:rsid w:val="000311F5"/>
    <w:rsid w:val="00035D46"/>
    <w:rsid w:val="00035DAB"/>
    <w:rsid w:val="00042452"/>
    <w:rsid w:val="00045570"/>
    <w:rsid w:val="00045D39"/>
    <w:rsid w:val="000511EE"/>
    <w:rsid w:val="00057193"/>
    <w:rsid w:val="00057864"/>
    <w:rsid w:val="00061458"/>
    <w:rsid w:val="00061630"/>
    <w:rsid w:val="00072060"/>
    <w:rsid w:val="00072972"/>
    <w:rsid w:val="00081138"/>
    <w:rsid w:val="000874A9"/>
    <w:rsid w:val="00090E9A"/>
    <w:rsid w:val="0009140E"/>
    <w:rsid w:val="00095C4B"/>
    <w:rsid w:val="000A79D0"/>
    <w:rsid w:val="000B2580"/>
    <w:rsid w:val="000B2BB8"/>
    <w:rsid w:val="000B75DD"/>
    <w:rsid w:val="000C1759"/>
    <w:rsid w:val="000C32DE"/>
    <w:rsid w:val="000D1337"/>
    <w:rsid w:val="000D1C45"/>
    <w:rsid w:val="000D4B9F"/>
    <w:rsid w:val="000D6B0B"/>
    <w:rsid w:val="000E1B6D"/>
    <w:rsid w:val="000E1F46"/>
    <w:rsid w:val="000E2454"/>
    <w:rsid w:val="000E27AA"/>
    <w:rsid w:val="000E7FE9"/>
    <w:rsid w:val="000F3751"/>
    <w:rsid w:val="000F70D1"/>
    <w:rsid w:val="00100291"/>
    <w:rsid w:val="0010040D"/>
    <w:rsid w:val="0010577E"/>
    <w:rsid w:val="0011415F"/>
    <w:rsid w:val="00120C91"/>
    <w:rsid w:val="00136948"/>
    <w:rsid w:val="0015706D"/>
    <w:rsid w:val="00164467"/>
    <w:rsid w:val="00166E59"/>
    <w:rsid w:val="00167A6D"/>
    <w:rsid w:val="00177D53"/>
    <w:rsid w:val="0018091D"/>
    <w:rsid w:val="00180B9A"/>
    <w:rsid w:val="001858B9"/>
    <w:rsid w:val="00187B5D"/>
    <w:rsid w:val="001935FC"/>
    <w:rsid w:val="00193CE3"/>
    <w:rsid w:val="001A0683"/>
    <w:rsid w:val="001A0BD2"/>
    <w:rsid w:val="001A5B47"/>
    <w:rsid w:val="001B28A9"/>
    <w:rsid w:val="001B38EA"/>
    <w:rsid w:val="001B682A"/>
    <w:rsid w:val="001C0B6B"/>
    <w:rsid w:val="001C123C"/>
    <w:rsid w:val="001C5B70"/>
    <w:rsid w:val="001D76F0"/>
    <w:rsid w:val="001D77CF"/>
    <w:rsid w:val="001E7E14"/>
    <w:rsid w:val="001F2A5F"/>
    <w:rsid w:val="001F4FA5"/>
    <w:rsid w:val="0021201B"/>
    <w:rsid w:val="0021439A"/>
    <w:rsid w:val="0021704E"/>
    <w:rsid w:val="00217DD0"/>
    <w:rsid w:val="00222BD8"/>
    <w:rsid w:val="00226106"/>
    <w:rsid w:val="002313FB"/>
    <w:rsid w:val="00232668"/>
    <w:rsid w:val="002332E6"/>
    <w:rsid w:val="00240561"/>
    <w:rsid w:val="00255A4E"/>
    <w:rsid w:val="00260CE2"/>
    <w:rsid w:val="0026541C"/>
    <w:rsid w:val="0026573C"/>
    <w:rsid w:val="00267391"/>
    <w:rsid w:val="00273295"/>
    <w:rsid w:val="00273F51"/>
    <w:rsid w:val="00293FDA"/>
    <w:rsid w:val="002A3F8E"/>
    <w:rsid w:val="002B2BA5"/>
    <w:rsid w:val="002C00C7"/>
    <w:rsid w:val="002C074E"/>
    <w:rsid w:val="002C3F7B"/>
    <w:rsid w:val="002D15FB"/>
    <w:rsid w:val="002D31EF"/>
    <w:rsid w:val="002D7370"/>
    <w:rsid w:val="002E284F"/>
    <w:rsid w:val="002E44FF"/>
    <w:rsid w:val="002E4CBC"/>
    <w:rsid w:val="002E4DFC"/>
    <w:rsid w:val="002F3794"/>
    <w:rsid w:val="002F3982"/>
    <w:rsid w:val="002F539E"/>
    <w:rsid w:val="002F761B"/>
    <w:rsid w:val="002F7AE5"/>
    <w:rsid w:val="00302677"/>
    <w:rsid w:val="00312422"/>
    <w:rsid w:val="00317608"/>
    <w:rsid w:val="003245B0"/>
    <w:rsid w:val="00330981"/>
    <w:rsid w:val="003349D8"/>
    <w:rsid w:val="00335633"/>
    <w:rsid w:val="00351D8D"/>
    <w:rsid w:val="0035406F"/>
    <w:rsid w:val="00355FF9"/>
    <w:rsid w:val="003664DA"/>
    <w:rsid w:val="003753DD"/>
    <w:rsid w:val="0038440C"/>
    <w:rsid w:val="003866CA"/>
    <w:rsid w:val="00386DE1"/>
    <w:rsid w:val="003939A0"/>
    <w:rsid w:val="003943E2"/>
    <w:rsid w:val="00396FB6"/>
    <w:rsid w:val="00397B44"/>
    <w:rsid w:val="003A12E7"/>
    <w:rsid w:val="003A2CB1"/>
    <w:rsid w:val="003A50D9"/>
    <w:rsid w:val="003A68FE"/>
    <w:rsid w:val="003B1987"/>
    <w:rsid w:val="003B2696"/>
    <w:rsid w:val="003B5765"/>
    <w:rsid w:val="003B7309"/>
    <w:rsid w:val="003C0097"/>
    <w:rsid w:val="003C41E1"/>
    <w:rsid w:val="003D5A8F"/>
    <w:rsid w:val="003E00D3"/>
    <w:rsid w:val="003E10D8"/>
    <w:rsid w:val="003E1BA4"/>
    <w:rsid w:val="003E4B6F"/>
    <w:rsid w:val="003E4E60"/>
    <w:rsid w:val="003E79CD"/>
    <w:rsid w:val="00402683"/>
    <w:rsid w:val="004039B8"/>
    <w:rsid w:val="00405902"/>
    <w:rsid w:val="0041250C"/>
    <w:rsid w:val="00413FF6"/>
    <w:rsid w:val="004161FB"/>
    <w:rsid w:val="00417BF5"/>
    <w:rsid w:val="00421B2E"/>
    <w:rsid w:val="00423151"/>
    <w:rsid w:val="00427D3A"/>
    <w:rsid w:val="00444BDB"/>
    <w:rsid w:val="00452EF4"/>
    <w:rsid w:val="00454205"/>
    <w:rsid w:val="004560FB"/>
    <w:rsid w:val="0045654E"/>
    <w:rsid w:val="004567E0"/>
    <w:rsid w:val="0047167E"/>
    <w:rsid w:val="004738F0"/>
    <w:rsid w:val="00477617"/>
    <w:rsid w:val="004943A1"/>
    <w:rsid w:val="004A0157"/>
    <w:rsid w:val="004A40D5"/>
    <w:rsid w:val="004A48CE"/>
    <w:rsid w:val="004A7377"/>
    <w:rsid w:val="004B20A4"/>
    <w:rsid w:val="004B25C5"/>
    <w:rsid w:val="004B7B10"/>
    <w:rsid w:val="004C3F9A"/>
    <w:rsid w:val="004C53E2"/>
    <w:rsid w:val="004D0BDC"/>
    <w:rsid w:val="004D1CB5"/>
    <w:rsid w:val="004D1D43"/>
    <w:rsid w:val="004E10A3"/>
    <w:rsid w:val="004E3336"/>
    <w:rsid w:val="004E63EC"/>
    <w:rsid w:val="004F1191"/>
    <w:rsid w:val="004F123C"/>
    <w:rsid w:val="004F6940"/>
    <w:rsid w:val="00503823"/>
    <w:rsid w:val="0051030E"/>
    <w:rsid w:val="0051136D"/>
    <w:rsid w:val="00511F99"/>
    <w:rsid w:val="005134C6"/>
    <w:rsid w:val="00517334"/>
    <w:rsid w:val="00522168"/>
    <w:rsid w:val="005228A0"/>
    <w:rsid w:val="00525094"/>
    <w:rsid w:val="005329C6"/>
    <w:rsid w:val="005345AB"/>
    <w:rsid w:val="0053567F"/>
    <w:rsid w:val="00540153"/>
    <w:rsid w:val="005404E8"/>
    <w:rsid w:val="005416C2"/>
    <w:rsid w:val="00542A6E"/>
    <w:rsid w:val="00547771"/>
    <w:rsid w:val="00557492"/>
    <w:rsid w:val="00560DD4"/>
    <w:rsid w:val="00564234"/>
    <w:rsid w:val="00565A84"/>
    <w:rsid w:val="005661B6"/>
    <w:rsid w:val="00570CB4"/>
    <w:rsid w:val="00573EA6"/>
    <w:rsid w:val="005807DA"/>
    <w:rsid w:val="00582B1C"/>
    <w:rsid w:val="00585E11"/>
    <w:rsid w:val="005A1846"/>
    <w:rsid w:val="005A3DF7"/>
    <w:rsid w:val="005B1B82"/>
    <w:rsid w:val="005B2A0B"/>
    <w:rsid w:val="005C3A3F"/>
    <w:rsid w:val="005C57C2"/>
    <w:rsid w:val="005E4AF0"/>
    <w:rsid w:val="005E50D2"/>
    <w:rsid w:val="005E6CD7"/>
    <w:rsid w:val="005E7DF8"/>
    <w:rsid w:val="005F35B3"/>
    <w:rsid w:val="005F3642"/>
    <w:rsid w:val="006074D6"/>
    <w:rsid w:val="00610542"/>
    <w:rsid w:val="00610C4C"/>
    <w:rsid w:val="00615027"/>
    <w:rsid w:val="00622BA0"/>
    <w:rsid w:val="00624FCA"/>
    <w:rsid w:val="00625ED0"/>
    <w:rsid w:val="00626934"/>
    <w:rsid w:val="00626956"/>
    <w:rsid w:val="006271F5"/>
    <w:rsid w:val="00637125"/>
    <w:rsid w:val="00652856"/>
    <w:rsid w:val="00655D83"/>
    <w:rsid w:val="00662A9F"/>
    <w:rsid w:val="00662E1B"/>
    <w:rsid w:val="00667220"/>
    <w:rsid w:val="00667E41"/>
    <w:rsid w:val="00670989"/>
    <w:rsid w:val="00673E9A"/>
    <w:rsid w:val="00675B4A"/>
    <w:rsid w:val="0067652D"/>
    <w:rsid w:val="006801A5"/>
    <w:rsid w:val="00684837"/>
    <w:rsid w:val="0068551B"/>
    <w:rsid w:val="00685BA1"/>
    <w:rsid w:val="00686C04"/>
    <w:rsid w:val="00690936"/>
    <w:rsid w:val="0069213D"/>
    <w:rsid w:val="006A73BC"/>
    <w:rsid w:val="006B00A9"/>
    <w:rsid w:val="006B7588"/>
    <w:rsid w:val="006C5252"/>
    <w:rsid w:val="006D5C94"/>
    <w:rsid w:val="006E0B99"/>
    <w:rsid w:val="006E0FC7"/>
    <w:rsid w:val="006E17F7"/>
    <w:rsid w:val="006E1FCB"/>
    <w:rsid w:val="006E6D66"/>
    <w:rsid w:val="006F26EF"/>
    <w:rsid w:val="006F2D5F"/>
    <w:rsid w:val="00703C59"/>
    <w:rsid w:val="0070726F"/>
    <w:rsid w:val="00707768"/>
    <w:rsid w:val="00713F90"/>
    <w:rsid w:val="00716C4B"/>
    <w:rsid w:val="00717C33"/>
    <w:rsid w:val="0072247E"/>
    <w:rsid w:val="00724DDE"/>
    <w:rsid w:val="00733B97"/>
    <w:rsid w:val="00743F85"/>
    <w:rsid w:val="00746F72"/>
    <w:rsid w:val="00747AE4"/>
    <w:rsid w:val="00751F47"/>
    <w:rsid w:val="00752989"/>
    <w:rsid w:val="00753D96"/>
    <w:rsid w:val="00760353"/>
    <w:rsid w:val="00764442"/>
    <w:rsid w:val="00767CC1"/>
    <w:rsid w:val="00774CF4"/>
    <w:rsid w:val="00776CDA"/>
    <w:rsid w:val="00786CE8"/>
    <w:rsid w:val="007A5022"/>
    <w:rsid w:val="007A74CC"/>
    <w:rsid w:val="007B2BEE"/>
    <w:rsid w:val="007B519D"/>
    <w:rsid w:val="007B71BF"/>
    <w:rsid w:val="007C2078"/>
    <w:rsid w:val="007C48C0"/>
    <w:rsid w:val="007C5CB2"/>
    <w:rsid w:val="007D23F8"/>
    <w:rsid w:val="007E000E"/>
    <w:rsid w:val="007E7F32"/>
    <w:rsid w:val="007F310F"/>
    <w:rsid w:val="007F63D1"/>
    <w:rsid w:val="008000C1"/>
    <w:rsid w:val="00805327"/>
    <w:rsid w:val="008060A3"/>
    <w:rsid w:val="008063FE"/>
    <w:rsid w:val="00817BE1"/>
    <w:rsid w:val="0082095A"/>
    <w:rsid w:val="0082402B"/>
    <w:rsid w:val="00824678"/>
    <w:rsid w:val="00835369"/>
    <w:rsid w:val="008415A3"/>
    <w:rsid w:val="00844686"/>
    <w:rsid w:val="00844851"/>
    <w:rsid w:val="00844A5C"/>
    <w:rsid w:val="00846305"/>
    <w:rsid w:val="00850746"/>
    <w:rsid w:val="00850D02"/>
    <w:rsid w:val="008615D1"/>
    <w:rsid w:val="00862038"/>
    <w:rsid w:val="008851A6"/>
    <w:rsid w:val="0088616B"/>
    <w:rsid w:val="00890587"/>
    <w:rsid w:val="0089296A"/>
    <w:rsid w:val="00896C1F"/>
    <w:rsid w:val="008A6542"/>
    <w:rsid w:val="008B13F7"/>
    <w:rsid w:val="008B6E02"/>
    <w:rsid w:val="008C1602"/>
    <w:rsid w:val="008C3A4E"/>
    <w:rsid w:val="008C3B84"/>
    <w:rsid w:val="008C3DCE"/>
    <w:rsid w:val="008C45EE"/>
    <w:rsid w:val="008C69F4"/>
    <w:rsid w:val="008C7B60"/>
    <w:rsid w:val="008D34CF"/>
    <w:rsid w:val="008E36FF"/>
    <w:rsid w:val="008E4457"/>
    <w:rsid w:val="00904546"/>
    <w:rsid w:val="0090703A"/>
    <w:rsid w:val="00910C0C"/>
    <w:rsid w:val="009110E8"/>
    <w:rsid w:val="0091118D"/>
    <w:rsid w:val="00912387"/>
    <w:rsid w:val="00912D77"/>
    <w:rsid w:val="00913BFB"/>
    <w:rsid w:val="009162E6"/>
    <w:rsid w:val="009163DE"/>
    <w:rsid w:val="00917649"/>
    <w:rsid w:val="009232DC"/>
    <w:rsid w:val="009332B6"/>
    <w:rsid w:val="00933AD9"/>
    <w:rsid w:val="0094251E"/>
    <w:rsid w:val="00947FE4"/>
    <w:rsid w:val="0097276F"/>
    <w:rsid w:val="00973AEF"/>
    <w:rsid w:val="00976FE6"/>
    <w:rsid w:val="00977CC5"/>
    <w:rsid w:val="00991F2F"/>
    <w:rsid w:val="009A07CD"/>
    <w:rsid w:val="009A08C9"/>
    <w:rsid w:val="009A7F0F"/>
    <w:rsid w:val="009B0526"/>
    <w:rsid w:val="009B47E4"/>
    <w:rsid w:val="009B7D49"/>
    <w:rsid w:val="009C005B"/>
    <w:rsid w:val="009C1BC0"/>
    <w:rsid w:val="009C4EB8"/>
    <w:rsid w:val="009D0096"/>
    <w:rsid w:val="009D37E4"/>
    <w:rsid w:val="009D5755"/>
    <w:rsid w:val="009E0375"/>
    <w:rsid w:val="009E2341"/>
    <w:rsid w:val="009E39C3"/>
    <w:rsid w:val="009E5762"/>
    <w:rsid w:val="009F436F"/>
    <w:rsid w:val="00A0046B"/>
    <w:rsid w:val="00A067D9"/>
    <w:rsid w:val="00A07F65"/>
    <w:rsid w:val="00A202AD"/>
    <w:rsid w:val="00A20EF7"/>
    <w:rsid w:val="00A250A1"/>
    <w:rsid w:val="00A251CD"/>
    <w:rsid w:val="00A30AD1"/>
    <w:rsid w:val="00A32B12"/>
    <w:rsid w:val="00A369EE"/>
    <w:rsid w:val="00A377AA"/>
    <w:rsid w:val="00A4379E"/>
    <w:rsid w:val="00A60D90"/>
    <w:rsid w:val="00A61E3D"/>
    <w:rsid w:val="00A627E7"/>
    <w:rsid w:val="00A63136"/>
    <w:rsid w:val="00A644AF"/>
    <w:rsid w:val="00A66283"/>
    <w:rsid w:val="00A70237"/>
    <w:rsid w:val="00A73E2F"/>
    <w:rsid w:val="00A80322"/>
    <w:rsid w:val="00A86173"/>
    <w:rsid w:val="00A8672E"/>
    <w:rsid w:val="00A86ABC"/>
    <w:rsid w:val="00AA1902"/>
    <w:rsid w:val="00AA4405"/>
    <w:rsid w:val="00AA6985"/>
    <w:rsid w:val="00AA7A08"/>
    <w:rsid w:val="00AB34CA"/>
    <w:rsid w:val="00AB3694"/>
    <w:rsid w:val="00AB4E1E"/>
    <w:rsid w:val="00AC07D4"/>
    <w:rsid w:val="00AC6C29"/>
    <w:rsid w:val="00AD2208"/>
    <w:rsid w:val="00AD7CE9"/>
    <w:rsid w:val="00AE039B"/>
    <w:rsid w:val="00AF1C90"/>
    <w:rsid w:val="00AF5E9B"/>
    <w:rsid w:val="00AF72BB"/>
    <w:rsid w:val="00AF7DC1"/>
    <w:rsid w:val="00B04244"/>
    <w:rsid w:val="00B04F8F"/>
    <w:rsid w:val="00B10EA0"/>
    <w:rsid w:val="00B16D02"/>
    <w:rsid w:val="00B21072"/>
    <w:rsid w:val="00B2450A"/>
    <w:rsid w:val="00B32E01"/>
    <w:rsid w:val="00B36C48"/>
    <w:rsid w:val="00B37FE4"/>
    <w:rsid w:val="00B40A75"/>
    <w:rsid w:val="00B463CA"/>
    <w:rsid w:val="00B54981"/>
    <w:rsid w:val="00B725B8"/>
    <w:rsid w:val="00B73A33"/>
    <w:rsid w:val="00B7643D"/>
    <w:rsid w:val="00B76855"/>
    <w:rsid w:val="00B77780"/>
    <w:rsid w:val="00B911D3"/>
    <w:rsid w:val="00BA7807"/>
    <w:rsid w:val="00BB02B3"/>
    <w:rsid w:val="00BB28A3"/>
    <w:rsid w:val="00BB5B5A"/>
    <w:rsid w:val="00BB5D2C"/>
    <w:rsid w:val="00BB6CEC"/>
    <w:rsid w:val="00BC196F"/>
    <w:rsid w:val="00BC6EA5"/>
    <w:rsid w:val="00BC712E"/>
    <w:rsid w:val="00BD0D03"/>
    <w:rsid w:val="00BD7FBF"/>
    <w:rsid w:val="00BE0751"/>
    <w:rsid w:val="00BF241A"/>
    <w:rsid w:val="00BF333C"/>
    <w:rsid w:val="00C034ED"/>
    <w:rsid w:val="00C04F36"/>
    <w:rsid w:val="00C13A69"/>
    <w:rsid w:val="00C16CD1"/>
    <w:rsid w:val="00C20CE4"/>
    <w:rsid w:val="00C22AA8"/>
    <w:rsid w:val="00C25500"/>
    <w:rsid w:val="00C2598F"/>
    <w:rsid w:val="00C34B50"/>
    <w:rsid w:val="00C4456D"/>
    <w:rsid w:val="00C4783E"/>
    <w:rsid w:val="00C52C2A"/>
    <w:rsid w:val="00C556C6"/>
    <w:rsid w:val="00C574F2"/>
    <w:rsid w:val="00C62F14"/>
    <w:rsid w:val="00C70193"/>
    <w:rsid w:val="00C701FF"/>
    <w:rsid w:val="00C804C5"/>
    <w:rsid w:val="00C8288B"/>
    <w:rsid w:val="00C9249A"/>
    <w:rsid w:val="00C94CA2"/>
    <w:rsid w:val="00C975DA"/>
    <w:rsid w:val="00CA0402"/>
    <w:rsid w:val="00CB117D"/>
    <w:rsid w:val="00CB383D"/>
    <w:rsid w:val="00CB3DE0"/>
    <w:rsid w:val="00CB5F40"/>
    <w:rsid w:val="00CC2464"/>
    <w:rsid w:val="00CC4469"/>
    <w:rsid w:val="00CC5138"/>
    <w:rsid w:val="00CD2CFC"/>
    <w:rsid w:val="00CD3DCB"/>
    <w:rsid w:val="00CD5CAC"/>
    <w:rsid w:val="00CE00B4"/>
    <w:rsid w:val="00CE0CCA"/>
    <w:rsid w:val="00CE39D2"/>
    <w:rsid w:val="00CF05E4"/>
    <w:rsid w:val="00CF6C53"/>
    <w:rsid w:val="00CF7A11"/>
    <w:rsid w:val="00D07B63"/>
    <w:rsid w:val="00D1019A"/>
    <w:rsid w:val="00D123A8"/>
    <w:rsid w:val="00D167AB"/>
    <w:rsid w:val="00D20B26"/>
    <w:rsid w:val="00D2143F"/>
    <w:rsid w:val="00D224D3"/>
    <w:rsid w:val="00D31961"/>
    <w:rsid w:val="00D31E29"/>
    <w:rsid w:val="00D47B46"/>
    <w:rsid w:val="00D616A5"/>
    <w:rsid w:val="00D640F9"/>
    <w:rsid w:val="00D7201C"/>
    <w:rsid w:val="00D72FE9"/>
    <w:rsid w:val="00D733E9"/>
    <w:rsid w:val="00D74AA1"/>
    <w:rsid w:val="00D751B3"/>
    <w:rsid w:val="00D75DD3"/>
    <w:rsid w:val="00D76733"/>
    <w:rsid w:val="00D90E47"/>
    <w:rsid w:val="00DB5B3A"/>
    <w:rsid w:val="00DB5C5D"/>
    <w:rsid w:val="00DB5D27"/>
    <w:rsid w:val="00DC0437"/>
    <w:rsid w:val="00DE11E3"/>
    <w:rsid w:val="00DE76F4"/>
    <w:rsid w:val="00DF45AA"/>
    <w:rsid w:val="00E00FCC"/>
    <w:rsid w:val="00E017A2"/>
    <w:rsid w:val="00E04F0F"/>
    <w:rsid w:val="00E058CA"/>
    <w:rsid w:val="00E24C9A"/>
    <w:rsid w:val="00E26F1C"/>
    <w:rsid w:val="00E27855"/>
    <w:rsid w:val="00E32A65"/>
    <w:rsid w:val="00E37E14"/>
    <w:rsid w:val="00E44675"/>
    <w:rsid w:val="00E526E0"/>
    <w:rsid w:val="00E56E28"/>
    <w:rsid w:val="00E613DA"/>
    <w:rsid w:val="00E657C4"/>
    <w:rsid w:val="00E66500"/>
    <w:rsid w:val="00E6785F"/>
    <w:rsid w:val="00E719F3"/>
    <w:rsid w:val="00E73E80"/>
    <w:rsid w:val="00E74C8E"/>
    <w:rsid w:val="00E829DC"/>
    <w:rsid w:val="00E831E3"/>
    <w:rsid w:val="00E92E7A"/>
    <w:rsid w:val="00E97C71"/>
    <w:rsid w:val="00EA1DC7"/>
    <w:rsid w:val="00EA26B6"/>
    <w:rsid w:val="00EA2E7A"/>
    <w:rsid w:val="00EB0097"/>
    <w:rsid w:val="00EC0C04"/>
    <w:rsid w:val="00EC11F3"/>
    <w:rsid w:val="00ED4081"/>
    <w:rsid w:val="00ED44AD"/>
    <w:rsid w:val="00ED6622"/>
    <w:rsid w:val="00EE213E"/>
    <w:rsid w:val="00EE3B5F"/>
    <w:rsid w:val="00EF347D"/>
    <w:rsid w:val="00F02BD5"/>
    <w:rsid w:val="00F05FAA"/>
    <w:rsid w:val="00F1384A"/>
    <w:rsid w:val="00F17D77"/>
    <w:rsid w:val="00F20559"/>
    <w:rsid w:val="00F20DAE"/>
    <w:rsid w:val="00F21E45"/>
    <w:rsid w:val="00F2247A"/>
    <w:rsid w:val="00F231B2"/>
    <w:rsid w:val="00F24850"/>
    <w:rsid w:val="00F32AFA"/>
    <w:rsid w:val="00F36CB2"/>
    <w:rsid w:val="00F4100B"/>
    <w:rsid w:val="00F41D82"/>
    <w:rsid w:val="00F42689"/>
    <w:rsid w:val="00F43BAE"/>
    <w:rsid w:val="00F524AF"/>
    <w:rsid w:val="00F55AC7"/>
    <w:rsid w:val="00F625F8"/>
    <w:rsid w:val="00F62D50"/>
    <w:rsid w:val="00F64140"/>
    <w:rsid w:val="00F66994"/>
    <w:rsid w:val="00F751CA"/>
    <w:rsid w:val="00F85B15"/>
    <w:rsid w:val="00FA0369"/>
    <w:rsid w:val="00FA0EF8"/>
    <w:rsid w:val="00FA565D"/>
    <w:rsid w:val="00FA6DF2"/>
    <w:rsid w:val="00FB0D5A"/>
    <w:rsid w:val="00FC037F"/>
    <w:rsid w:val="00FC09D0"/>
    <w:rsid w:val="00FC34EF"/>
    <w:rsid w:val="00FC542A"/>
    <w:rsid w:val="00FC6713"/>
    <w:rsid w:val="00FD62B6"/>
    <w:rsid w:val="00FE2AB0"/>
    <w:rsid w:val="00FF4502"/>
    <w:rsid w:val="00FF5FB7"/>
    <w:rsid w:val="00FF7099"/>
    <w:rsid w:val="00FF7F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A0AF7"/>
  <w15:docId w15:val="{23FD245A-FA85-425D-A580-E7BDE33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2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420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SemEspaamento">
    <w:name w:val="No Spacing"/>
    <w:uiPriority w:val="1"/>
    <w:qFormat/>
    <w:rsid w:val="0090703A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69093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62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203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E5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ighlight">
    <w:name w:val="highlight"/>
    <w:basedOn w:val="Fontepargpadro"/>
    <w:rsid w:val="00C975DA"/>
  </w:style>
  <w:style w:type="paragraph" w:customStyle="1" w:styleId="Default">
    <w:name w:val="Default"/>
    <w:rsid w:val="00B04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04244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C3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partenormativa">
    <w:name w:val="04partenormativa"/>
    <w:basedOn w:val="Normal"/>
    <w:rsid w:val="00CB5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C701F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701F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701F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701F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701FF"/>
    <w:rPr>
      <w:b/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10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030E"/>
  </w:style>
  <w:style w:type="paragraph" w:styleId="Rodap">
    <w:name w:val="footer"/>
    <w:basedOn w:val="Normal"/>
    <w:link w:val="RodapChar"/>
    <w:uiPriority w:val="99"/>
    <w:unhideWhenUsed/>
    <w:rsid w:val="005103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0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6BD36-C9B0-4E58-9B6F-9093D906F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1679</Words>
  <Characters>9071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</vt:lpstr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</dc:title>
  <dc:subject/>
  <dc:creator>Luiz M</dc:creator>
  <cp:keywords/>
  <dc:description/>
  <cp:lastModifiedBy>Pedro  Henrique Perotto Pagot</cp:lastModifiedBy>
  <cp:revision>2</cp:revision>
  <cp:lastPrinted>2023-02-01T14:35:00Z</cp:lastPrinted>
  <dcterms:created xsi:type="dcterms:W3CDTF">2025-04-21T21:22:00Z</dcterms:created>
  <dcterms:modified xsi:type="dcterms:W3CDTF">2025-04-21T21:22:00Z</dcterms:modified>
</cp:coreProperties>
</file>