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A7" w:rsidRDefault="00256EA7" w:rsidP="00256EA7">
      <w:pPr>
        <w:jc w:val="center"/>
      </w:pPr>
      <w:bookmarkStart w:id="0" w:name="_GoBack"/>
      <w:bookmarkEnd w:id="0"/>
      <w:r>
        <w:rPr>
          <w:noProof/>
          <w:sz w:val="18"/>
          <w:szCs w:val="18"/>
          <w:lang w:eastAsia="es-MX"/>
        </w:rPr>
        <w:drawing>
          <wp:inline distT="0" distB="0" distL="0" distR="0" wp14:anchorId="7A6D0A44" wp14:editId="442FBE9A">
            <wp:extent cx="1133475" cy="1885950"/>
            <wp:effectExtent l="0" t="0" r="9525" b="0"/>
            <wp:docPr id="1" name="Imagen 1" descr="C:\Users\Admin\Pictures\LIZ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IZ\C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30" cy="19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A7" w:rsidRPr="00256EA7" w:rsidRDefault="00256EA7" w:rsidP="00256EA7">
      <w:pPr>
        <w:pStyle w:val="Ttulo1"/>
        <w:ind w:left="0"/>
        <w:jc w:val="center"/>
        <w:rPr>
          <w:rFonts w:ascii="Century Gothic" w:hAnsi="Century Gothic" w:cs="Tahoma"/>
          <w:b/>
          <w:color w:val="44546A" w:themeColor="text2"/>
          <w:lang w:val="es-ES"/>
        </w:rPr>
      </w:pPr>
      <w:r w:rsidRPr="00256EA7">
        <w:rPr>
          <w:rFonts w:ascii="Century Gothic" w:hAnsi="Century Gothic" w:cs="Tahoma"/>
          <w:b/>
          <w:color w:val="44546A" w:themeColor="text2"/>
          <w:lang w:val="es-ES"/>
        </w:rPr>
        <w:t>ELIZABETH RODRIGUEZ RAMIREZ</w:t>
      </w:r>
    </w:p>
    <w:p w:rsidR="00256EA7" w:rsidRPr="00256EA7" w:rsidRDefault="00256EA7" w:rsidP="00256EA7">
      <w:pPr>
        <w:pStyle w:val="Informacindecontacto"/>
        <w:jc w:val="center"/>
        <w:rPr>
          <w:rFonts w:ascii="Century Gothic" w:hAnsi="Century Gothic" w:cs="Tahoma"/>
          <w:color w:val="44546A" w:themeColor="text2"/>
          <w:sz w:val="22"/>
          <w:szCs w:val="22"/>
          <w:lang w:val="es-ES"/>
        </w:rPr>
      </w:pPr>
      <w:r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>Casa Blanca No.180</w:t>
      </w:r>
    </w:p>
    <w:p w:rsidR="00256EA7" w:rsidRPr="00256EA7" w:rsidRDefault="00256EA7" w:rsidP="00256EA7">
      <w:pPr>
        <w:pStyle w:val="Informacindecontacto"/>
        <w:jc w:val="center"/>
        <w:rPr>
          <w:rFonts w:ascii="Century Gothic" w:hAnsi="Century Gothic" w:cs="Tahoma"/>
          <w:color w:val="44546A" w:themeColor="text2"/>
          <w:sz w:val="22"/>
          <w:szCs w:val="22"/>
          <w:lang w:val="es-ES"/>
        </w:rPr>
      </w:pPr>
      <w:r w:rsidRPr="00256EA7"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 xml:space="preserve">Col. </w:t>
      </w:r>
      <w:r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 xml:space="preserve">Real Casa Blanca </w:t>
      </w:r>
      <w:r w:rsidR="000B3A19"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>Tesistán</w:t>
      </w:r>
    </w:p>
    <w:p w:rsidR="00256EA7" w:rsidRPr="00256EA7" w:rsidRDefault="00256EA7" w:rsidP="00256EA7">
      <w:pPr>
        <w:pStyle w:val="Informacindecontacto"/>
        <w:jc w:val="center"/>
        <w:rPr>
          <w:rFonts w:ascii="Century Gothic" w:hAnsi="Century Gothic" w:cs="Tahoma"/>
          <w:color w:val="44546A" w:themeColor="text2"/>
          <w:sz w:val="22"/>
          <w:szCs w:val="22"/>
          <w:lang w:val="es-ES"/>
        </w:rPr>
      </w:pPr>
      <w:r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>Zapopan</w:t>
      </w:r>
      <w:r w:rsidRPr="00256EA7"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 xml:space="preserve">, Jal C.P. </w:t>
      </w:r>
    </w:p>
    <w:p w:rsidR="00256EA7" w:rsidRPr="00256EA7" w:rsidRDefault="00256EA7" w:rsidP="00256EA7">
      <w:pPr>
        <w:pStyle w:val="Informacindecontacto"/>
        <w:jc w:val="center"/>
        <w:rPr>
          <w:rFonts w:ascii="Century Gothic" w:hAnsi="Century Gothic" w:cs="Tahoma"/>
          <w:color w:val="44546A" w:themeColor="text2"/>
          <w:sz w:val="22"/>
          <w:szCs w:val="22"/>
          <w:lang w:val="es-ES"/>
        </w:rPr>
      </w:pPr>
      <w:r w:rsidRPr="00256EA7">
        <w:rPr>
          <w:rFonts w:ascii="Century Gothic" w:hAnsi="Century Gothic" w:cs="Tahoma"/>
          <w:color w:val="44546A" w:themeColor="text2"/>
          <w:sz w:val="22"/>
          <w:szCs w:val="22"/>
          <w:lang w:val="es-ES"/>
        </w:rPr>
        <w:t>Cel. 332 520 1219</w:t>
      </w:r>
    </w:p>
    <w:p w:rsidR="00256EA7" w:rsidRPr="00256EA7" w:rsidRDefault="00CD1493" w:rsidP="00256EA7">
      <w:pPr>
        <w:jc w:val="center"/>
        <w:rPr>
          <w:rFonts w:ascii="Century Gothic" w:hAnsi="Century Gothic" w:cs="Tahoma"/>
          <w:color w:val="44546A" w:themeColor="text2"/>
          <w:u w:val="single"/>
          <w:lang w:val="es-ES"/>
        </w:rPr>
      </w:pPr>
      <w:hyperlink r:id="rId6" w:history="1">
        <w:r w:rsidR="00256EA7" w:rsidRPr="00256EA7">
          <w:rPr>
            <w:rStyle w:val="Hipervnculo"/>
            <w:rFonts w:ascii="Century Gothic" w:hAnsi="Century Gothic" w:cs="Tahoma"/>
            <w:lang w:val="es-ES"/>
          </w:rPr>
          <w:t>americaliz20@hotmail.com</w:t>
        </w:r>
      </w:hyperlink>
    </w:p>
    <w:p w:rsidR="00256EA7" w:rsidRPr="00EC1463" w:rsidRDefault="00256EA7" w:rsidP="00256EA7">
      <w:pPr>
        <w:rPr>
          <w:rFonts w:ascii="Century Gothic" w:hAnsi="Century Gothic" w:cs="Tahoma"/>
          <w:color w:val="44546A" w:themeColor="text2"/>
          <w:u w:val="single"/>
          <w:lang w:val="es-ES"/>
        </w:rPr>
      </w:pPr>
      <w:r w:rsidRPr="00256EA7">
        <w:rPr>
          <w:rFonts w:ascii="Century Gothic" w:eastAsia="Times New Roman" w:hAnsi="Century Gothic" w:cs="Tahoma"/>
          <w:b/>
          <w:color w:val="44546A" w:themeColor="text2"/>
          <w:spacing w:val="-5"/>
          <w:sz w:val="20"/>
          <w:szCs w:val="20"/>
          <w:lang w:val="es-ES" w:bidi="en-US"/>
        </w:rPr>
        <w:t>FORMACIONACADEMICA</w:t>
      </w:r>
      <w:r w:rsidRPr="00EC1463">
        <w:rPr>
          <w:rFonts w:ascii="Century Gothic" w:hAnsi="Century Gothic" w:cs="Tahoma"/>
          <w:b/>
          <w:color w:val="44546A" w:themeColor="text2"/>
          <w:lang w:val="es-ES" w:bidi="en-US"/>
        </w:rPr>
        <w:t>__________________</w:t>
      </w:r>
      <w:r>
        <w:rPr>
          <w:rFonts w:ascii="Century Gothic" w:hAnsi="Century Gothic" w:cs="Tahoma"/>
          <w:b/>
          <w:color w:val="44546A" w:themeColor="text2"/>
          <w:lang w:val="es-ES" w:bidi="en-US"/>
        </w:rPr>
        <w:t>________________________________________________________</w:t>
      </w:r>
    </w:p>
    <w:p w:rsidR="00256EA7" w:rsidRPr="00EC1463" w:rsidRDefault="00256EA7" w:rsidP="00256EA7">
      <w:pPr>
        <w:pStyle w:val="Listaconvietas1"/>
        <w:numPr>
          <w:ilvl w:val="0"/>
          <w:numId w:val="0"/>
        </w:numPr>
        <w:ind w:left="360" w:hanging="360"/>
        <w:jc w:val="left"/>
        <w:rPr>
          <w:rFonts w:ascii="Century Gothic" w:hAnsi="Century Gothic" w:cs="Tahoma"/>
          <w:b/>
          <w:color w:val="44546A" w:themeColor="text2"/>
          <w:lang w:val="es-ES"/>
        </w:rPr>
      </w:pPr>
      <w:r w:rsidRPr="00EC1463">
        <w:rPr>
          <w:rFonts w:ascii="Century Gothic" w:hAnsi="Century Gothic" w:cs="Tahoma"/>
          <w:b/>
          <w:color w:val="44546A" w:themeColor="text2"/>
          <w:lang w:val="es-ES"/>
        </w:rPr>
        <w:t>2006-2009 Universidad América Latina</w:t>
      </w:r>
    </w:p>
    <w:p w:rsidR="00256EA7" w:rsidRPr="00FA5866" w:rsidRDefault="00256EA7" w:rsidP="00256EA7">
      <w:pPr>
        <w:pStyle w:val="Listaconvietas1"/>
        <w:numPr>
          <w:ilvl w:val="0"/>
          <w:numId w:val="2"/>
        </w:numPr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FA5866">
        <w:rPr>
          <w:rFonts w:ascii="Century Gothic" w:hAnsi="Century Gothic" w:cs="Tahoma"/>
          <w:color w:val="44546A" w:themeColor="text2"/>
          <w:lang w:val="es-ES"/>
        </w:rPr>
        <w:t>Licenciatura en Contaduría Publica</w:t>
      </w:r>
    </w:p>
    <w:p w:rsidR="00256EA7" w:rsidRPr="00FA5866" w:rsidRDefault="00256EA7" w:rsidP="00256EA7">
      <w:pPr>
        <w:pStyle w:val="Listaconvietas1"/>
        <w:numPr>
          <w:ilvl w:val="0"/>
          <w:numId w:val="0"/>
        </w:numPr>
        <w:ind w:left="360" w:hanging="360"/>
        <w:jc w:val="left"/>
        <w:rPr>
          <w:rFonts w:ascii="Century Gothic" w:hAnsi="Century Gothic" w:cs="Tahoma"/>
          <w:b/>
          <w:color w:val="44546A" w:themeColor="text2"/>
          <w:lang w:val="es-ES"/>
        </w:rPr>
      </w:pPr>
      <w:r w:rsidRPr="00FA5866">
        <w:rPr>
          <w:rFonts w:ascii="Century Gothic" w:hAnsi="Century Gothic" w:cs="Tahoma"/>
          <w:b/>
          <w:color w:val="44546A" w:themeColor="text2"/>
          <w:lang w:val="es-ES"/>
        </w:rPr>
        <w:t>Cedula Profesional   No. 09060119</w:t>
      </w:r>
    </w:p>
    <w:p w:rsidR="00256EA7" w:rsidRPr="00FA5866" w:rsidRDefault="00256EA7" w:rsidP="00256EA7">
      <w:pPr>
        <w:pStyle w:val="Listaconvietas1"/>
        <w:numPr>
          <w:ilvl w:val="0"/>
          <w:numId w:val="0"/>
        </w:numPr>
        <w:ind w:left="360" w:hanging="360"/>
        <w:jc w:val="left"/>
        <w:rPr>
          <w:rFonts w:ascii="Century Gothic" w:hAnsi="Century Gothic" w:cs="Tahoma"/>
          <w:b/>
          <w:color w:val="44546A" w:themeColor="text2"/>
          <w:lang w:val="es-ES"/>
        </w:rPr>
      </w:pPr>
    </w:p>
    <w:p w:rsidR="00256EA7" w:rsidRPr="00FA5866" w:rsidRDefault="00256EA7" w:rsidP="00256EA7">
      <w:pPr>
        <w:pStyle w:val="Listaconvietas1"/>
        <w:numPr>
          <w:ilvl w:val="0"/>
          <w:numId w:val="0"/>
        </w:numPr>
        <w:ind w:left="360" w:hanging="360"/>
        <w:jc w:val="left"/>
        <w:rPr>
          <w:rFonts w:ascii="Century Gothic" w:hAnsi="Century Gothic" w:cs="Tahoma"/>
          <w:b/>
          <w:color w:val="44546A" w:themeColor="text2"/>
          <w:lang w:val="es-ES"/>
        </w:rPr>
      </w:pPr>
      <w:r w:rsidRPr="00FA5866">
        <w:rPr>
          <w:rFonts w:ascii="Century Gothic" w:hAnsi="Century Gothic" w:cs="Tahoma"/>
          <w:b/>
          <w:color w:val="44546A" w:themeColor="text2"/>
          <w:lang w:val="es-ES"/>
        </w:rPr>
        <w:t>2002-2005  UNIVERSIDD UNIVER</w:t>
      </w:r>
    </w:p>
    <w:p w:rsidR="00256EA7" w:rsidRPr="00FA5866" w:rsidRDefault="00256EA7" w:rsidP="00256EA7">
      <w:pPr>
        <w:pStyle w:val="Listaconvietas1"/>
        <w:numPr>
          <w:ilvl w:val="0"/>
          <w:numId w:val="2"/>
        </w:numPr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FA5866">
        <w:rPr>
          <w:rFonts w:ascii="Century Gothic" w:hAnsi="Century Gothic" w:cs="Tahoma"/>
          <w:color w:val="44546A" w:themeColor="text2"/>
          <w:lang w:val="es-ES"/>
        </w:rPr>
        <w:t>Licenciatura en Administración de Empresas</w:t>
      </w:r>
    </w:p>
    <w:p w:rsidR="00256EA7" w:rsidRPr="00256EA7" w:rsidRDefault="00256EA7" w:rsidP="00256EA7">
      <w:pPr>
        <w:rPr>
          <w:rFonts w:ascii="Century Gothic" w:hAnsi="Century Gothic" w:cs="Tahoma"/>
          <w:b/>
          <w:color w:val="44546A" w:themeColor="text2"/>
          <w:lang w:val="es-ES"/>
        </w:rPr>
      </w:pPr>
      <w:r w:rsidRPr="00FA5866">
        <w:rPr>
          <w:rFonts w:ascii="Century Gothic" w:hAnsi="Century Gothic" w:cs="Tahoma"/>
          <w:b/>
          <w:color w:val="44546A" w:themeColor="text2"/>
          <w:lang w:val="es-ES"/>
        </w:rPr>
        <w:t>Certificado de Estudios</w:t>
      </w:r>
    </w:p>
    <w:p w:rsidR="00256EA7" w:rsidRPr="00256EA7" w:rsidRDefault="00256EA7" w:rsidP="00256EA7">
      <w:pPr>
        <w:pStyle w:val="Listaconvietas1"/>
        <w:numPr>
          <w:ilvl w:val="0"/>
          <w:numId w:val="0"/>
        </w:numPr>
        <w:ind w:left="360" w:hanging="360"/>
        <w:jc w:val="left"/>
        <w:rPr>
          <w:rFonts w:ascii="Century Gothic" w:hAnsi="Century Gothic" w:cs="Tahoma"/>
          <w:b/>
          <w:color w:val="44546A" w:themeColor="text2"/>
          <w:lang w:val="es-ES"/>
        </w:rPr>
      </w:pPr>
    </w:p>
    <w:p w:rsidR="00256EA7" w:rsidRPr="00EC1463" w:rsidRDefault="00256EA7" w:rsidP="00256EA7">
      <w:pPr>
        <w:pStyle w:val="Listaconvietas1"/>
        <w:numPr>
          <w:ilvl w:val="0"/>
          <w:numId w:val="0"/>
        </w:numPr>
        <w:ind w:left="360" w:hanging="360"/>
        <w:jc w:val="left"/>
        <w:rPr>
          <w:rFonts w:ascii="Century Gothic" w:hAnsi="Century Gothic" w:cs="Tahoma"/>
          <w:b/>
          <w:color w:val="44546A" w:themeColor="text2"/>
          <w:spacing w:val="0"/>
          <w:lang w:val="es-ES"/>
        </w:rPr>
      </w:pPr>
      <w:r w:rsidRPr="00256EA7">
        <w:rPr>
          <w:rFonts w:ascii="Century Gothic" w:hAnsi="Century Gothic" w:cs="Tahoma"/>
          <w:b/>
          <w:color w:val="44546A" w:themeColor="text2"/>
          <w:lang w:val="es-ES"/>
        </w:rPr>
        <w:t>OTROS</w:t>
      </w:r>
      <w:r>
        <w:rPr>
          <w:rFonts w:ascii="Century Gothic" w:hAnsi="Century Gothic" w:cs="Tahoma"/>
          <w:b/>
          <w:color w:val="44546A" w:themeColor="text2"/>
          <w:lang w:val="es-ES"/>
        </w:rPr>
        <w:t xml:space="preserve"> </w:t>
      </w:r>
      <w:r w:rsidRPr="00256EA7">
        <w:rPr>
          <w:rFonts w:ascii="Century Gothic" w:hAnsi="Century Gothic" w:cs="Tahoma"/>
          <w:b/>
          <w:color w:val="44546A" w:themeColor="text2"/>
          <w:lang w:val="es-ES"/>
        </w:rPr>
        <w:t>ESTUDIOS</w:t>
      </w:r>
      <w:r w:rsidRPr="00EC1463">
        <w:rPr>
          <w:rFonts w:ascii="Century Gothic" w:hAnsi="Century Gothic" w:cs="Tahoma"/>
          <w:b/>
          <w:color w:val="44546A" w:themeColor="text2"/>
          <w:spacing w:val="0"/>
          <w:lang w:val="es-ES"/>
        </w:rPr>
        <w:t>__________________________</w:t>
      </w:r>
      <w:r>
        <w:rPr>
          <w:rFonts w:ascii="Century Gothic" w:hAnsi="Century Gothic" w:cs="Tahoma"/>
          <w:b/>
          <w:color w:val="44546A" w:themeColor="text2"/>
          <w:spacing w:val="0"/>
          <w:lang w:val="es-ES"/>
        </w:rPr>
        <w:t>________________________________________________________________</w:t>
      </w:r>
    </w:p>
    <w:p w:rsidR="00256EA7" w:rsidRPr="00FA5866" w:rsidRDefault="00256EA7" w:rsidP="00256EA7">
      <w:pPr>
        <w:pStyle w:val="Listaconvietas1"/>
        <w:numPr>
          <w:ilvl w:val="0"/>
          <w:numId w:val="2"/>
        </w:numPr>
        <w:jc w:val="left"/>
        <w:rPr>
          <w:rFonts w:ascii="Century Gothic" w:hAnsi="Century Gothic" w:cs="Tahoma"/>
          <w:b/>
          <w:color w:val="44546A" w:themeColor="text2"/>
          <w:lang w:val="es-ES"/>
        </w:rPr>
      </w:pPr>
      <w:r w:rsidRPr="00FA5866">
        <w:rPr>
          <w:rFonts w:ascii="Century Gothic" w:hAnsi="Century Gothic" w:cs="Tahoma"/>
          <w:b/>
          <w:color w:val="44546A" w:themeColor="text2"/>
          <w:lang w:val="es-ES"/>
        </w:rPr>
        <w:t>Facturación 3.3</w:t>
      </w:r>
    </w:p>
    <w:p w:rsidR="00256EA7" w:rsidRPr="00FA5866" w:rsidRDefault="00256EA7" w:rsidP="00256EA7">
      <w:pPr>
        <w:pStyle w:val="Listaconvietas1"/>
        <w:numPr>
          <w:ilvl w:val="0"/>
          <w:numId w:val="0"/>
        </w:numPr>
        <w:ind w:left="720"/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FA5866">
        <w:rPr>
          <w:rFonts w:ascii="Century Gothic" w:hAnsi="Century Gothic" w:cs="Tahoma"/>
          <w:color w:val="44546A" w:themeColor="text2"/>
          <w:lang w:val="es-ES"/>
        </w:rPr>
        <w:t>Julio 2017</w:t>
      </w:r>
    </w:p>
    <w:p w:rsidR="00256EA7" w:rsidRPr="00FA5866" w:rsidRDefault="00256EA7" w:rsidP="00256EA7">
      <w:pPr>
        <w:pStyle w:val="Listaconvietas1"/>
        <w:numPr>
          <w:ilvl w:val="0"/>
          <w:numId w:val="0"/>
        </w:numPr>
        <w:ind w:left="720"/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FA5866">
        <w:rPr>
          <w:rFonts w:ascii="Century Gothic" w:hAnsi="Century Gothic" w:cs="Tahoma"/>
          <w:color w:val="44546A" w:themeColor="text2"/>
          <w:lang w:val="es-ES"/>
        </w:rPr>
        <w:t>Noviembre  2017</w:t>
      </w:r>
    </w:p>
    <w:p w:rsidR="00256EA7" w:rsidRPr="00FA5866" w:rsidRDefault="00256EA7" w:rsidP="00256EA7">
      <w:pPr>
        <w:pStyle w:val="Listaconvietas1"/>
        <w:numPr>
          <w:ilvl w:val="0"/>
          <w:numId w:val="2"/>
        </w:numPr>
        <w:jc w:val="left"/>
        <w:rPr>
          <w:rFonts w:ascii="Century Gothic" w:hAnsi="Century Gothic" w:cs="Tahoma"/>
          <w:b/>
          <w:color w:val="44546A" w:themeColor="text2"/>
          <w:lang w:val="es-ES"/>
        </w:rPr>
      </w:pPr>
      <w:r w:rsidRPr="00FA5866">
        <w:rPr>
          <w:rFonts w:ascii="Century Gothic" w:hAnsi="Century Gothic" w:cs="Tahoma"/>
          <w:b/>
          <w:color w:val="44546A" w:themeColor="text2"/>
          <w:lang w:val="es-ES"/>
        </w:rPr>
        <w:t>Seminario de Sueldos y Salarios</w:t>
      </w:r>
    </w:p>
    <w:p w:rsidR="00256EA7" w:rsidRPr="00FA5866" w:rsidRDefault="00256EA7" w:rsidP="00256EA7">
      <w:pPr>
        <w:pStyle w:val="Listaconvietas1"/>
        <w:numPr>
          <w:ilvl w:val="0"/>
          <w:numId w:val="0"/>
        </w:numPr>
        <w:ind w:left="720"/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FA5866">
        <w:rPr>
          <w:rFonts w:ascii="Century Gothic" w:hAnsi="Century Gothic" w:cs="Tahoma"/>
          <w:color w:val="44546A" w:themeColor="text2"/>
          <w:lang w:val="es-ES"/>
        </w:rPr>
        <w:t>JUNIO-SEPTIEMBRE 2016</w:t>
      </w:r>
    </w:p>
    <w:p w:rsidR="00256EA7" w:rsidRPr="00FA5866" w:rsidRDefault="00256EA7" w:rsidP="00256EA7">
      <w:pPr>
        <w:pStyle w:val="Listaconvietas1"/>
        <w:numPr>
          <w:ilvl w:val="0"/>
          <w:numId w:val="2"/>
        </w:numPr>
        <w:jc w:val="left"/>
        <w:rPr>
          <w:rFonts w:ascii="Century Gothic" w:hAnsi="Century Gothic" w:cs="Tahoma"/>
          <w:b/>
          <w:color w:val="44546A" w:themeColor="text2"/>
          <w:lang w:val="es-ES"/>
        </w:rPr>
      </w:pPr>
      <w:r w:rsidRPr="00FA5866">
        <w:rPr>
          <w:rFonts w:ascii="Century Gothic" w:hAnsi="Century Gothic" w:cs="Tahoma"/>
          <w:b/>
          <w:color w:val="44546A" w:themeColor="text2"/>
          <w:lang w:val="es-ES"/>
        </w:rPr>
        <w:t xml:space="preserve">Diplomado en Impuestos </w:t>
      </w:r>
    </w:p>
    <w:p w:rsidR="00256EA7" w:rsidRPr="00EC1463" w:rsidRDefault="00256EA7" w:rsidP="00256EA7">
      <w:pPr>
        <w:pStyle w:val="Listaconvietas1"/>
        <w:numPr>
          <w:ilvl w:val="0"/>
          <w:numId w:val="0"/>
        </w:numPr>
        <w:ind w:left="720"/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EC1463">
        <w:rPr>
          <w:rFonts w:ascii="Century Gothic" w:hAnsi="Century Gothic" w:cs="Tahoma"/>
          <w:color w:val="44546A" w:themeColor="text2"/>
          <w:lang w:val="es-ES"/>
        </w:rPr>
        <w:t>ENERO-MAYO 2015</w:t>
      </w:r>
    </w:p>
    <w:p w:rsidR="00256EA7" w:rsidRDefault="00256EA7" w:rsidP="00256EA7">
      <w:pPr>
        <w:pStyle w:val="Listaconvietas1"/>
        <w:numPr>
          <w:ilvl w:val="0"/>
          <w:numId w:val="0"/>
        </w:numPr>
        <w:jc w:val="left"/>
        <w:rPr>
          <w:rFonts w:ascii="Century Gothic" w:hAnsi="Century Gothic" w:cs="Tahoma"/>
          <w:b/>
          <w:color w:val="44546A" w:themeColor="text2"/>
          <w:lang w:val="es-ES"/>
        </w:rPr>
      </w:pPr>
    </w:p>
    <w:p w:rsidR="00256EA7" w:rsidRPr="00EC1463" w:rsidRDefault="00256EA7" w:rsidP="00256EA7">
      <w:pPr>
        <w:pStyle w:val="Listaconvietas1"/>
        <w:numPr>
          <w:ilvl w:val="0"/>
          <w:numId w:val="0"/>
        </w:numPr>
        <w:jc w:val="left"/>
        <w:rPr>
          <w:rFonts w:ascii="Century Gothic" w:hAnsi="Century Gothic" w:cs="Tahoma"/>
          <w:color w:val="44546A" w:themeColor="text2"/>
          <w:lang w:val="es-ES"/>
        </w:rPr>
      </w:pPr>
      <w:r w:rsidRPr="00EC1463">
        <w:rPr>
          <w:rFonts w:ascii="Century Gothic" w:hAnsi="Century Gothic" w:cs="Tahoma"/>
          <w:b/>
          <w:color w:val="44546A" w:themeColor="text2"/>
          <w:lang w:val="es-ES"/>
        </w:rPr>
        <w:t>SOFTWARE_________________________</w:t>
      </w:r>
      <w:r>
        <w:rPr>
          <w:rFonts w:ascii="Century Gothic" w:hAnsi="Century Gothic" w:cs="Tahoma"/>
          <w:b/>
          <w:color w:val="44546A" w:themeColor="text2"/>
          <w:lang w:val="es-ES"/>
        </w:rPr>
        <w:t>___________________________________________________________________________</w:t>
      </w:r>
    </w:p>
    <w:p w:rsidR="00256EA7" w:rsidRPr="00EC1463" w:rsidRDefault="00256EA7" w:rsidP="00256EA7">
      <w:pPr>
        <w:pStyle w:val="Prrafodelista"/>
        <w:rPr>
          <w:rFonts w:ascii="Century Gothic" w:hAnsi="Century Gothic" w:cs="Tahoma"/>
          <w:color w:val="44546A" w:themeColor="text2"/>
          <w:spacing w:val="-5"/>
          <w:lang w:val="es-ES" w:bidi="en-US"/>
        </w:rPr>
      </w:pPr>
    </w:p>
    <w:p w:rsidR="00256EA7" w:rsidRPr="00EC1463" w:rsidRDefault="00256EA7" w:rsidP="00256EA7">
      <w:pPr>
        <w:pStyle w:val="Prrafodelista"/>
        <w:numPr>
          <w:ilvl w:val="0"/>
          <w:numId w:val="2"/>
        </w:numPr>
        <w:rPr>
          <w:rFonts w:ascii="Century Gothic" w:hAnsi="Century Gothic" w:cs="Tahoma"/>
          <w:color w:val="44546A" w:themeColor="text2"/>
          <w:spacing w:val="-5"/>
          <w:lang w:val="es-ES" w:bidi="en-US"/>
        </w:rPr>
      </w:pPr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Office</w:t>
      </w:r>
    </w:p>
    <w:p w:rsidR="00256EA7" w:rsidRPr="00EC1463" w:rsidRDefault="00256EA7" w:rsidP="00256EA7">
      <w:pPr>
        <w:pStyle w:val="Prrafodelista"/>
        <w:numPr>
          <w:ilvl w:val="0"/>
          <w:numId w:val="2"/>
        </w:numPr>
        <w:rPr>
          <w:rFonts w:ascii="Century Gothic" w:hAnsi="Century Gothic" w:cs="Tahoma"/>
          <w:color w:val="44546A" w:themeColor="text2"/>
          <w:spacing w:val="-5"/>
          <w:lang w:val="es-ES" w:bidi="en-US"/>
        </w:rPr>
      </w:pPr>
      <w:proofErr w:type="spellStart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Contpaq</w:t>
      </w:r>
      <w:proofErr w:type="spellEnd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 xml:space="preserve"> I</w:t>
      </w:r>
    </w:p>
    <w:p w:rsidR="00256EA7" w:rsidRPr="00EC1463" w:rsidRDefault="00256EA7" w:rsidP="00256EA7">
      <w:pPr>
        <w:pStyle w:val="Prrafodelista"/>
        <w:numPr>
          <w:ilvl w:val="0"/>
          <w:numId w:val="2"/>
        </w:numPr>
        <w:rPr>
          <w:rFonts w:ascii="Century Gothic" w:hAnsi="Century Gothic" w:cs="Tahoma"/>
          <w:color w:val="44546A" w:themeColor="text2"/>
          <w:spacing w:val="-5"/>
          <w:lang w:val="es-ES" w:bidi="en-US"/>
        </w:rPr>
      </w:pPr>
      <w:proofErr w:type="spellStart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Contpaq</w:t>
      </w:r>
      <w:proofErr w:type="spellEnd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 xml:space="preserve"> Facturación</w:t>
      </w:r>
    </w:p>
    <w:p w:rsidR="00256EA7" w:rsidRPr="00EC1463" w:rsidRDefault="00256EA7" w:rsidP="00256EA7">
      <w:pPr>
        <w:pStyle w:val="Prrafodelista"/>
        <w:numPr>
          <w:ilvl w:val="0"/>
          <w:numId w:val="2"/>
        </w:numPr>
        <w:rPr>
          <w:rFonts w:ascii="Century Gothic" w:hAnsi="Century Gothic" w:cs="Tahoma"/>
          <w:color w:val="44546A" w:themeColor="text2"/>
          <w:spacing w:val="-5"/>
          <w:lang w:val="es-ES" w:bidi="en-US"/>
        </w:rPr>
      </w:pPr>
      <w:proofErr w:type="spellStart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Contpaq</w:t>
      </w:r>
      <w:proofErr w:type="spellEnd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 xml:space="preserve"> Bancos</w:t>
      </w:r>
    </w:p>
    <w:p w:rsidR="00256EA7" w:rsidRPr="00EC1463" w:rsidRDefault="00256EA7" w:rsidP="00256EA7">
      <w:pPr>
        <w:pStyle w:val="Prrafodelista"/>
        <w:numPr>
          <w:ilvl w:val="0"/>
          <w:numId w:val="2"/>
        </w:numPr>
        <w:rPr>
          <w:rFonts w:ascii="Century Gothic" w:hAnsi="Century Gothic" w:cs="Tahoma"/>
          <w:color w:val="44546A" w:themeColor="text2"/>
          <w:spacing w:val="-5"/>
          <w:lang w:val="es-ES" w:bidi="en-US"/>
        </w:rPr>
      </w:pPr>
      <w:proofErr w:type="spellStart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Contpaq</w:t>
      </w:r>
      <w:proofErr w:type="spellEnd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 xml:space="preserve"> Nominas</w:t>
      </w:r>
    </w:p>
    <w:p w:rsidR="00256EA7" w:rsidRPr="00EC1463" w:rsidRDefault="00256EA7" w:rsidP="00256EA7">
      <w:pPr>
        <w:pStyle w:val="Prrafodelista"/>
        <w:numPr>
          <w:ilvl w:val="0"/>
          <w:numId w:val="2"/>
        </w:numPr>
        <w:rPr>
          <w:rFonts w:ascii="Century Gothic" w:hAnsi="Century Gothic" w:cstheme="minorHAnsi"/>
          <w:color w:val="44546A" w:themeColor="text2"/>
          <w:lang w:val="es-MX"/>
        </w:rPr>
      </w:pPr>
      <w:proofErr w:type="spellStart"/>
      <w:r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Adminpaq</w:t>
      </w:r>
      <w:proofErr w:type="spellEnd"/>
    </w:p>
    <w:p w:rsidR="00256EA7" w:rsidRPr="00EC1463" w:rsidRDefault="004F153D" w:rsidP="00256EA7">
      <w:pPr>
        <w:pStyle w:val="Prrafodelista"/>
        <w:numPr>
          <w:ilvl w:val="0"/>
          <w:numId w:val="2"/>
        </w:numPr>
        <w:rPr>
          <w:rFonts w:ascii="Century Gothic" w:hAnsi="Century Gothic" w:cs="Tahoma"/>
          <w:color w:val="44546A" w:themeColor="text2"/>
          <w:spacing w:val="-5"/>
          <w:lang w:val="es-ES" w:bidi="en-US"/>
        </w:rPr>
        <w:sectPr w:rsidR="00256EA7" w:rsidRPr="00EC1463" w:rsidSect="00256EA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ascii="Century Gothic" w:hAnsi="Century Gothic" w:cs="Tahoma"/>
          <w:color w:val="44546A" w:themeColor="text2"/>
          <w:spacing w:val="-5"/>
          <w:lang w:val="es-ES" w:bidi="en-US"/>
        </w:rPr>
        <w:t xml:space="preserve">RP/No </w:t>
      </w:r>
      <w:r w:rsidR="00256EA7" w:rsidRPr="00EC1463">
        <w:rPr>
          <w:rFonts w:ascii="Century Gothic" w:hAnsi="Century Gothic" w:cs="Tahoma"/>
          <w:color w:val="44546A" w:themeColor="text2"/>
          <w:spacing w:val="-5"/>
          <w:lang w:val="es-ES" w:bidi="en-US"/>
        </w:rPr>
        <w:t>comercial</w:t>
      </w:r>
    </w:p>
    <w:p w:rsidR="00256EA7" w:rsidRPr="00256EA7" w:rsidRDefault="00256EA7" w:rsidP="00256EA7">
      <w:pPr>
        <w:pStyle w:val="Prrafodelista"/>
        <w:rPr>
          <w:rFonts w:ascii="Century Gothic" w:hAnsi="Century Gothic" w:cs="Tahoma"/>
          <w:b/>
          <w:color w:val="44546A" w:themeColor="text2"/>
          <w:lang w:val="es-ES" w:bidi="en-US"/>
        </w:rPr>
      </w:pPr>
    </w:p>
    <w:p w:rsidR="00256EA7" w:rsidRPr="00256EA7" w:rsidRDefault="00256EA7" w:rsidP="00256EA7">
      <w:pPr>
        <w:ind w:left="360"/>
        <w:rPr>
          <w:rFonts w:ascii="Century Gothic" w:hAnsi="Century Gothic" w:cs="Tahoma"/>
          <w:b/>
          <w:color w:val="44546A" w:themeColor="text2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lang w:val="es-ES" w:bidi="en-US"/>
        </w:rPr>
        <w:t>EXPERIENCIA PROFESIONAL________________________________________________________________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Administradora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 xml:space="preserve">Diciembre </w:t>
      </w:r>
      <w:r w:rsidR="004F153D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2014</w:t>
      </w:r>
      <w:r w:rsidR="000B3A19"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 xml:space="preserve"> Actualidad</w:t>
      </w:r>
    </w:p>
    <w:p w:rsidR="00256EA7" w:rsidRPr="00256EA7" w:rsidRDefault="004F153D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 xml:space="preserve">Soluciones Empresariales </w:t>
      </w:r>
      <w:proofErr w:type="spellStart"/>
      <w:r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Ripoy</w:t>
      </w:r>
      <w:proofErr w:type="spellEnd"/>
      <w:r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 xml:space="preserve"> 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Encargada del buen funcionamiento de los recursos</w:t>
      </w:r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Administrativos-</w:t>
      </w:r>
      <w:proofErr w:type="spellStart"/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Catables</w:t>
      </w:r>
      <w:proofErr w:type="spellEnd"/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-Financieros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de la organización, facturación, Cuentas por cobrar, cuentas por pagar</w:t>
      </w:r>
      <w:r w:rsidR="007163FE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, b</w:t>
      </w:r>
      <w:r w:rsidR="007163FE"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anca </w:t>
      </w:r>
      <w:r w:rsidR="007163FE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e</w:t>
      </w:r>
      <w:r w:rsidR="007163FE"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lectrónica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, administración de caja chica, compras, atención a clientes y proveedores,</w:t>
      </w:r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</w:t>
      </w:r>
      <w:r w:rsidR="00520ABF"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flujo de efectivo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, </w:t>
      </w:r>
      <w:r w:rsidR="007163FE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elaboración de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nómina y comisiones,</w:t>
      </w:r>
      <w:r w:rsidR="007163FE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finiquitos movimientos de IMSS altas, bajas modificaciones de salario, conciliación SUA-ID</w:t>
      </w:r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S C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ierre contable</w:t>
      </w:r>
      <w:r w:rsidR="00520ABF"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, Conciliaciones Bancarias, Declaración y Presentación de Impuestos</w:t>
      </w:r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mensuales y anuales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elaboración y presentación de estados financieros, proyección y planeación mensual y anual.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Contador</w:t>
      </w:r>
    </w:p>
    <w:p w:rsidR="00256EA7" w:rsidRPr="00256EA7" w:rsidRDefault="004F153D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Abril 2010- Julio 2014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proofErr w:type="spellStart"/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Fiscali</w:t>
      </w:r>
      <w:proofErr w:type="spellEnd"/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 xml:space="preserve"> Empresa de Servicios Integrales, SA de CV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Actividades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Contabilidad General, Captura de Información Contable, Conciliaciones Bancarias, Declaración y Presentación de Impuestos Estatales y Federales, Declaraciones Provisiones, Informativas y Anuales, Estados Financieros, Elaboración de </w:t>
      </w:r>
      <w:r w:rsidR="007163FE"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nómina, </w:t>
      </w:r>
      <w:r w:rsidR="007163FE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a</w:t>
      </w:r>
      <w:r w:rsidR="007163FE"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tención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 a Auditorias, Depuración, Facturación Electrónica, Aclaraciones y Trámites ante Autoridades Competentes (SAT, IMSS, INFONAVIT, SECRETARIA DE FINANZAS, ETC) Control Interno.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</w:pP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Jefe Administrativo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Octubre 2005- Mayo 2009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</w:pPr>
      <w:proofErr w:type="spellStart"/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Delkapa</w:t>
      </w:r>
      <w:proofErr w:type="spellEnd"/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 xml:space="preserve"> Construcciones, SA de CV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b/>
          <w:color w:val="44546A" w:themeColor="text2"/>
          <w:sz w:val="20"/>
          <w:szCs w:val="20"/>
          <w:lang w:val="es-ES" w:bidi="en-US"/>
        </w:rPr>
        <w:t>Actividades</w:t>
      </w:r>
    </w:p>
    <w:p w:rsidR="00256EA7" w:rsidRPr="00256EA7" w:rsidRDefault="00256EA7" w:rsidP="00256EA7">
      <w:pPr>
        <w:pStyle w:val="Textoindependiente"/>
        <w:ind w:left="360"/>
        <w:jc w:val="both"/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</w:pP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Control Interno de la Organización para su bue</w:t>
      </w:r>
      <w:r w:rsidR="00520ABF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 xml:space="preserve">n Funcionamiento, Elaboración </w:t>
      </w:r>
      <w:r w:rsidRPr="00256EA7">
        <w:rPr>
          <w:rFonts w:ascii="Century Gothic" w:hAnsi="Century Gothic" w:cs="Tahoma"/>
          <w:color w:val="44546A" w:themeColor="text2"/>
          <w:sz w:val="20"/>
          <w:szCs w:val="20"/>
          <w:lang w:val="es-ES" w:bidi="en-US"/>
        </w:rPr>
        <w:t>Facturas, Cheques, Pagares, etc.) Control de Propiedades, Vehículos y otros Activos, Flujo de Efectivo, Proceso de Compra, Pago y Negociación con Proveedores, Banca electrónica, Gestión de Cobranza, Administración de Caja Chica, Administración de Personal, Movimientos de IMSS (IDSE-SUA), Contabilidad General Conciliaciones Bancarias, Determinación y Pago de Impuestos Estatales y Federales, Elaboración de Nómina, Entrega de Información útil, Eficiente y Oportuna para Toma de Decisiones, Trámites ante las Autoridades Competentes (SAT, IMSS, INFONAVIT, SECRETARIA DE FINANZAS, ETC.)</w:t>
      </w:r>
    </w:p>
    <w:p w:rsidR="00256EA7" w:rsidRDefault="00256EA7" w:rsidP="00256EA7"/>
    <w:sectPr w:rsidR="00256EA7" w:rsidSect="00256EA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EDD"/>
    <w:multiLevelType w:val="hybridMultilevel"/>
    <w:tmpl w:val="FD0E8BB8"/>
    <w:lvl w:ilvl="0" w:tplc="0C0A0001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F064E"/>
    <w:multiLevelType w:val="hybridMultilevel"/>
    <w:tmpl w:val="E7CAF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A7"/>
    <w:rsid w:val="000B3A19"/>
    <w:rsid w:val="001D43A8"/>
    <w:rsid w:val="00256EA7"/>
    <w:rsid w:val="004F153D"/>
    <w:rsid w:val="00520ABF"/>
    <w:rsid w:val="00674767"/>
    <w:rsid w:val="007163FE"/>
    <w:rsid w:val="00943A4C"/>
    <w:rsid w:val="00C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9B4C5-CF10-450D-BE5D-D6A42D2F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256EA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eastAsia="Times New Roman" w:hAnsi="Arial Black" w:cs="Arial Black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6EA7"/>
    <w:rPr>
      <w:rFonts w:ascii="Arial Black" w:eastAsia="Times New Roman" w:hAnsi="Arial Black" w:cs="Arial Black"/>
      <w:lang w:val="en-US"/>
    </w:rPr>
  </w:style>
  <w:style w:type="paragraph" w:customStyle="1" w:styleId="Informacindecontacto">
    <w:name w:val="Información de contacto"/>
    <w:basedOn w:val="Normal"/>
    <w:next w:val="Textoindependiente"/>
    <w:rsid w:val="00256EA7"/>
    <w:pPr>
      <w:spacing w:after="0" w:line="240" w:lineRule="auto"/>
      <w:jc w:val="right"/>
    </w:pPr>
    <w:rPr>
      <w:rFonts w:ascii="Arial" w:eastAsia="Times New Roman" w:hAnsi="Arial" w:cs="Arial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256EA7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56E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56EA7"/>
  </w:style>
  <w:style w:type="paragraph" w:customStyle="1" w:styleId="Listaconvietas1">
    <w:name w:val="Lista con viñetas1"/>
    <w:basedOn w:val="Textoindependiente"/>
    <w:rsid w:val="00256EA7"/>
    <w:pPr>
      <w:numPr>
        <w:numId w:val="1"/>
      </w:numPr>
      <w:spacing w:before="60"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val="en-US" w:bidi="en-US"/>
    </w:rPr>
  </w:style>
  <w:style w:type="paragraph" w:styleId="Prrafodelista">
    <w:name w:val="List Paragraph"/>
    <w:basedOn w:val="Normal"/>
    <w:uiPriority w:val="34"/>
    <w:qFormat/>
    <w:rsid w:val="00256EA7"/>
    <w:pPr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ricaliz20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2018-09-06T16:52:00Z</dcterms:created>
  <dcterms:modified xsi:type="dcterms:W3CDTF">2018-09-06T16:52:00Z</dcterms:modified>
</cp:coreProperties>
</file>