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xsi="http://www.w3.org/2001/XMLSchema-instance">
  <w:body>
    <w:p>
      <w:pPr>
        <w:spacing w:after="120"/>
        <w:ind w:left="7655"/>
        <w:rPr>
          <w:sz w:val="14"/>
          <w:szCs w:val="14"/>
        </w:rPr>
      </w:pPr>
      <w:r>
        <w:rPr>
          <w:sz w:val="14"/>
          <w:szCs w:val="14"/>
        </w:rPr>
        <w:t>Унифицированная форма № ТОРГ-11</w:t>
      </w:r>
      <w:r>
        <w:rPr>
          <w:sz w:val="14"/>
          <w:szCs w:val="14"/>
        </w:rPr>
        <w:t xml:space="preserve">
Утверждена постановлением Госкомстата России</w:t>
      </w:r>
      <w:r>
        <w:rPr>
          <w:sz w:val="14"/>
          <w:szCs w:val="14"/>
        </w:rPr>
        <w:t xml:space="preserve">
от 25.12.98 № 132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 xsi:nil="true"/>
        <w:tc>
          <w:tcPr>
            <w:tcW w:w="90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</w:t>
            </w:r>
          </w:p>
        </w:tc>
      </w:tr>
      <w:tr>
        <w:trPr xsi:nil="true"/>
        <w:tc>
          <w:tcPr>
            <w:tcW w:w="90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0330211</w:t>
            </w:r>
          </w:p>
        </w:tc>
      </w:tr>
      <w:tr>
        <w:trPr xsi:nil="true"/>
        <w:tc>
          <w:tcPr>
            <w:tcW w:w="82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ООО «Торговая фирма»</w:t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/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/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ОКПО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/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/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/>
            </w:r>
            <w:r>
              <w:rPr>
                <w:sz w:val="16"/>
                <w:szCs w:val="16"/>
                <w:lang w:val="en-US"/>
              </w:rPr>
              <w:t/>
            </w:r>
          </w:p>
        </w:tc>
      </w:tr>
      <w:tr>
        <w:trPr>
          <w:cantSplit/>
        </w:trPr>
        <w:tc>
          <w:tcPr>
            <w:tcW w:w="90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(организация, адрес)</w:t>
            </w:r>
          </w:p>
        </w:tc>
        <w:tc>
          <w:tcPr>
            <w:tcW w:w="1701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</w:tr>
      <w:tr>
        <w:trPr>
          <w:cantSplit/>
        </w:trPr>
        <w:tc>
          <w:tcPr>
            <w:tcW w:w="90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Новая_Рига_РФЦ</w:t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/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/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/>
            </w:r>
          </w:p>
        </w:tc>
        <w:tc>
          <w:tcPr>
            <w:tcW w:w="1701" w:type="dxa"/>
            <w:gridSpan w:val="3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</w:tr>
      <w:tr>
        <w:trPr xsi:nil="true"/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3742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(структурное подразделение)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bottom"/>
          </w:tcPr>
          <w:p>
            <w:pPr>
              <w:jc w:val="center"/>
              <w:rPr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1203012</w:t>
            </w:r>
            <w:r>
              <w:rPr>
                <w:sz w:val="16"/>
                <w:szCs w:val="16"/>
                <w:lang w:val="en-US"/>
              </w:rPr>
              <w:t/>
            </w:r>
            <w:r>
              <w:rPr>
                <w:sz w:val="16"/>
                <w:szCs w:val="16"/>
                <w:lang w:val="en-US"/>
              </w:rPr>
              <w:t/>
            </w:r>
            <w:r>
              <w:rPr>
                <w:sz w:val="16"/>
                <w:szCs w:val="16"/>
                <w:lang w:val="en-US"/>
              </w:rPr>
              <w:t/>
            </w:r>
          </w:p>
        </w:tc>
      </w:tr>
      <w:tr>
        <w:trPr xsi:nil="true"/>
        <w:tc>
          <w:tcPr>
            <w:tcW w:w="90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Вид операции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bottom"/>
          </w:tcPr>
          <w:p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23</w:t>
            </w:r>
            <w:r>
              <w:rPr>
                <w:sz w:val="16"/>
                <w:szCs w:val="16"/>
                <w:lang w:val="en-US"/>
              </w:rPr>
              <w:t/>
            </w:r>
            <w:r>
              <w:rPr>
                <w:sz w:val="16"/>
                <w:szCs w:val="16"/>
                <w:lang w:val="en-US"/>
              </w:rPr>
              <w:t/>
            </w:r>
          </w:p>
        </w:tc>
      </w:tr>
      <w:tr>
        <w:trPr xsi:nil="true"/>
        <w:tc>
          <w:tcPr>
            <w:tcW w:w="90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инвентаризации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2023</w:t>
            </w:r>
          </w:p>
        </w:tc>
      </w:tr>
    </w:tbl>
    <w:p/>
    <w:p>
      <w:pPr>
        <w:rPr>
          <w:sz w:val="16"/>
          <w:szCs w:val="16"/>
          <w:lang w:val="en-US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 xsi:nil="true"/>
        <w:tc>
          <w:tcPr>
            <w:tcW w:w="51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 документа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составления</w:t>
            </w:r>
          </w:p>
        </w:tc>
      </w:tr>
      <w:tr>
        <w:trPr xsi:nil="true"/>
        <w:tc>
          <w:tcPr>
            <w:tcW w:w="51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ind w:right="57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ТОВАРНЫЙ ЯРЛЫК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1</w:t>
            </w:r>
            <w:r>
              <w:rPr>
                <w:b/>
                <w:bCs/>
                <w:sz w:val="18"/>
                <w:szCs w:val="18"/>
                <w:lang w:val="en-US"/>
              </w:rPr>
              <w:t/>
            </w:r>
            <w:r>
              <w:rPr>
                <w:b/>
                <w:bCs/>
                <w:sz w:val="18"/>
                <w:szCs w:val="18"/>
                <w:lang w:val="en-US"/>
              </w:rPr>
              <w:t/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20-12-2023</w:t>
            </w:r>
          </w:p>
        </w:tc>
      </w:tr>
    </w:tbl>
    <w:p/>
    <w:p>
      <w:pPr>
        <w:rPr>
          <w:sz w:val="16"/>
          <w:szCs w:val="16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cantSplit/>
        </w:trPr>
        <w:tc>
          <w:tcPr>
            <w:tcW w:w="2603" w:type="dxa"/>
            <w:gridSpan w:val="2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То</w:t>
            </w:r>
            <w:r>
              <w:rPr>
                <w:sz w:val="16"/>
                <w:szCs w:val="16"/>
              </w:rPr>
              <w:t>вар</w:t>
            </w:r>
          </w:p>
        </w:tc>
        <w:tc>
          <w:tcPr>
            <w:tcW w:w="1372" w:type="dxa"/>
            <w:gridSpan w:val="2"/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Еди</w:t>
            </w:r>
            <w:r>
              <w:rPr>
                <w:sz w:val="16"/>
                <w:szCs w:val="16"/>
              </w:rPr>
              <w:t>ни</w:t>
            </w:r>
            <w:r>
              <w:rPr>
                <w:sz w:val="16"/>
                <w:szCs w:val="16"/>
              </w:rPr>
              <w:t>ца</w:t>
            </w:r>
            <w:r>
              <w:rPr>
                <w:sz w:val="16"/>
                <w:szCs w:val="16"/>
              </w:rPr>
              <w:t xml:space="preserve">
из</w:t>
            </w:r>
            <w:r>
              <w:rPr>
                <w:sz w:val="16"/>
                <w:szCs w:val="16"/>
              </w:rPr>
              <w:t>ме</w:t>
            </w:r>
            <w:r>
              <w:rPr>
                <w:sz w:val="16"/>
                <w:szCs w:val="16"/>
              </w:rPr>
              <w:t>ре</w:t>
            </w:r>
            <w:r>
              <w:rPr>
                <w:sz w:val="16"/>
                <w:szCs w:val="16"/>
              </w:rPr>
              <w:t>ния</w:t>
            </w:r>
          </w:p>
        </w:tc>
        <w:tc>
          <w:tcPr>
            <w:tcW w:w="686" w:type="dxa"/>
            <w:vMerge w:val="restart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Ар</w:t>
            </w:r>
            <w:r>
              <w:rPr>
                <w:sz w:val="16"/>
                <w:szCs w:val="16"/>
              </w:rPr>
              <w:t>ти</w:t>
            </w:r>
            <w:r>
              <w:rPr>
                <w:sz w:val="16"/>
                <w:szCs w:val="16"/>
              </w:rPr>
              <w:t>кул то</w:t>
            </w:r>
            <w:r>
              <w:rPr>
                <w:sz w:val="16"/>
                <w:szCs w:val="16"/>
              </w:rPr>
              <w:t>ва</w:t>
            </w:r>
            <w:r>
              <w:rPr>
                <w:sz w:val="16"/>
                <w:szCs w:val="16"/>
              </w:rPr>
              <w:t>ра</w:t>
            </w:r>
          </w:p>
        </w:tc>
        <w:tc>
          <w:tcPr>
            <w:tcW w:w="686" w:type="dxa"/>
            <w:vMerge w:val="restart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Сорт</w:t>
            </w:r>
          </w:p>
        </w:tc>
        <w:tc>
          <w:tcPr>
            <w:tcW w:w="686" w:type="dxa"/>
            <w:vMerge w:val="restart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Раз</w:t>
            </w:r>
            <w:r>
              <w:rPr>
                <w:sz w:val="16"/>
                <w:szCs w:val="16"/>
              </w:rPr>
              <w:t>мер, рост</w:t>
            </w:r>
          </w:p>
        </w:tc>
        <w:tc>
          <w:tcPr>
            <w:tcW w:w="3516" w:type="dxa"/>
            <w:gridSpan w:val="7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</w:t>
            </w:r>
            <w:r>
              <w:rPr>
                <w:sz w:val="16"/>
                <w:szCs w:val="16"/>
              </w:rPr>
              <w:t>но</w:t>
            </w:r>
            <w:r>
              <w:rPr>
                <w:sz w:val="16"/>
                <w:szCs w:val="16"/>
              </w:rPr>
              <w:t>та, мо</w:t>
            </w:r>
            <w:r>
              <w:rPr>
                <w:sz w:val="16"/>
                <w:szCs w:val="16"/>
              </w:rPr>
              <w:t>дель, цвет и вид вер</w:t>
            </w:r>
            <w:r>
              <w:rPr>
                <w:sz w:val="16"/>
                <w:szCs w:val="16"/>
              </w:rPr>
              <w:t>ха, ар</w:t>
            </w:r>
            <w:r>
              <w:rPr>
                <w:sz w:val="16"/>
                <w:szCs w:val="16"/>
              </w:rPr>
              <w:t>ти</w:t>
            </w:r>
            <w:r>
              <w:rPr>
                <w:sz w:val="16"/>
                <w:szCs w:val="16"/>
              </w:rPr>
              <w:t>кул</w:t>
            </w:r>
            <w:r>
              <w:rPr>
                <w:sz w:val="16"/>
                <w:szCs w:val="16"/>
              </w:rPr>
              <w:t xml:space="preserve">
тка</w:t>
            </w:r>
            <w:r>
              <w:rPr>
                <w:sz w:val="16"/>
                <w:szCs w:val="16"/>
              </w:rPr>
              <w:t>ни (ко</w:t>
            </w:r>
            <w:r>
              <w:rPr>
                <w:sz w:val="16"/>
                <w:szCs w:val="16"/>
              </w:rPr>
              <w:t>лод</w:t>
            </w:r>
            <w:r>
              <w:rPr>
                <w:sz w:val="16"/>
                <w:szCs w:val="16"/>
              </w:rPr>
              <w:t>ки), фа</w:t>
            </w:r>
            <w:r>
              <w:rPr>
                <w:sz w:val="16"/>
                <w:szCs w:val="16"/>
              </w:rPr>
              <w:t>сон</w:t>
            </w:r>
          </w:p>
        </w:tc>
        <w:tc>
          <w:tcPr>
            <w:tcW w:w="557" w:type="dxa"/>
            <w:vMerge w:val="restart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</w:t>
            </w:r>
            <w:r>
              <w:rPr>
                <w:sz w:val="16"/>
                <w:szCs w:val="16"/>
              </w:rPr>
              <w:t>ли</w:t>
            </w:r>
            <w:r>
              <w:rPr>
                <w:sz w:val="16"/>
                <w:szCs w:val="16"/>
              </w:rPr>
              <w:t>чес</w:t>
            </w:r>
            <w:r>
              <w:rPr>
                <w:sz w:val="16"/>
                <w:szCs w:val="16"/>
              </w:rPr>
              <w:t>тво</w:t>
            </w:r>
          </w:p>
        </w:tc>
        <w:tc>
          <w:tcPr>
            <w:tcW w:w="686" w:type="dxa"/>
            <w:vMerge w:val="restart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</w:t>
            </w:r>
            <w:r>
              <w:rPr>
                <w:sz w:val="16"/>
                <w:szCs w:val="16"/>
              </w:rPr>
              <w:t>ная це</w:t>
            </w:r>
            <w:r>
              <w:rPr>
                <w:sz w:val="16"/>
                <w:szCs w:val="16"/>
              </w:rPr>
              <w:t>на, руб. коп.</w:t>
            </w:r>
          </w:p>
        </w:tc>
      </w:tr>
      <w:tr>
        <w:trPr>
          <w:cantSplit/>
        </w:trPr>
        <w:tc>
          <w:tcPr>
            <w:tcW w:w="2127" w:type="dxa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</w:t>
            </w:r>
            <w:r>
              <w:rPr>
                <w:sz w:val="16"/>
                <w:szCs w:val="16"/>
              </w:rPr>
              <w:t>име</w:t>
            </w:r>
            <w:r>
              <w:rPr>
                <w:sz w:val="16"/>
                <w:szCs w:val="16"/>
              </w:rPr>
              <w:t>но</w:t>
            </w:r>
            <w:r>
              <w:rPr>
                <w:sz w:val="16"/>
                <w:szCs w:val="16"/>
              </w:rPr>
              <w:t>ва</w:t>
            </w:r>
            <w:r>
              <w:rPr>
                <w:sz w:val="16"/>
                <w:szCs w:val="16"/>
              </w:rPr>
              <w:t>ние</w:t>
            </w:r>
          </w:p>
        </w:tc>
        <w:tc>
          <w:tcPr>
            <w:tcW w:w="476" w:type="dxa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</w:t>
            </w:r>
          </w:p>
        </w:tc>
        <w:tc>
          <w:tcPr>
            <w:tcW w:w="686" w:type="dxa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</w:t>
            </w:r>
            <w:r>
              <w:rPr>
                <w:sz w:val="16"/>
                <w:szCs w:val="16"/>
              </w:rPr>
              <w:t>име</w:t>
            </w:r>
            <w:r>
              <w:rPr>
                <w:sz w:val="16"/>
                <w:szCs w:val="16"/>
              </w:rPr>
              <w:t>но</w:t>
            </w:r>
            <w:r>
              <w:rPr>
                <w:sz w:val="16"/>
                <w:szCs w:val="16"/>
              </w:rPr>
              <w:t>ва</w:t>
            </w:r>
            <w:r>
              <w:rPr>
                <w:sz w:val="16"/>
                <w:szCs w:val="16"/>
              </w:rPr>
              <w:t>ние</w:t>
            </w:r>
          </w:p>
        </w:tc>
        <w:tc>
          <w:tcPr>
            <w:tcW w:w="686" w:type="dxa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 по ОКЕИ</w:t>
            </w:r>
          </w:p>
        </w:tc>
        <w:tc>
          <w:tcPr>
            <w:tcW w:w="686" w:type="dxa"/>
            <w:vMerge/>
            <w:vAlign w:val="bottom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vMerge/>
            <w:vAlign w:val="bottom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vMerge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502" w:type="dxa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3" w:type="dxa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3" w:type="dxa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dxa"/>
            <w:vMerge/>
            <w:vAlign w:val="bottom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vMerge/>
            <w:vAlign w:val="bottom"/>
          </w:tcPr>
          <w:p>
            <w:pPr>
              <w:rPr>
                <w:sz w:val="16"/>
                <w:szCs w:val="16"/>
              </w:rPr>
            </w:pPr>
          </w:p>
        </w:tc>
      </w:tr>
      <w:tr>
        <w:trPr xsi:nil="true"/>
        <w:tc>
          <w:tcPr>
            <w:tcW w:w="2127" w:type="dxa"/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76" w:type="dxa"/>
            <w:tcBorders>
              <w:bottom w:val="nil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86" w:type="dxa"/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86" w:type="dxa"/>
            <w:tcBorders>
              <w:bottom w:val="nil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686" w:type="dxa"/>
            <w:tcBorders>
              <w:bottom w:val="nil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686" w:type="dxa"/>
            <w:tcBorders>
              <w:bottom w:val="nil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686" w:type="dxa"/>
            <w:tcBorders>
              <w:bottom w:val="nil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2" w:type="dxa"/>
            <w:tcBorders>
              <w:bottom w:val="nil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2" w:type="dxa"/>
            <w:tcBorders>
              <w:bottom w:val="nil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2" w:type="dxa"/>
            <w:tcBorders>
              <w:bottom w:val="nil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3" w:type="dxa"/>
            <w:tcBorders>
              <w:bottom w:val="nil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02" w:type="dxa"/>
            <w:tcBorders>
              <w:bottom w:val="nil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2" w:type="dxa"/>
            <w:tcBorders>
              <w:bottom w:val="nil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03" w:type="dxa"/>
            <w:tcBorders>
              <w:bottom w:val="nil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57" w:type="dxa"/>
            <w:tcBorders>
              <w:bottom w:val="nil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686" w:type="dxa"/>
            <w:tcBorders>
              <w:bottom w:val="nil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  <w:tr>
        <w:trPr xsi:nil="true"/>
        <w:tc>
          <w:tcPr>
            <w:tcW w:w="2127" w:type="dxa"/>
            <w:tcBorders>
              <w:right w:val="nil"/>
            </w:tcBorders>
            <w:vAlign w:val="bottom"/>
          </w:tcPr>
          <w:p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New balance 530</w:t>
            </w:r>
          </w:p>
        </w:tc>
        <w:tc>
          <w:tcPr>
            <w:tcW w:w="4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686" w:type="dxa"/>
            <w:tcBorders>
              <w:left w:val="nil"/>
              <w:right w:val="nil"/>
            </w:tcBorders>
            <w:vAlign w:val="bottom"/>
          </w:tcPr>
          <w:p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Штука</w:t>
            </w:r>
          </w:p>
        </w:tc>
        <w:tc>
          <w:tcPr>
            <w:tcW w:w="686" w:type="dxa"/>
            <w:tcBorders>
              <w:top w:val="single" w:sz="12" w:space="0" w:color="auto"/>
              <w:left w:val="single" w:sz="12" w:space="0" w:color="auto"/>
            </w:tcBorders>
            <w:vAlign w:val="bottom"/>
          </w:tcPr>
          <w:p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796</w:t>
            </w:r>
          </w:p>
        </w:tc>
        <w:tc>
          <w:tcPr>
            <w:tcW w:w="686" w:type="dxa"/>
            <w:tcBorders>
              <w:top w:val="single" w:sz="12" w:space="0" w:color="auto"/>
            </w:tcBorders>
            <w:vAlign w:val="bottom"/>
          </w:tcPr>
          <w:p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154810200</w:t>
            </w:r>
          </w:p>
        </w:tc>
        <w:tc>
          <w:tcPr>
            <w:tcW w:w="686" w:type="dxa"/>
            <w:tcBorders>
              <w:top w:val="single" w:sz="12" w:space="0" w:color="auto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86" w:type="dxa"/>
            <w:tcBorders>
              <w:top w:val="single" w:sz="12" w:space="0" w:color="auto"/>
            </w:tcBorders>
            <w:vAlign w:val="bottom"/>
          </w:tcPr>
          <w:p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0.33x0.13x0.23</w:t>
            </w:r>
          </w:p>
        </w:tc>
        <w:tc>
          <w:tcPr>
            <w:tcW w:w="502" w:type="dxa"/>
            <w:tcBorders>
              <w:top w:val="single" w:sz="12" w:space="0" w:color="auto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tcBorders>
              <w:top w:val="single" w:sz="12" w:space="0" w:color="auto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tcBorders>
              <w:top w:val="single" w:sz="12" w:space="0" w:color="auto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3" w:type="dxa"/>
            <w:tcBorders>
              <w:top w:val="single" w:sz="12" w:space="0" w:color="auto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tcBorders>
              <w:top w:val="single" w:sz="12" w:space="0" w:color="auto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tcBorders>
              <w:top w:val="single" w:sz="12" w:space="0" w:color="auto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3" w:type="dxa"/>
            <w:tcBorders>
              <w:top w:val="single" w:sz="12" w:space="0" w:color="auto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dxa"/>
            <w:tcBorders>
              <w:top w:val="single" w:sz="12" w:space="0" w:color="auto"/>
            </w:tcBorders>
            <w:vAlign w:val="bottom"/>
          </w:tcPr>
          <w:p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50.0</w:t>
            </w:r>
          </w:p>
        </w:tc>
        <w:tc>
          <w:tcPr>
            <w:tcW w:w="686" w:type="dxa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4550.0</w:t>
            </w:r>
          </w:p>
        </w:tc>
      </w:tr>
      <w:tr>
        <w:trPr xsi:nil="true"/>
        <w:tc>
          <w:tcPr>
            <w:tcW w:w="2127" w:type="dxa"/>
            <w:tcBorders>
              <w:right w:val="nil"/>
            </w:tcBorders>
            <w:vAlign w:val="bottom"/>
          </w:tcPr>
          <w:p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Аккумулятор Nikon EN-EL14</w:t>
            </w:r>
          </w:p>
        </w:tc>
        <w:tc>
          <w:tcPr>
            <w:tcW w:w="476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686" w:type="dxa"/>
            <w:tcBorders>
              <w:left w:val="nil"/>
              <w:right w:val="nil"/>
            </w:tcBorders>
            <w:vAlign w:val="bottom"/>
          </w:tcPr>
          <w:p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Штука</w:t>
            </w:r>
          </w:p>
        </w:tc>
        <w:tc>
          <w:tcPr>
            <w:tcW w:w="686" w:type="dxa"/>
            <w:tcBorders>
              <w:left w:val="single" w:sz="12" w:space="0" w:color="auto"/>
            </w:tcBorders>
            <w:vAlign w:val="bottom"/>
          </w:tcPr>
          <w:p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796</w:t>
            </w:r>
          </w:p>
        </w:tc>
        <w:tc>
          <w:tcPr>
            <w:tcW w:w="686" w:type="dxa"/>
            <w:vAlign w:val="bottom"/>
          </w:tcPr>
          <w:p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61040747</w:t>
            </w:r>
          </w:p>
        </w:tc>
        <w:tc>
          <w:tcPr>
            <w:tcW w:w="686" w:type="dxa"/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86" w:type="dxa"/>
            <w:vAlign w:val="bottom"/>
          </w:tcPr>
          <w:p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0.1x0.1x0.1</w:t>
            </w:r>
          </w:p>
        </w:tc>
        <w:tc>
          <w:tcPr>
            <w:tcW w:w="502" w:type="dxa"/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3" w:type="dxa"/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3" w:type="dxa"/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dxa"/>
            <w:vAlign w:val="bottom"/>
          </w:tcPr>
          <w:p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15.0</w:t>
            </w:r>
          </w:p>
        </w:tc>
        <w:tc>
          <w:tcPr>
            <w:tcW w:w="686" w:type="dxa"/>
            <w:tcBorders>
              <w:right w:val="single" w:sz="12" w:space="0" w:color="auto"/>
            </w:tcBorders>
            <w:vAlign w:val="bottom"/>
          </w:tcPr>
          <w:p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1329.0</w:t>
            </w:r>
          </w:p>
        </w:tc>
      </w:tr>
      <w:tr>
        <w:trPr xsi:nil="true"/>
        <w:tc>
          <w:tcPr>
            <w:tcW w:w="2127" w:type="dxa"/>
            <w:tcBorders>
              <w:right w:val="nil"/>
            </w:tcBorders>
            <w:vAlign w:val="bottom"/>
          </w:tcPr>
          <w:p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Электрический чайник PWK 1753CGL</w:t>
            </w:r>
          </w:p>
        </w:tc>
        <w:tc>
          <w:tcPr>
            <w:tcW w:w="476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686" w:type="dxa"/>
            <w:tcBorders>
              <w:left w:val="nil"/>
              <w:right w:val="nil"/>
            </w:tcBorders>
            <w:vAlign w:val="bottom"/>
          </w:tcPr>
          <w:p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Штука</w:t>
            </w:r>
          </w:p>
        </w:tc>
        <w:tc>
          <w:tcPr>
            <w:tcW w:w="686" w:type="dxa"/>
            <w:tcBorders>
              <w:left w:val="single" w:sz="12" w:space="0" w:color="auto"/>
            </w:tcBorders>
            <w:vAlign w:val="bottom"/>
          </w:tcPr>
          <w:p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796</w:t>
            </w:r>
          </w:p>
        </w:tc>
        <w:tc>
          <w:tcPr>
            <w:tcW w:w="686" w:type="dxa"/>
            <w:vAlign w:val="bottom"/>
          </w:tcPr>
          <w:p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119911966</w:t>
            </w:r>
          </w:p>
        </w:tc>
        <w:tc>
          <w:tcPr>
            <w:tcW w:w="686" w:type="dxa"/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86" w:type="dxa"/>
            <w:vAlign w:val="bottom"/>
          </w:tcPr>
          <w:p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0.23x0.23x0.17</w:t>
            </w:r>
          </w:p>
        </w:tc>
        <w:tc>
          <w:tcPr>
            <w:tcW w:w="502" w:type="dxa"/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3" w:type="dxa"/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3" w:type="dxa"/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dxa"/>
            <w:vAlign w:val="bottom"/>
          </w:tcPr>
          <w:p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20.0</w:t>
            </w:r>
          </w:p>
        </w:tc>
        <w:tc>
          <w:tcPr>
            <w:tcW w:w="686" w:type="dxa"/>
            <w:tcBorders>
              <w:right w:val="single" w:sz="12" w:space="0" w:color="auto"/>
            </w:tcBorders>
            <w:vAlign w:val="bottom"/>
          </w:tcPr>
          <w:p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1973.0</w:t>
            </w:r>
          </w:p>
        </w:tc>
      </w:tr>
      <w:tr>
        <w:trPr xsi:nil="true"/>
        <w:tc>
          <w:tcPr>
            <w:tcW w:w="2127" w:type="dxa"/>
            <w:tcBorders>
              <w:right w:val="nil"/>
            </w:tcBorders>
            <w:vAlign w:val="bottom"/>
          </w:tcPr>
          <w:p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Ганджубас</w:t>
            </w:r>
          </w:p>
        </w:tc>
        <w:tc>
          <w:tcPr>
            <w:tcW w:w="476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686" w:type="dxa"/>
            <w:tcBorders>
              <w:left w:val="nil"/>
              <w:right w:val="nil"/>
            </w:tcBorders>
            <w:vAlign w:val="bottom"/>
          </w:tcPr>
          <w:p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Килограмм урана</w:t>
            </w:r>
          </w:p>
        </w:tc>
        <w:tc>
          <w:tcPr>
            <w:tcW w:w="686" w:type="dxa"/>
            <w:tcBorders>
              <w:left w:val="single" w:sz="12" w:space="0" w:color="auto"/>
            </w:tcBorders>
            <w:vAlign w:val="bottom"/>
          </w:tcPr>
          <w:p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867</w:t>
            </w:r>
          </w:p>
        </w:tc>
        <w:tc>
          <w:tcPr>
            <w:tcW w:w="686" w:type="dxa"/>
            <w:vAlign w:val="bottom"/>
          </w:tcPr>
          <w:p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00000001</w:t>
            </w:r>
          </w:p>
        </w:tc>
        <w:tc>
          <w:tcPr>
            <w:tcW w:w="686" w:type="dxa"/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86" w:type="dxa"/>
            <w:vAlign w:val="bottom"/>
          </w:tcPr>
          <w:p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1.0x2.0x3.0</w:t>
            </w:r>
          </w:p>
        </w:tc>
        <w:tc>
          <w:tcPr>
            <w:tcW w:w="502" w:type="dxa"/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3" w:type="dxa"/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3" w:type="dxa"/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dxa"/>
            <w:vAlign w:val="bottom"/>
          </w:tcPr>
          <w:p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32.0</w:t>
            </w:r>
          </w:p>
        </w:tc>
        <w:tc>
          <w:tcPr>
            <w:tcW w:w="686" w:type="dxa"/>
            <w:tcBorders>
              <w:right w:val="single" w:sz="12" w:space="0" w:color="auto"/>
            </w:tcBorders>
            <w:vAlign w:val="bottom"/>
          </w:tcPr>
          <w:p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150.0</w:t>
            </w:r>
          </w:p>
        </w:tc>
      </w:tr>
      <w:tr>
        <w:trPr xsi:nil="true"/>
        <w:tc>
          <w:tcPr>
            <w:tcW w:w="2127" w:type="dxa"/>
            <w:tcBorders>
              <w:right w:val="nil"/>
            </w:tcBorders>
            <w:vAlign w:val="bottom"/>
          </w:tcPr>
          <w:p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Штатив для телефона монопод</w:t>
            </w:r>
          </w:p>
        </w:tc>
        <w:tc>
          <w:tcPr>
            <w:tcW w:w="476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686" w:type="dxa"/>
            <w:tcBorders>
              <w:left w:val="nil"/>
              <w:right w:val="nil"/>
            </w:tcBorders>
            <w:vAlign w:val="bottom"/>
          </w:tcPr>
          <w:p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Штука</w:t>
            </w:r>
          </w:p>
        </w:tc>
        <w:tc>
          <w:tcPr>
            <w:tcW w:w="686" w:type="dxa"/>
            <w:tcBorders>
              <w:left w:val="single" w:sz="12" w:space="0" w:color="auto"/>
            </w:tcBorders>
            <w:vAlign w:val="bottom"/>
          </w:tcPr>
          <w:p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796</w:t>
            </w:r>
          </w:p>
        </w:tc>
        <w:tc>
          <w:tcPr>
            <w:tcW w:w="686" w:type="dxa"/>
            <w:vAlign w:val="bottom"/>
          </w:tcPr>
          <w:p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155603227</w:t>
            </w:r>
          </w:p>
        </w:tc>
        <w:tc>
          <w:tcPr>
            <w:tcW w:w="686" w:type="dxa"/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86" w:type="dxa"/>
            <w:vAlign w:val="bottom"/>
          </w:tcPr>
          <w:p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1.0x1.0x1.0</w:t>
            </w:r>
          </w:p>
        </w:tc>
        <w:tc>
          <w:tcPr>
            <w:tcW w:w="502" w:type="dxa"/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3" w:type="dxa"/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3" w:type="dxa"/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dxa"/>
            <w:vAlign w:val="bottom"/>
          </w:tcPr>
          <w:p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13.0</w:t>
            </w:r>
          </w:p>
        </w:tc>
        <w:tc>
          <w:tcPr>
            <w:tcW w:w="686" w:type="dxa"/>
            <w:tcBorders>
              <w:right w:val="single" w:sz="12" w:space="0" w:color="auto"/>
            </w:tcBorders>
            <w:vAlign w:val="bottom"/>
          </w:tcPr>
          <w:p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500.0</w:t>
            </w:r>
          </w:p>
        </w:tc>
      </w:tr>
      <w:tr>
        <w:trPr xsi:nil="true"/>
        <w:tc>
          <w:tcPr>
            <w:tcW w:w="2127" w:type="dxa"/>
            <w:tcBorders>
              <w:right w:val="nil"/>
            </w:tcBorders>
            <w:vAlign w:val="bottom"/>
          </w:tcPr>
          <w:p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/>
            </w:r>
          </w:p>
        </w:tc>
        <w:tc>
          <w:tcPr>
            <w:tcW w:w="476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/>
            </w:r>
          </w:p>
        </w:tc>
        <w:tc>
          <w:tcPr>
            <w:tcW w:w="686" w:type="dxa"/>
            <w:tcBorders>
              <w:left w:val="nil"/>
              <w:bottom w:val="nil"/>
              <w:right w:val="nil"/>
            </w:tcBorders>
            <w:vAlign w:val="bottom"/>
          </w:tcPr>
          <w:p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/>
            </w:r>
          </w:p>
        </w:tc>
        <w:tc>
          <w:tcPr>
            <w:tcW w:w="686" w:type="dxa"/>
            <w:tcBorders>
              <w:left w:val="single" w:sz="12" w:space="0" w:color="auto"/>
            </w:tcBorders>
            <w:vAlign w:val="bottom"/>
          </w:tcPr>
          <w:p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/>
            </w:r>
          </w:p>
        </w:tc>
        <w:tc>
          <w:tcPr>
            <w:tcW w:w="686" w:type="dxa"/>
            <w:vAlign w:val="bottom"/>
          </w:tcPr>
          <w:p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/>
            </w:r>
          </w:p>
        </w:tc>
        <w:tc>
          <w:tcPr>
            <w:tcW w:w="686" w:type="dxa"/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86" w:type="dxa"/>
            <w:vAlign w:val="bottom"/>
          </w:tcPr>
          <w:p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/>
            </w:r>
          </w:p>
        </w:tc>
        <w:tc>
          <w:tcPr>
            <w:tcW w:w="502" w:type="dxa"/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3" w:type="dxa"/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3" w:type="dxa"/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dxa"/>
            <w:vAlign w:val="bottom"/>
          </w:tcPr>
          <w:p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/>
            </w:r>
          </w:p>
        </w:tc>
        <w:tc>
          <w:tcPr>
            <w:tcW w:w="686" w:type="dxa"/>
            <w:tcBorders>
              <w:right w:val="single" w:sz="12" w:space="0" w:color="auto"/>
            </w:tcBorders>
            <w:vAlign w:val="bottom"/>
          </w:tcPr>
          <w:p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/>
            </w:r>
          </w:p>
        </w:tc>
      </w:tr>
      <w:tr>
        <w:trPr xsi:nil="true"/>
        <w:tc>
          <w:tcPr>
            <w:tcW w:w="2127" w:type="dxa"/>
            <w:tcBorders>
              <w:bottom w:val="nil"/>
              <w:right w:val="nil"/>
            </w:tcBorders>
            <w:vAlign w:val="bottom"/>
          </w:tcPr>
          <w:p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/>
            </w:r>
          </w:p>
        </w:tc>
        <w:tc>
          <w:tcPr>
            <w:tcW w:w="4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/>
            </w:r>
          </w:p>
        </w:tc>
        <w:tc>
          <w:tcPr>
            <w:tcW w:w="686" w:type="dxa"/>
            <w:tcBorders>
              <w:left w:val="nil"/>
              <w:right w:val="nil"/>
            </w:tcBorders>
            <w:vAlign w:val="bottom"/>
          </w:tcPr>
          <w:p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/>
            </w:r>
          </w:p>
        </w:tc>
        <w:tc>
          <w:tcPr>
            <w:tcW w:w="686" w:type="dxa"/>
            <w:tcBorders>
              <w:left w:val="single" w:sz="12" w:space="0" w:color="auto"/>
              <w:bottom w:val="single" w:sz="12" w:space="0" w:color="auto"/>
            </w:tcBorders>
            <w:vAlign w:val="bottom"/>
          </w:tcPr>
          <w:p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/>
            </w:r>
          </w:p>
        </w:tc>
        <w:tc>
          <w:tcPr>
            <w:tcW w:w="686" w:type="dxa"/>
            <w:tcBorders>
              <w:bottom w:val="single" w:sz="12" w:space="0" w:color="auto"/>
            </w:tcBorders>
            <w:vAlign w:val="bottom"/>
          </w:tcPr>
          <w:p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/>
            </w:r>
          </w:p>
        </w:tc>
        <w:tc>
          <w:tcPr>
            <w:tcW w:w="686" w:type="dxa"/>
            <w:tcBorders>
              <w:bottom w:val="single" w:sz="12" w:space="0" w:color="auto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86" w:type="dxa"/>
            <w:tcBorders>
              <w:bottom w:val="single" w:sz="12" w:space="0" w:color="auto"/>
            </w:tcBorders>
            <w:vAlign w:val="bottom"/>
          </w:tcPr>
          <w:p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/>
            </w:r>
          </w:p>
        </w:tc>
        <w:tc>
          <w:tcPr>
            <w:tcW w:w="502" w:type="dxa"/>
            <w:tcBorders>
              <w:bottom w:val="single" w:sz="12" w:space="0" w:color="auto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tcBorders>
              <w:bottom w:val="single" w:sz="12" w:space="0" w:color="auto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tcBorders>
              <w:bottom w:val="single" w:sz="12" w:space="0" w:color="auto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3" w:type="dxa"/>
            <w:tcBorders>
              <w:bottom w:val="single" w:sz="12" w:space="0" w:color="auto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tcBorders>
              <w:bottom w:val="single" w:sz="12" w:space="0" w:color="auto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tcBorders>
              <w:bottom w:val="single" w:sz="12" w:space="0" w:color="auto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3" w:type="dxa"/>
            <w:tcBorders>
              <w:bottom w:val="single" w:sz="12" w:space="0" w:color="auto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7" w:type="dxa"/>
            <w:tcBorders>
              <w:bottom w:val="single" w:sz="12" w:space="0" w:color="auto"/>
            </w:tcBorders>
            <w:vAlign w:val="bottom"/>
          </w:tcPr>
          <w:p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/>
            </w:r>
          </w:p>
        </w:tc>
        <w:tc>
          <w:tcPr>
            <w:tcW w:w="686" w:type="dxa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/>
            </w:r>
          </w:p>
        </w:tc>
      </w:tr>
      <w:tr>
        <w:trPr xsi:nil="true"/>
        <w:tc>
          <w:tcPr>
            <w:tcW w:w="2127" w:type="dxa"/>
            <w:tcBorders>
              <w:left w:val="nil"/>
              <w:bottom w:val="nil"/>
              <w:right w:val="nil"/>
            </w:tcBorders>
            <w:vAlign w:val="bottom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57" w:type="dxa"/>
            <w:tcBorders>
              <w:top w:val="nil"/>
            </w:tcBorders>
            <w:vAlign w:val="bottom"/>
          </w:tcPr>
          <w:p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130</w:t>
            </w:r>
            <w:r>
              <w:rPr>
                <w:sz w:val="16"/>
                <w:szCs w:val="16"/>
                <w:lang w:val="en-US"/>
              </w:rPr>
              <w:t/>
            </w: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686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</w:tr>
    </w:tbl>
    <w:p/>
    <w:p>
      <w:pPr>
        <w:rPr>
          <w:sz w:val="16"/>
          <w:szCs w:val="16"/>
        </w:rPr>
      </w:pPr>
      <w:r>
        <w:rPr>
          <w:sz w:val="16"/>
          <w:szCs w:val="16"/>
        </w:rPr>
        <w:t xml:space="preserve">Количество товара  </w:t>
      </w:r>
      <w:r>
        <w:rPr>
          <w:sz w:val="16"/>
          <w:szCs w:val="16"/>
        </w:rPr>
        <w:t/>
      </w:r>
      <w:r>
        <w:rPr>
          <w:sz w:val="16"/>
          <w:szCs w:val="16"/>
          <w:lang w:val="en-US"/>
        </w:rPr>
        <w:t/>
      </w:r>
      <w:r>
        <w:rPr>
          <w:sz w:val="16"/>
          <w:szCs w:val="16"/>
        </w:rPr>
        <w:t/>
      </w:r>
      <w:r>
        <w:rPr>
          <w:sz w:val="16"/>
          <w:szCs w:val="16"/>
          <w:lang w:val="en-US"/>
        </w:rPr>
        <w:t/>
      </w:r>
      <w:r>
        <w:rPr>
          <w:sz w:val="16"/>
          <w:szCs w:val="16"/>
        </w:rPr>
        <w:t/>
      </w:r>
      <w:r>
        <w:rPr>
          <w:sz w:val="16"/>
          <w:szCs w:val="16"/>
          <w:lang w:val="en-US"/>
        </w:rPr>
        <w:t/>
      </w:r>
      <w:r>
        <w:rPr>
          <w:sz w:val="16"/>
          <w:szCs w:val="16"/>
        </w:rPr>
        <w:t/>
      </w:r>
    </w:p>
    <w:p>
      <w:pPr>
        <w:pBdr>
          <w:top w:val="single" w:sz="4" w:space="1" w:color="auto"/>
        </w:pBdr>
        <w:ind w:left="1361" w:right="5387"/>
        <w:jc w:val="center"/>
        <w:rPr>
          <w:sz w:val="12"/>
          <w:szCs w:val="12"/>
        </w:rPr>
      </w:pPr>
      <w:r>
        <w:rPr>
          <w:sz w:val="12"/>
          <w:szCs w:val="12"/>
        </w:rPr>
        <w:t>(прописью)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Товар по ярлыку проверен: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 xsi:nil="true"/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Заведующий структурным подразделением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/>
            </w:r>
          </w:p>
        </w:tc>
      </w:tr>
      <w:tr>
        <w:trPr xsi:nil="true"/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sz w:val="12"/>
                <w:szCs w:val="1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(должность)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sz w:val="12"/>
                <w:szCs w:val="1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(расшифровка подписи)</w:t>
            </w:r>
          </w:p>
        </w:tc>
      </w:tr>
      <w:tr>
        <w:trPr xsi:nil="true"/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Кладовщик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Петров В.Д.</w:t>
            </w:r>
          </w:p>
        </w:tc>
      </w:tr>
      <w:tr>
        <w:trPr xsi:nil="true"/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sz w:val="12"/>
                <w:szCs w:val="1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(должность)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sz w:val="12"/>
                <w:szCs w:val="1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(расшифровка подписи)</w:t>
            </w:r>
          </w:p>
        </w:tc>
      </w:tr>
    </w:tbl>
    <w:p/>
    <w:p>
      <w:pPr xsi:nil="true"/>
    </w:p>
    <w:sectPr w:rsidR="0062785D" w:rsidSect="00413BC2">
      <w:headerReference w:type="default" r:id="rId6"/>
      <w:pgSz w:w="11906" w:h="16838"/>
      <w:pgMar w:top="851" w:right="567" w:bottom="568" w:left="567" w:header="397" w:footer="709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69A3" w:rsidRDefault="00D169A3">
      <w:r>
        <w:separator/>
      </w:r>
    </w:p>
  </w:endnote>
  <w:endnote w:type="continuationSeparator" w:id="0">
    <w:p w:rsidR="00D169A3" w:rsidRDefault="00D169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69A3" w:rsidRDefault="00D169A3">
      <w:r>
        <w:separator/>
      </w:r>
    </w:p>
  </w:footnote>
  <w:footnote w:type="continuationSeparator" w:id="0">
    <w:p w:rsidR="00D169A3" w:rsidRDefault="00D169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8DD" w:rsidRDefault="003C78DD">
    <w:pPr>
      <w:pStyle w:val="a3"/>
      <w:jc w:val="right"/>
      <w:rPr>
        <w:b/>
        <w:bCs/>
        <w:sz w:val="14"/>
        <w:szCs w:val="1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2D76"/>
    <w:rsid w:val="00062D76"/>
    <w:rsid w:val="003C78DD"/>
    <w:rsid w:val="00413BC2"/>
    <w:rsid w:val="0062785D"/>
    <w:rsid w:val="00D16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8DD"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3C78DD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C78DD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3C78DD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C78DD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260</Words>
  <Characters>1485</Characters>
  <Application>Microsoft Office Word</Application>
  <DocSecurity>0</DocSecurity>
  <Lines>12</Lines>
  <Paragraphs>3</Paragraphs>
  <ScaleCrop>false</ScaleCrop>
  <Company>NPO VMI</Company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2023-06-19T17:44:00Z</dcterms:created>
  <dc:creator>ConsultantPlus</dc:creator>
  <cp:lastModifiedBy>Павел Никанов</cp:lastModifiedBy>
  <cp:lastPrinted>2003-08-27T12:23:00Z</cp:lastPrinted>
  <dcterms:modified xsi:type="dcterms:W3CDTF">2023-06-24T17:56:00Z</dcterms:modified>
  <cp:revision>3</cp:revision>
  <dc:title>Унифицированная форма № ТОРГ-11</dc:title>
</cp:coreProperties>
</file>