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01 — Introduction</w:t>
      </w:r>
    </w:p>
    <w:p>
      <w:pPr>
        <w:pStyle w:val="Heading2"/>
      </w:pPr>
      <w:r>
        <w:t>1.1 Chapter Overview</w:t>
      </w:r>
    </w:p>
    <w:p>
      <w:r>
        <w:t>This chapter introduces the research area, the practical problem that motivates the study, and the system that was designed, implemented, and evaluated to address it. It explains the problem background, defines the general and specific problem statements, presents the main research question and supporting sub-questions, and outlines the research aim and objectives. It also presents a rich picture of the implemented solution workflow, the resource requirements the project actually used, the project scope as it stands at final submission, and a summary of how the study is positioned within Software Engineering, Data Science, and Management Information Systems contexts.</w:t>
      </w:r>
    </w:p>
    <w:p>
      <w:r>
        <w:t>Since Interim Report 02, the research has progressed from a proposed prototype design to a fully implemented, tested, and evaluated web application — UniFlow — comprising a calibrated dual-transformer classification pipeline, a PostgreSQL-backed FastAPI service layer enforcing department-scoped access control and optimistic concurrency, and a React dashboard used by department officers and administrators. Sections 1.8 through 1.10 have been updated from the interim version to describe this implemented system rather than the originally proposed one; Sections 1.2 through 1.7 remain substantively unchanged because the underlying problem, motivation, and objectives that justified the work have not changed.</w:t>
      </w:r>
    </w:p>
    <w:p>
      <w:pPr>
        <w:pStyle w:val="Heading2"/>
      </w:pPr>
      <w:r>
        <w:t>1.2 Problem Background</w:t>
      </w:r>
    </w:p>
    <w:p>
      <w:r>
        <w:t>Modern universities operate in a highly service-oriented environment where students and applicants expect timely answers regarding admissions, examinations, fees, deadlines, timetables, academic documents, course registration, learning platforms, and administrative procedures. Universities receive a high volume of inquiries from prospective students, current students, parents, and external stakeholders through different communication channels, including text-based and telephone-based inquiries. Many institutions still handle these inquiries through manual email, help desk, or ticketing workflows that process messages mainly in chronological order rather than by urgency.</w:t>
      </w:r>
    </w:p>
    <w:p>
      <w:r>
        <w:t>This creates a practical service-management problem. A routine request about general programme information and a time-critical examination issue may enter the same queue, although their academic consequences are very different. If urgent inquiries are not recognized early, students may miss deadlines, fail to resolve examination-related problems, or experience unnecessary stress. Administrative staff also spend time manually reading, categorizing, and forwarding inquiries before resolving them, which increases workload and can reduce the consistency of service quality.</w:t>
      </w:r>
    </w:p>
    <w:p>
      <w:r>
        <w:t>AI and Natural Language Processing provide a technically suitable foundation for addressing this problem because they enable computational analysis of unstructured inquiry text. Recent education research shows that AI chatbots can provide immediate support, explanations, and additional resources for learners and educators, while also raising concerns about reliability, accuracy, and ethics [1]. In the service-management domain, ticket classification and prioritization systems have demonstrated that machine learning and deep learning can reduce manual effort by assigning categories and priority levels to incoming tickets [2], [3].</w:t>
      </w:r>
    </w:p>
    <w:p>
      <w:r>
        <w:t xml:space="preserve">The research therefore focuses on an AI-assisted triage artifact rather than a fully autonomous response system. The implemented system classifies the topic of each inquiry, predicts its urgency level, and presents the result to administrative staff — ordered by priority — for review and response. A closed-set classifier that is forced to answer every time will confidently misroute the inquiries it understands least, so the system additionally </w:t>
      </w:r>
      <w:r>
        <w:rPr>
          <w:b/>
        </w:rPr>
        <w:t>abstains</w:t>
      </w:r>
      <w:r>
        <w:t xml:space="preserve"> to a shared human-reviewed queue when its calibrated confidence in a category prediction is below a validated threshold, or when the inquiry does not resemble any department it was trained on. Voice inquiries were scoped into the original proposal as a channel extension converted to text via an existing automatic-speech-recognition component before entering the same pipeline [4], [5]; this extension was not implemented within the timeframe of the project and is carried forward as future work (Section 1.10, Chapter 07).</w:t>
      </w:r>
    </w:p>
    <w:p>
      <w:pPr>
        <w:pStyle w:val="Heading2"/>
      </w:pPr>
      <w:r>
        <w:t>1.3 Problem Statement</w:t>
      </w:r>
    </w:p>
    <w:p>
      <w:pPr>
        <w:pStyle w:val="Heading3"/>
      </w:pPr>
      <w:r>
        <w:t>1.3.1 General Problem</w:t>
      </w:r>
    </w:p>
    <w:p>
      <w:r>
        <w:t>The general problem is that manual university inquiry handling is inefficient when inquiry volume increases and messages differ in urgency. Traditional queue-based processing does not automatically distinguish between high-impact, deadline-sensitive inquiries and routine informational requests. This can delay critical responses, increase administrative workload, and negatively affect student satisfaction, institutional service quality, and the perceived reliability of university support services.</w:t>
      </w:r>
    </w:p>
    <w:p>
      <w:r>
        <w:t>The problem is not only operational but also managerial. Universities must allocate limited administrative resources while maintaining fairness, transparency, and responsiveness. A purely manual process depends heavily on staff availability and individual judgment. A purely automated system may respond quickly but may fail when the issue is sensitive, ambiguous, or requires institutional policy interpretation. Therefore, the research problem requires a balanced AI-supported workflow that identifies priorities while keeping human staff in control of final decisions — and, critically, that is honest about when its own classification is not reliable enough to act on unsupervised.</w:t>
      </w:r>
    </w:p>
    <w:p>
      <w:pPr>
        <w:pStyle w:val="Heading3"/>
      </w:pPr>
      <w:r>
        <w:t>1.3.2 Specific Problem</w:t>
      </w:r>
    </w:p>
    <w:p>
      <w:r>
        <w:t>The specific problem is the limited availability of domain-specific AI solutions that classify university inquiries and predict urgency levels in a way that can be integrated into higher education administrative workflows, with the access control, auditability, and service-level guarantees a real administrative deployment requires. Existing NLP systems are often designed for generic customer support, IT service desks, or commercial complaint management rather than university-specific inquiry categories such as admissions, examinations, fees, timetables, academic documentation, and learning platform access.</w:t>
      </w:r>
    </w:p>
    <w:p>
      <w:r>
        <w:t>A second discipline-specific challenge is data suitability. Publicly available support-ticket datasets can provide useful structures such as text, category, priority, or department, but their language, labels, and urgency criteria are not directly aligned with higher education processes [3]. University-focused datasets exist for student questions and query classification, but they may not always include explicit urgency labels. As a result, this research defines a mapping and validation process for adapting secondary datasets to the university inquiry context.</w:t>
      </w:r>
    </w:p>
    <w:p>
      <w:r>
        <w:t>A third, implementation-level challenge — one that only became apparent once the system moved from a proposed design to a working artifact — is that a classifier's raw confidence score is not, by itself, trustworthy enough to drive an unsupervised routing decision: fine-tuned transformers are known to be systematically overconfident, and closed-set classifiers cannot recognize inputs that do not resemble anything in their training distribution. Any deployable inquiry-routing system therefore needs a calibration and selective-prediction layer on top of the classifier itself, not just the classifier.</w:t>
      </w:r>
    </w:p>
    <w:p>
      <w:r>
        <w:t>The research gap can be summarized as follows: there is a need for a validated AI-based system design that combines university inquiry category classification, calibrated urgency prediction, selective abstention when confidence is insufficient, secondary dataset adaptation, and human-in-the-loop administrative review inside an access-controlled, auditable service — not merely a classification model evaluated in isolation. This gap is directly addressed by the implemented artifact and its evaluation plan.</w:t>
      </w:r>
    </w:p>
    <w:p>
      <w:pPr>
        <w:pStyle w:val="Heading2"/>
      </w:pPr>
      <w:r>
        <w:t>1.4 Research Question</w:t>
      </w:r>
    </w:p>
    <w:p>
      <w:r>
        <w:rPr>
          <w:b/>
        </w:rPr>
        <w:t>Main Research Question:</w:t>
      </w:r>
      <w:r>
        <w:t xml:space="preserve"> How can an AI-based NLP system be designed, implemented, and evaluated to automatically classify university inquiries, predict urgency levels, and selectively abstain from routing decisions it is not confident in, in order to improve response prioritization within higher education administrative workflows?</w:t>
      </w:r>
    </w:p>
    <w:p>
      <w:r>
        <w:t>Supporting research sub-questions are as follows:</w:t>
      </w:r>
    </w:p>
    <w:p>
      <w:pPr>
        <w:pStyle w:val="ListBullet"/>
      </w:pPr>
      <w:r>
        <w:t>How can university inquiry categories and urgency levels be defined in a way that is meaningful to administrative staff and suitable for supervised machine learning?</w:t>
      </w:r>
    </w:p>
    <w:p>
      <w:pPr>
        <w:pStyle w:val="ListBullet"/>
      </w:pPr>
      <w:r>
        <w:t>Which secondary/public datasets are most suitable for training, validating, or externally testing a university inquiry classification and urgency prediction model?</w:t>
      </w:r>
    </w:p>
    <w:p>
      <w:pPr>
        <w:pStyle w:val="ListBullet"/>
      </w:pPr>
      <w:r>
        <w:t>How effectively do baseline machine learning models compare with transformer-based NLP models for inquiry category classification and urgency-level prediction?</w:t>
      </w:r>
    </w:p>
    <w:p>
      <w:pPr>
        <w:pStyle w:val="ListBullet"/>
      </w:pPr>
      <w:r>
        <w:t>How should confidence calibration and a selective-prediction threshold be derived so that the system abstains from auto-routing when it is likely to be wrong, without abstaining so often that automation coverage becomes negligible?</w:t>
      </w:r>
    </w:p>
    <w:p>
      <w:pPr>
        <w:pStyle w:val="ListBullet"/>
      </w:pPr>
      <w:r>
        <w:t>How should the system be evaluated to ensure that urgent inquiries are detected reliably while reducing unnecessary false urgent predictions, and that abstained inquiries are still handled correctly by a human reviewer?</w:t>
      </w:r>
    </w:p>
    <w:p>
      <w:r>
        <w:t xml:space="preserve">The sub-question on voice-based inquiry incorporation that appeared in the interim proposal is retained as a </w:t>
      </w:r>
      <w:r>
        <w:rPr>
          <w:b/>
        </w:rPr>
        <w:t>future-work question</w:t>
      </w:r>
      <w:r>
        <w:t xml:space="preserve"> (Chapter 07) rather than a question this research answers, since automatic speech recognition was not implemented within the project timeframe.</w:t>
      </w:r>
    </w:p>
    <w:p>
      <w:pPr>
        <w:pStyle w:val="Heading2"/>
      </w:pPr>
      <w:r>
        <w:t>1.5 Research Motivation</w:t>
      </w:r>
    </w:p>
    <w:p>
      <w:r>
        <w:t>The motivation for this research comes from the practical need to improve the speed, fairness, and consistency of university inquiry handling. In a higher education environment, administrative delays can directly affect students because deadlines, examinations, document submissions, and payments are often time-sensitive. A student with an examination issue requires faster attention than a student asking for general information about future intake dates. However, both messages may look similar in a manual inbox until they are read by staff.</w:t>
      </w:r>
    </w:p>
    <w:p>
      <w:r>
        <w:t>The academic motivation is to apply AI, NLP, and Software Engineering principles to a real institutional problem. The study provides an opportunity to investigate text classification, urgency detection, confidence calibration, selective prediction, dataset adaptation, model comparison, service architecture design, and ethical AI use in a higher education setting. The work also aligns with recent interest in AI-powered support systems in universities, where automated tools may assist students and staff but must be designed carefully to address reliability, privacy, and governance concerns [1], [6].</w:t>
      </w:r>
    </w:p>
    <w:p>
      <w:pPr>
        <w:pStyle w:val="Heading2"/>
      </w:pPr>
      <w:r>
        <w:t>1.6 Research Aim</w:t>
      </w:r>
    </w:p>
    <w:p>
      <w:r>
        <w:t>The aim of this research is to design, develop, and evaluate an AI-based system that automatically classifies university inquiries into administrative categories, predicts urgency levels, and selectively abstains to a human-reviewed queue when its confidence is insufficient, so that staff can prioritize responses more effectively while maintaining human oversight and accountability for every routing decision.</w:t>
      </w:r>
    </w:p>
    <w:p>
      <w:pPr>
        <w:pStyle w:val="Heading2"/>
      </w:pPr>
      <w:r>
        <w:t>1.7 Research Objectives</w:t>
      </w:r>
    </w:p>
    <w:p>
      <w:r>
        <w:t>The research objectives are written as research-specific objectives aligned with the implemented artifact and its evaluation process:</w:t>
      </w:r>
    </w:p>
    <w:p>
      <w:pPr>
        <w:pStyle w:val="ListBullet"/>
      </w:pPr>
      <w:r>
        <w:rPr>
          <w:b/>
        </w:rPr>
        <w:t>To identify</w:t>
      </w:r>
      <w:r>
        <w:t xml:space="preserve"> university inquiry categories, urgency criteria, and suitable secondary datasets that can support the development of an AI-based inquiry prioritization system.</w:t>
      </w:r>
    </w:p>
    <w:p>
      <w:pPr>
        <w:pStyle w:val="ListBullet"/>
      </w:pPr>
      <w:r>
        <w:rPr>
          <w:b/>
        </w:rPr>
        <w:t>To analyze</w:t>
      </w:r>
      <w:r>
        <w:t xml:space="preserve"> existing AI, NLP, ticket classification, support-desk prioritization, calibration, and selective-prediction studies in order to justify the research gap and select appropriate technologies.</w:t>
      </w:r>
    </w:p>
    <w:p>
      <w:pPr>
        <w:pStyle w:val="ListBullet"/>
      </w:pPr>
      <w:r>
        <w:rPr>
          <w:b/>
        </w:rPr>
        <w:t>To design and develop</w:t>
      </w:r>
      <w:r>
        <w:t xml:space="preserve"> a system that preprocesses inquiry text, classifies inquiry categories, predicts urgency levels, calibrates the resulting confidence scores, and abstains to a human-reviewed queue when calibrated confidence or out-of-distribution evidence indicates the prediction should not be trusted.</w:t>
      </w:r>
    </w:p>
    <w:p>
      <w:pPr>
        <w:pStyle w:val="ListBullet"/>
      </w:pPr>
      <w:r>
        <w:rPr>
          <w:b/>
        </w:rPr>
        <w:t>To evaluate</w:t>
      </w:r>
      <w:r>
        <w:t xml:space="preserve"> the proposed system using classification metrics such as accuracy, precision, recall, F1-score, and confusion matrices; calibration metrics such as Expected Calibration Error; and selective-prediction metrics such as risk–coverage curves, comparing performance against baseline models.</w:t>
      </w:r>
    </w:p>
    <w:p>
      <w:pPr>
        <w:pStyle w:val="Heading2"/>
      </w:pPr>
      <w:r>
        <w:t>1.8 Rich Picture of the Implemented Solution</w:t>
      </w:r>
    </w:p>
    <w:p>
      <w:r>
        <w:t>The implemented solution follows a human-assisted AI workflow, refined from the interim proposal once the system was actually built and integrated end to end. Incoming inquiries currently originate from students through two channels: a web submission form used directly by administrative staff, and an automated IMAP mailbox poller that fetches, parses, and de-duplicates unseen email messages on a fixed schedule, filtering out messages from automated/no-reply senders before they reach the classification pipeline. Both channels converge on the same intake service, so there is exactly one code path from "raw inquiry text arrives" to "a routing decision is recorded" regardless of which channel it came in on.</w:t>
      </w:r>
    </w:p>
    <w:p>
      <w:r>
        <w:t xml:space="preserve">The cleaned text is passed through a shared or dual transformer backbone that produces two outputs: a </w:t>
      </w:r>
      <w:r>
        <w:rPr>
          <w:b/>
        </w:rPr>
        <w:t>category</w:t>
      </w:r>
      <w:r>
        <w:t xml:space="preserve"> prediction, used for department routing, and an </w:t>
      </w:r>
      <w:r>
        <w:rPr>
          <w:b/>
        </w:rPr>
        <w:t>urgency</w:t>
      </w:r>
      <w:r>
        <w:t xml:space="preserve"> prediction (High / Medium / Low), used to compute a response-time deadline. Both outputs are passed through a </w:t>
      </w:r>
      <w:r>
        <w:rPr>
          <w:b/>
        </w:rPr>
        <w:t>temperature-scaling calibration</w:t>
      </w:r>
      <w:r>
        <w:t xml:space="preserve"> step before being read as confidence scores. The category confidence is then compared against a validated threshold (τ): if it is at or above τ </w:t>
      </w:r>
      <w:r>
        <w:rPr>
          <w:i/>
        </w:rPr>
        <w:t>and</w:t>
      </w:r>
      <w:r>
        <w:t xml:space="preserve"> the message's energy score does not indicate it is out-of-distribution for every known department, the inquiry is </w:t>
      </w:r>
      <w:r>
        <w:rPr>
          <w:b/>
        </w:rPr>
        <w:t>auto-routed</w:t>
      </w:r>
      <w:r>
        <w:t xml:space="preserve"> directly into that department's queue; otherwise it is held in a shared </w:t>
      </w:r>
      <w:r>
        <w:rPr>
          <w:b/>
        </w:rPr>
        <w:t>Triage</w:t>
      </w:r>
      <w:r>
        <w:t xml:space="preserve"> queue for a human to place. Every inquiry, in either path, is assigned a service-level deadline derived from its predicted urgency and is inserted into its destination queue </w:t>
      </w:r>
      <w:r>
        <w:rPr>
          <w:b/>
        </w:rPr>
        <w:t>ordered by priority</w:t>
      </w:r>
      <w:r>
        <w:t xml:space="preserve"> — most urgent, and soonest-due, first — rather than by arrival time.</w:t>
      </w:r>
    </w:p>
    <w:p>
      <w:r>
        <w:t>Administrative staff (scoped to their own department plus Triage) and administrators (with visibility across all departments) review inquiries through a web dashboard. For any inquiry they can inspect the model's per-token attribution for its prediction, accept or correct the predicted category and urgency, and route an abstained inquiry into the correct department. Every state change — creation, routing, assignment, status change, escalation, and resolution — is written to an append-only timeline, and every accept/correct decision is written to a separate review log that is available (but, at the time of writing, not yet consumed) as the training set for a future feedback-retraining pipeline. Voice inquiries, shown as a dashed extension in Figure 1, remain a planned but unimplemented channel; a transcript produced by an external ASR component would enter the pipeline at the same "cleaned text" point a written inquiry does, requiring no change to the classification, calibration, or routing logic downstream of it.</w:t>
      </w:r>
    </w:p>
    <w:p>
      <w:pPr>
        <w:spacing w:after="0"/>
      </w:pPr>
      <w:r>
        <w:rPr>
          <w:rFonts w:ascii="Consolas" w:hAnsi="Consolas"/>
          <w:sz w:val="18"/>
        </w:rPr>
        <w:t xml:space="preserve"> Students / Staff                    Automated ingestion</w:t>
      </w:r>
      <w:r>
        <w:br/>
      </w:r>
      <w:r>
        <w:rPr>
          <w:rFonts w:ascii="Consolas" w:hAnsi="Consolas"/>
          <w:sz w:val="18"/>
        </w:rPr>
        <w:t>┌───────────────────┐              ┌────────────────────────┐</w:t>
      </w:r>
      <w:r>
        <w:br/>
      </w:r>
      <w:r>
        <w:rPr>
          <w:rFonts w:ascii="Consolas" w:hAnsi="Consolas"/>
          <w:sz w:val="18"/>
        </w:rPr>
        <w:t>│  Web submission    │              │  IMAP poller (60s)     │</w:t>
      </w:r>
      <w:r>
        <w:br/>
      </w:r>
      <w:r>
        <w:rPr>
          <w:rFonts w:ascii="Consolas" w:hAnsi="Consolas"/>
          <w:sz w:val="18"/>
        </w:rPr>
        <w:t>│  form (admin-only) │              │  parse + de-dup +      │</w:t>
      </w:r>
      <w:r>
        <w:br/>
      </w:r>
      <w:r>
        <w:rPr>
          <w:rFonts w:ascii="Consolas" w:hAnsi="Consolas"/>
          <w:sz w:val="18"/>
        </w:rPr>
        <w:t>└─────────┬──────────┘              │  automated-sender      │</w:t>
      </w:r>
      <w:r>
        <w:br/>
      </w:r>
      <w:r>
        <w:rPr>
          <w:rFonts w:ascii="Consolas" w:hAnsi="Consolas"/>
          <w:sz w:val="18"/>
        </w:rPr>
        <w:t xml:space="preserve">          │                          │  filter                │</w:t>
      </w:r>
      <w:r>
        <w:br/>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Text preprocessing</w:t>
      </w:r>
      <w:r>
        <w:br/>
      </w:r>
      <w:r>
        <w:rPr>
          <w:rFonts w:ascii="Consolas" w:hAnsi="Consolas"/>
          <w:sz w:val="18"/>
        </w:rPr>
        <w:t xml:space="preserve">                 (clean_text)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Transformer backbone          │</w:t>
      </w:r>
      <w:r>
        <w:br/>
      </w:r>
      <w:r>
        <w:rPr>
          <w:rFonts w:ascii="Consolas" w:hAnsi="Consolas"/>
          <w:sz w:val="18"/>
        </w:rPr>
        <w:t xml:space="preserve">        │   Category head   Urgency head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Temperature-scaling calibration</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Energy-based OOD check   SLA deadline</w:t>
      </w:r>
      <w:r>
        <w:br/>
      </w:r>
      <w:r>
        <w:rPr>
          <w:rFonts w:ascii="Consolas" w:hAnsi="Consolas"/>
          <w:sz w:val="18"/>
        </w:rPr>
        <w:t xml:space="preserve">         + τ threshold compare    (from urgency)</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confidence ≥ τ AND          confidence &lt; τ OR</w:t>
      </w:r>
      <w:r>
        <w:br/>
      </w:r>
      <w:r>
        <w:rPr>
          <w:rFonts w:ascii="Consolas" w:hAnsi="Consolas"/>
          <w:sz w:val="18"/>
        </w:rPr>
        <w:t xml:space="preserve">  in-distribution              out-of-distribution</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Auto-route to                Abstain to shared</w:t>
      </w:r>
      <w:r>
        <w:br/>
      </w:r>
      <w:r>
        <w:rPr>
          <w:rFonts w:ascii="Consolas" w:hAnsi="Consolas"/>
          <w:sz w:val="18"/>
        </w:rPr>
        <w:t xml:space="preserve">  department queue             Triage queue</w:t>
      </w:r>
      <w:r>
        <w:br/>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Priority-ordered queue (React dashboard)</w:t>
      </w:r>
      <w:r>
        <w:br/>
      </w:r>
      <w:r>
        <w:rPr>
          <w:rFonts w:ascii="Consolas" w:hAnsi="Consolas"/>
          <w:sz w:val="18"/>
        </w:rPr>
        <w:t xml:space="preserve">        (urgency rank, then soonest deadline)</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Human review: accept / correct / route</w:t>
      </w:r>
      <w:r>
        <w:br/>
      </w:r>
      <w:r>
        <w:rPr>
          <w:rFonts w:ascii="Consolas" w:hAnsi="Consolas"/>
          <w:sz w:val="18"/>
        </w:rPr>
        <w:t xml:space="preserve">        (audit timeline + review log recorded)</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[Future work: feedback retraining]</w:t>
      </w:r>
      <w:r>
        <w:br/>
      </w:r>
      <w:r>
        <w:rPr>
          <w:rFonts w:ascii="Consolas" w:hAnsi="Consolas"/>
          <w:sz w:val="18"/>
        </w:rPr>
        <w:t xml:space="preserve"> </w:t>
      </w:r>
      <w:r>
        <w:br/>
      </w:r>
      <w:r>
        <w:rPr>
          <w:rFonts w:ascii="Consolas" w:hAnsi="Consolas"/>
          <w:sz w:val="18"/>
        </w:rPr>
        <w:t xml:space="preserve">  - - - - - - - - - - - - - - - - - - - - - - - - -</w:t>
      </w:r>
      <w:r>
        <w:br/>
      </w:r>
      <w:r>
        <w:rPr>
          <w:rFonts w:ascii="Consolas" w:hAnsi="Consolas"/>
          <w:sz w:val="18"/>
        </w:rPr>
        <w:t xml:space="preserve">  [Future work] Voice call → ASR transcript ─────┘  (enters at "Text preprocessing")</w:t>
      </w:r>
    </w:p>
    <w:p>
      <w:r>
        <w:rPr>
          <w:i/>
        </w:rPr>
        <w:t>Figure 1. Rich picture of the implemented solution workflow. Dashed elements are planned but not yet implemented.</w:t>
      </w:r>
    </w:p>
    <w:p>
      <w:pPr>
        <w:pStyle w:val="Heading2"/>
      </w:pPr>
      <w:r>
        <w:t>1.9 Resource Requirements</w:t>
      </w:r>
    </w:p>
    <w:p>
      <w:pPr>
        <w:pStyle w:val="Heading3"/>
      </w:pPr>
      <w:r>
        <w:t>1.9.1 Hardware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Hardware Resource</w:t>
            </w:r>
          </w:p>
        </w:tc>
        <w:tc>
          <w:tcPr>
            <w:tcW w:type="dxa" w:w="2880"/>
          </w:tcPr>
          <w:p>
            <w:r>
              <w:rPr>
                <w:b/>
              </w:rPr>
              <w:t>Suggested Specification</w:t>
            </w:r>
          </w:p>
        </w:tc>
        <w:tc>
          <w:tcPr>
            <w:tcW w:type="dxa" w:w="2880"/>
          </w:tcPr>
          <w:p>
            <w:r>
              <w:rPr>
                <w:b/>
              </w:rPr>
              <w:t>Purpose</w:t>
            </w:r>
          </w:p>
        </w:tc>
      </w:tr>
      <w:tr>
        <w:tc>
          <w:tcPr>
            <w:tcW w:type="dxa" w:w="2880"/>
          </w:tcPr>
          <w:p>
            <w:r>
              <w:t>Research and Development Laptop/PC</w:t>
            </w:r>
          </w:p>
        </w:tc>
        <w:tc>
          <w:tcPr>
            <w:tcW w:type="dxa" w:w="2880"/>
          </w:tcPr>
          <w:p>
            <w:r>
              <w:t>Intel Core i5/i7 or AMD Ryzen 5/7, 16 GB RAM minimum, 512 GB SSD</w:t>
            </w:r>
          </w:p>
        </w:tc>
        <w:tc>
          <w:tcPr>
            <w:tcW w:type="dxa" w:w="2880"/>
          </w:tcPr>
          <w:p>
            <w:r>
              <w:t>Backend, frontend, and evaluation-pipeline development; the two loaded transformer models together require over 1 GB of resident memory.</w:t>
            </w:r>
          </w:p>
        </w:tc>
      </w:tr>
      <w:tr>
        <w:tc>
          <w:tcPr>
            <w:tcW w:type="dxa" w:w="2880"/>
          </w:tcPr>
          <w:p>
            <w:r>
              <w:t>Optional GPU Workstation or Cloud GPU</w:t>
            </w:r>
          </w:p>
        </w:tc>
        <w:tc>
          <w:tcPr>
            <w:tcW w:type="dxa" w:w="2880"/>
          </w:tcPr>
          <w:p>
            <w:r>
              <w:t>NVIDIA GPU with CUDA support, or a cloud GPU instance (used via Google Colab)</w:t>
            </w:r>
          </w:p>
        </w:tc>
        <w:tc>
          <w:tcPr>
            <w:tcW w:type="dxa" w:w="2880"/>
          </w:tcPr>
          <w:p>
            <w:r>
              <w:t>Used for the external fine-tuning of the category and urgency transformer models, which was performed outside the deployed system on Colab.</w:t>
            </w:r>
          </w:p>
        </w:tc>
      </w:tr>
      <w:tr>
        <w:tc>
          <w:tcPr>
            <w:tcW w:type="dxa" w:w="2880"/>
          </w:tcPr>
          <w:p>
            <w:r>
              <w:t>Testing Device</w:t>
            </w:r>
          </w:p>
        </w:tc>
        <w:tc>
          <w:tcPr>
            <w:tcW w:type="dxa" w:w="2880"/>
          </w:tcPr>
          <w:p>
            <w:r>
              <w:t>Standard browser-enabled laptop or desktop</w:t>
            </w:r>
          </w:p>
        </w:tc>
        <w:tc>
          <w:tcPr>
            <w:tcW w:type="dxa" w:w="2880"/>
          </w:tcPr>
          <w:p>
            <w:r>
              <w:t>Required for demonstrating the web dashboard to the supervisor or evaluators.</w:t>
            </w:r>
          </w:p>
        </w:tc>
      </w:tr>
      <w:tr>
        <w:tc>
          <w:tcPr>
            <w:tcW w:type="dxa" w:w="2880"/>
          </w:tcPr>
          <w:p>
            <w:r>
              <w:t>Backup Storage</w:t>
            </w:r>
          </w:p>
        </w:tc>
        <w:tc>
          <w:tcPr>
            <w:tcW w:type="dxa" w:w="2880"/>
          </w:tcPr>
          <w:p>
            <w:r>
              <w:t>External drive or secure cloud storage (Git repository)</w:t>
            </w:r>
          </w:p>
        </w:tc>
        <w:tc>
          <w:tcPr>
            <w:tcW w:type="dxa" w:w="2880"/>
          </w:tcPr>
          <w:p>
            <w:r>
              <w:t>Source code, evaluation results, and report versions.</w:t>
            </w:r>
          </w:p>
        </w:tc>
      </w:tr>
    </w:tbl>
    <w:p/>
    <w:p>
      <w:pPr>
        <w:pStyle w:val="Heading3"/>
      </w:pPr>
      <w:r>
        <w:t>1.9.2 Software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Software Resource</w:t>
            </w:r>
          </w:p>
        </w:tc>
        <w:tc>
          <w:tcPr>
            <w:tcW w:type="dxa" w:w="2880"/>
          </w:tcPr>
          <w:p>
            <w:r>
              <w:rPr>
                <w:b/>
              </w:rPr>
              <w:t>Tool / Version</w:t>
            </w:r>
          </w:p>
        </w:tc>
        <w:tc>
          <w:tcPr>
            <w:tcW w:type="dxa" w:w="2880"/>
          </w:tcPr>
          <w:p>
            <w:r>
              <w:rPr>
                <w:b/>
              </w:rPr>
              <w:t>Purpose</w:t>
            </w:r>
          </w:p>
        </w:tc>
      </w:tr>
      <w:tr>
        <w:tc>
          <w:tcPr>
            <w:tcW w:type="dxa" w:w="2880"/>
          </w:tcPr>
          <w:p>
            <w:r>
              <w:t>Python</w:t>
            </w:r>
          </w:p>
        </w:tc>
        <w:tc>
          <w:tcPr>
            <w:tcW w:type="dxa" w:w="2880"/>
          </w:tcPr>
          <w:p>
            <w:r>
              <w:t>3.13</w:t>
            </w:r>
          </w:p>
        </w:tc>
        <w:tc>
          <w:tcPr>
            <w:tcW w:type="dxa" w:w="2880"/>
          </w:tcPr>
          <w:p>
            <w:r>
              <w:t>Core language for the backend service, the ML/evaluation pipeline, and data cleaning.</w:t>
            </w:r>
          </w:p>
        </w:tc>
      </w:tr>
      <w:tr>
        <w:tc>
          <w:tcPr>
            <w:tcW w:type="dxa" w:w="2880"/>
          </w:tcPr>
          <w:p>
            <w:r>
              <w:t>PyTorch</w:t>
            </w:r>
          </w:p>
        </w:tc>
        <w:tc>
          <w:tcPr>
            <w:tcW w:type="dxa" w:w="2880"/>
          </w:tcPr>
          <w:p>
            <w:r>
              <w:t>≥ 2.2</w:t>
            </w:r>
          </w:p>
        </w:tc>
        <w:tc>
          <w:tcPr>
            <w:tcW w:type="dxa" w:w="2880"/>
          </w:tcPr>
          <w:p>
            <w:r>
              <w:t>Loading and running the fine-tuned transformer models for inference, calibration, and explainability.</w:t>
            </w:r>
          </w:p>
        </w:tc>
      </w:tr>
      <w:tr>
        <w:tc>
          <w:tcPr>
            <w:tcW w:type="dxa" w:w="2880"/>
          </w:tcPr>
          <w:p>
            <w:r>
              <w:t>Hugging Face Transformers</w:t>
            </w:r>
          </w:p>
        </w:tc>
        <w:tc>
          <w:tcPr>
            <w:tcW w:type="dxa" w:w="2880"/>
          </w:tcPr>
          <w:p>
            <w:r>
              <w:t>≥ 4.40</w:t>
            </w:r>
          </w:p>
        </w:tc>
        <w:tc>
          <w:tcPr>
            <w:tcW w:type="dxa" w:w="2880"/>
          </w:tcPr>
          <w:p>
            <w:r>
              <w:t>Tokenizers, model loading, and the shared/dual transformer backbone.</w:t>
            </w:r>
          </w:p>
        </w:tc>
      </w:tr>
      <w:tr>
        <w:tc>
          <w:tcPr>
            <w:tcW w:type="dxa" w:w="2880"/>
          </w:tcPr>
          <w:p>
            <w:r>
              <w:t>scikit-learn, SciPy</w:t>
            </w:r>
          </w:p>
        </w:tc>
        <w:tc>
          <w:tcPr>
            <w:tcW w:type="dxa" w:w="2880"/>
          </w:tcPr>
          <w:p>
            <w:r>
              <w:t>≥ 1.4, ≥ 1.11</w:t>
            </w:r>
          </w:p>
        </w:tc>
        <w:tc>
          <w:tcPr>
            <w:tcW w:type="dxa" w:w="2880"/>
          </w:tcPr>
          <w:p>
            <w:r>
              <w:t>Baseline classifiers (Logistic Regression, Linear SVM), McNemar's test, and bootstrap confidence intervals.</w:t>
            </w:r>
          </w:p>
        </w:tc>
      </w:tr>
      <w:tr>
        <w:tc>
          <w:tcPr>
            <w:tcW w:type="dxa" w:w="2880"/>
          </w:tcPr>
          <w:p>
            <w:r>
              <w:t>Matplotlib</w:t>
            </w:r>
          </w:p>
        </w:tc>
        <w:tc>
          <w:tcPr>
            <w:tcW w:type="dxa" w:w="2880"/>
          </w:tcPr>
          <w:p>
            <w:r>
              <w:t>≥ 3.8</w:t>
            </w:r>
          </w:p>
        </w:tc>
        <w:tc>
          <w:tcPr>
            <w:tcW w:type="dxa" w:w="2880"/>
          </w:tcPr>
          <w:p>
            <w:r>
              <w:t>Confusion matrices, reliability diagrams, and risk–coverage curves for the evaluation report.</w:t>
            </w:r>
          </w:p>
        </w:tc>
      </w:tr>
      <w:tr>
        <w:tc>
          <w:tcPr>
            <w:tcW w:type="dxa" w:w="2880"/>
          </w:tcPr>
          <w:p>
            <w:r>
              <w:t>FastAPI, Uvicorn</w:t>
            </w:r>
          </w:p>
        </w:tc>
        <w:tc>
          <w:tcPr>
            <w:tcW w:type="dxa" w:w="2880"/>
          </w:tcPr>
          <w:p>
            <w:r>
              <w:t>≥ 0.111, ≥ 0.30</w:t>
            </w:r>
          </w:p>
        </w:tc>
        <w:tc>
          <w:tcPr>
            <w:tcW w:type="dxa" w:w="2880"/>
          </w:tcPr>
          <w:p>
            <w:r>
              <w:t>The backend HTTP API, request validation, and OpenAPI schema generation.</w:t>
            </w:r>
          </w:p>
        </w:tc>
      </w:tr>
      <w:tr>
        <w:tc>
          <w:tcPr>
            <w:tcW w:type="dxa" w:w="2880"/>
          </w:tcPr>
          <w:p>
            <w:r>
              <w:t>SQLAlchemy, Alembic-equivalent (`create_all`)</w:t>
            </w:r>
          </w:p>
        </w:tc>
        <w:tc>
          <w:tcPr>
            <w:tcW w:type="dxa" w:w="2880"/>
          </w:tcPr>
          <w:p>
            <w:r>
              <w:t>≥ 2.0</w:t>
            </w:r>
          </w:p>
        </w:tc>
        <w:tc>
          <w:tcPr>
            <w:tcW w:type="dxa" w:w="2880"/>
          </w:tcPr>
          <w:p>
            <w:r>
              <w:t>The ORM layer and schema management for the 14-table PostgreSQL schema.</w:t>
            </w:r>
          </w:p>
        </w:tc>
      </w:tr>
      <w:tr>
        <w:tc>
          <w:tcPr>
            <w:tcW w:type="dxa" w:w="2880"/>
          </w:tcPr>
          <w:p>
            <w:r>
              <w:t>PostgreSQL, psycopg</w:t>
            </w:r>
          </w:p>
        </w:tc>
        <w:tc>
          <w:tcPr>
            <w:tcW w:type="dxa" w:w="2880"/>
          </w:tcPr>
          <w:p>
            <w:r>
              <w:t>current stable</w:t>
            </w:r>
          </w:p>
        </w:tc>
        <w:tc>
          <w:tcPr>
            <w:tcW w:type="dxa" w:w="2880"/>
          </w:tcPr>
          <w:p>
            <w:r>
              <w:t>Persistent storage for inquiries, predictions, review events, users, and routing policy.</w:t>
            </w:r>
          </w:p>
        </w:tc>
      </w:tr>
      <w:tr>
        <w:tc>
          <w:tcPr>
            <w:tcW w:type="dxa" w:w="2880"/>
          </w:tcPr>
          <w:p>
            <w:r>
              <w:t>Argon2-cffi, PyJWT</w:t>
            </w:r>
          </w:p>
        </w:tc>
        <w:tc>
          <w:tcPr>
            <w:tcW w:type="dxa" w:w="2880"/>
          </w:tcPr>
          <w:p>
            <w:r>
              <w:t>current stable</w:t>
            </w:r>
          </w:p>
        </w:tc>
        <w:tc>
          <w:tcPr>
            <w:tcW w:type="dxa" w:w="2880"/>
          </w:tcPr>
          <w:p>
            <w:r>
              <w:t>Password hashing and JWT-based session authentication.</w:t>
            </w:r>
          </w:p>
        </w:tc>
      </w:tr>
      <w:tr>
        <w:tc>
          <w:tcPr>
            <w:tcW w:type="dxa" w:w="2880"/>
          </w:tcPr>
          <w:p>
            <w:r>
              <w:t>APScheduler</w:t>
            </w:r>
          </w:p>
        </w:tc>
        <w:tc>
          <w:tcPr>
            <w:tcW w:type="dxa" w:w="2880"/>
          </w:tcPr>
          <w:p>
            <w:r>
              <w:t>≥ 3.10</w:t>
            </w:r>
          </w:p>
        </w:tc>
        <w:tc>
          <w:tcPr>
            <w:tcW w:type="dxa" w:w="2880"/>
          </w:tcPr>
          <w:p>
            <w:r>
              <w:t>In-process scheduling of the SLA-escalation, outbox, and email-intake background jobs.</w:t>
            </w:r>
          </w:p>
        </w:tc>
      </w:tr>
      <w:tr>
        <w:tc>
          <w:tcPr>
            <w:tcW w:type="dxa" w:w="2880"/>
          </w:tcPr>
          <w:p>
            <w:r>
              <w:t>React, TypeScript, Vite</w:t>
            </w:r>
          </w:p>
        </w:tc>
        <w:tc>
          <w:tcPr>
            <w:tcW w:type="dxa" w:w="2880"/>
          </w:tcPr>
          <w:p>
            <w:r>
              <w:t>React 19, TS ~6</w:t>
            </w:r>
          </w:p>
        </w:tc>
        <w:tc>
          <w:tcPr>
            <w:tcW w:type="dxa" w:w="2880"/>
          </w:tcPr>
          <w:p>
            <w:r>
              <w:t>The department-officer and administrator dashboard, built as a single-page application.</w:t>
            </w:r>
          </w:p>
        </w:tc>
      </w:tr>
      <w:tr>
        <w:tc>
          <w:tcPr>
            <w:tcW w:type="dxa" w:w="2880"/>
          </w:tcPr>
          <w:p>
            <w:r>
              <w:t>TanStack Query, React Router</w:t>
            </w:r>
          </w:p>
        </w:tc>
        <w:tc>
          <w:tcPr>
            <w:tcW w:type="dxa" w:w="2880"/>
          </w:tcPr>
          <w:p>
            <w:r>
              <w:t>current stable</w:t>
            </w:r>
          </w:p>
        </w:tc>
        <w:tc>
          <w:tcPr>
            <w:tcW w:type="dxa" w:w="2880"/>
          </w:tcPr>
          <w:p>
            <w:r>
              <w:t>Server-state caching/mutation and client-side routing in the dashboard.</w:t>
            </w:r>
          </w:p>
        </w:tc>
      </w:tr>
      <w:tr>
        <w:tc>
          <w:tcPr>
            <w:tcW w:type="dxa" w:w="2880"/>
          </w:tcPr>
          <w:p>
            <w:r>
              <w:t>pytest</w:t>
            </w:r>
          </w:p>
        </w:tc>
        <w:tc>
          <w:tcPr>
            <w:tcW w:type="dxa" w:w="2880"/>
          </w:tcPr>
          <w:p>
            <w:r>
              <w:t>≥ 8.0</w:t>
            </w:r>
          </w:p>
        </w:tc>
        <w:tc>
          <w:tcPr>
            <w:tcW w:type="dxa" w:w="2880"/>
          </w:tcPr>
          <w:p>
            <w:r>
              <w:t>The automated test suite (43 tests) covering SLA arithmetic, access control, calibration and selective-prediction mathematics, and the review log.</w:t>
            </w:r>
          </w:p>
        </w:tc>
      </w:tr>
      <w:tr>
        <w:tc>
          <w:tcPr>
            <w:tcW w:type="dxa" w:w="2880"/>
          </w:tcPr>
          <w:p>
            <w:r>
              <w:t>Microsoft Word, Mendeley/Zotero, draw.io</w:t>
            </w:r>
          </w:p>
        </w:tc>
        <w:tc>
          <w:tcPr>
            <w:tcW w:type="dxa" w:w="2880"/>
          </w:tcPr>
          <w:p>
            <w:r>
              <w:t>—</w:t>
            </w:r>
          </w:p>
        </w:tc>
        <w:tc>
          <w:tcPr>
            <w:tcW w:type="dxa" w:w="2880"/>
          </w:tcPr>
          <w:p>
            <w:r>
              <w:t>Academic report writing, citation management, and diagrams.</w:t>
            </w:r>
          </w:p>
        </w:tc>
      </w:tr>
    </w:tbl>
    <w:p/>
    <w:p>
      <w:pPr>
        <w:pStyle w:val="Heading2"/>
      </w:pPr>
      <w:r>
        <w:t>1.10 Project Scope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Scope Type</w:t>
            </w:r>
          </w:p>
        </w:tc>
        <w:tc>
          <w:tcPr>
            <w:tcW w:type="dxa" w:w="2880"/>
          </w:tcPr>
          <w:p>
            <w:r>
              <w:rPr>
                <w:b/>
              </w:rPr>
              <w:t>Item</w:t>
            </w:r>
          </w:p>
        </w:tc>
        <w:tc>
          <w:tcPr>
            <w:tcW w:type="dxa" w:w="2880"/>
          </w:tcPr>
          <w:p>
            <w:r>
              <w:rPr>
                <w:b/>
              </w:rPr>
              <w:t>Elaboration</w:t>
            </w:r>
          </w:p>
        </w:tc>
      </w:tr>
      <w:tr>
        <w:tc>
          <w:tcPr>
            <w:tcW w:type="dxa" w:w="2880"/>
          </w:tcPr>
          <w:p>
            <w:r>
              <w:t>In Scope</w:t>
            </w:r>
          </w:p>
        </w:tc>
        <w:tc>
          <w:tcPr>
            <w:tcW w:type="dxa" w:w="2880"/>
          </w:tcPr>
          <w:p>
            <w:r>
              <w:t>Text-based university inquiries from a web form and an automated email inbox.</w:t>
            </w:r>
          </w:p>
        </w:tc>
        <w:tc>
          <w:tcPr>
            <w:tcW w:type="dxa" w:w="2880"/>
          </w:tcPr>
          <w:p>
            <w:r>
              <w:t>The implemented system accepts text input from both channels through one shared intake service and outputs category and urgency predictions.</w:t>
            </w:r>
          </w:p>
        </w:tc>
      </w:tr>
      <w:tr>
        <w:tc>
          <w:tcPr>
            <w:tcW w:type="dxa" w:w="2880"/>
          </w:tcPr>
          <w:p>
            <w:r>
              <w:t>In Scope</w:t>
            </w:r>
          </w:p>
        </w:tc>
        <w:tc>
          <w:tcPr>
            <w:tcW w:type="dxa" w:w="2880"/>
          </w:tcPr>
          <w:p>
            <w:r>
              <w:t>Inquiry categories reflecting real department labels: Admissions, Examinations, Fees and Payments, Timetable and Scheduling, Academic Documents, Learning Platform / IT Access, and General Administration.</w:t>
            </w:r>
          </w:p>
        </w:tc>
        <w:tc>
          <w:tcPr>
            <w:tcW w:type="dxa" w:w="2880"/>
          </w:tcPr>
          <w:p>
            <w:r>
              <w:t>These categories are the transformer's own label set and are mirrored one-to-one by department records in the system's database.</w:t>
            </w:r>
          </w:p>
        </w:tc>
      </w:tr>
      <w:tr>
        <w:tc>
          <w:tcPr>
            <w:tcW w:type="dxa" w:w="2880"/>
          </w:tcPr>
          <w:p>
            <w:r>
              <w:t>In Scope</w:t>
            </w:r>
          </w:p>
        </w:tc>
        <w:tc>
          <w:tcPr>
            <w:tcW w:type="dxa" w:w="2880"/>
          </w:tcPr>
          <w:p>
            <w:r>
              <w:t>Urgency labels: High, Medium, and Low.</w:t>
            </w:r>
          </w:p>
        </w:tc>
        <w:tc>
          <w:tcPr>
            <w:tcW w:type="dxa" w:w="2880"/>
          </w:tcPr>
          <w:p>
            <w:r>
              <w:t>Urgency is predicted directly from inquiry text and drives a stored service-level deadline.</w:t>
            </w:r>
          </w:p>
        </w:tc>
      </w:tr>
      <w:tr>
        <w:tc>
          <w:tcPr>
            <w:tcW w:type="dxa" w:w="2880"/>
          </w:tcPr>
          <w:p>
            <w:r>
              <w:t>In Scope</w:t>
            </w:r>
          </w:p>
        </w:tc>
        <w:tc>
          <w:tcPr>
            <w:tcW w:type="dxa" w:w="2880"/>
          </w:tcPr>
          <w:p>
            <w:r>
              <w:t>Confidence calibration and selective prediction (abstention).</w:t>
            </w:r>
          </w:p>
        </w:tc>
        <w:tc>
          <w:tcPr>
            <w:tcW w:type="dxa" w:w="2880"/>
          </w:tcPr>
          <w:p>
            <w:r>
              <w:t>Temperature scaling and a validated confidence threshold (τ) decide whether an inquiry is auto-routed or held for human placement.</w:t>
            </w:r>
          </w:p>
        </w:tc>
      </w:tr>
      <w:tr>
        <w:tc>
          <w:tcPr>
            <w:tcW w:type="dxa" w:w="2880"/>
          </w:tcPr>
          <w:p>
            <w:r>
              <w:t>In Scope</w:t>
            </w:r>
          </w:p>
        </w:tc>
        <w:tc>
          <w:tcPr>
            <w:tcW w:type="dxa" w:w="2880"/>
          </w:tcPr>
          <w:p>
            <w:r>
              <w:t>Energy-based out-of-distribution detection.</w:t>
            </w:r>
          </w:p>
        </w:tc>
        <w:tc>
          <w:tcPr>
            <w:tcW w:type="dxa" w:w="2880"/>
          </w:tcPr>
          <w:p>
            <w:r>
              <w:t>Inquiries that do not resemble any trained department are flagged and routed to human review rather than forced into the closest category.</w:t>
            </w:r>
          </w:p>
        </w:tc>
      </w:tr>
      <w:tr>
        <w:tc>
          <w:tcPr>
            <w:tcW w:type="dxa" w:w="2880"/>
          </w:tcPr>
          <w:p>
            <w:r>
              <w:t>In Scope</w:t>
            </w:r>
          </w:p>
        </w:tc>
        <w:tc>
          <w:tcPr>
            <w:tcW w:type="dxa" w:w="2880"/>
          </w:tcPr>
          <w:p>
            <w:r>
              <w:t>Model comparison between baseline machine learning and transformer-based approaches.</w:t>
            </w:r>
          </w:p>
        </w:tc>
        <w:tc>
          <w:tcPr>
            <w:tcW w:type="dxa" w:w="2880"/>
          </w:tcPr>
          <w:p>
            <w:r>
              <w:t>Baseline comparison, using McNemar's exact test, is used to justify model selection.</w:t>
            </w:r>
          </w:p>
        </w:tc>
      </w:tr>
      <w:tr>
        <w:tc>
          <w:tcPr>
            <w:tcW w:type="dxa" w:w="2880"/>
          </w:tcPr>
          <w:p>
            <w:r>
              <w:t>In Scope</w:t>
            </w:r>
          </w:p>
        </w:tc>
        <w:tc>
          <w:tcPr>
            <w:tcW w:type="dxa" w:w="2880"/>
          </w:tcPr>
          <w:p>
            <w:r>
              <w:t>A role-based, department-scoped administrative web dashboard with an audit trail.</w:t>
            </w:r>
          </w:p>
        </w:tc>
        <w:tc>
          <w:tcPr>
            <w:tcW w:type="dxa" w:w="2880"/>
          </w:tcPr>
          <w:p>
            <w:r>
              <w:t>Officers see only their own department and the shared Triage queue; every state change and human decision is recorded.</w:t>
            </w:r>
          </w:p>
        </w:tc>
      </w:tr>
      <w:tr>
        <w:tc>
          <w:tcPr>
            <w:tcW w:type="dxa" w:w="2880"/>
          </w:tcPr>
          <w:p>
            <w:r>
              <w:t>In Scope</w:t>
            </w:r>
          </w:p>
        </w:tc>
        <w:tc>
          <w:tcPr>
            <w:tcW w:type="dxa" w:w="2880"/>
          </w:tcPr>
          <w:p>
            <w:r>
              <w:t>Automated email intake with duplicate and automated-sender filtering.</w:t>
            </w:r>
          </w:p>
        </w:tc>
        <w:tc>
          <w:tcPr>
            <w:tcW w:type="dxa" w:w="2880"/>
          </w:tcPr>
          <w:p>
            <w:r>
              <w:t>Inquiries can arrive by email without a human re-typing them into the web form.</w:t>
            </w:r>
          </w:p>
        </w:tc>
      </w:tr>
      <w:tr>
        <w:tc>
          <w:tcPr>
            <w:tcW w:type="dxa" w:w="2880"/>
          </w:tcPr>
          <w:p>
            <w:r>
              <w:t>Out of Scope</w:t>
            </w:r>
          </w:p>
        </w:tc>
        <w:tc>
          <w:tcPr>
            <w:tcW w:type="dxa" w:w="2880"/>
          </w:tcPr>
          <w:p>
            <w:r>
              <w:t>Voice inquiries and any automatic-speech-recognition component.</w:t>
            </w:r>
          </w:p>
        </w:tc>
        <w:tc>
          <w:tcPr>
            <w:tcW w:type="dxa" w:w="2880"/>
          </w:tcPr>
          <w:p>
            <w:r>
              <w:t>Proposed in the interim report as a channel extension; not implemented within the project timeframe. Carried forward as future work (Chapter 07).</w:t>
            </w:r>
          </w:p>
        </w:tc>
      </w:tr>
      <w:tr>
        <w:tc>
          <w:tcPr>
            <w:tcW w:type="dxa" w:w="2880"/>
          </w:tcPr>
          <w:p>
            <w:r>
              <w:t>Out of Scope</w:t>
            </w:r>
          </w:p>
        </w:tc>
        <w:tc>
          <w:tcPr>
            <w:tcW w:type="dxa" w:w="2880"/>
          </w:tcPr>
          <w:p>
            <w:r>
              <w:t>Fully automated final response generation without staff review.</w:t>
            </w:r>
          </w:p>
        </w:tc>
        <w:tc>
          <w:tcPr>
            <w:tcW w:type="dxa" w:w="2880"/>
          </w:tcPr>
          <w:p>
            <w:r>
              <w:t>The artifact supports staff decision-making; it does not answer or close inquiries on its own.</w:t>
            </w:r>
          </w:p>
        </w:tc>
      </w:tr>
      <w:tr>
        <w:tc>
          <w:tcPr>
            <w:tcW w:type="dxa" w:w="2880"/>
          </w:tcPr>
          <w:p>
            <w:r>
              <w:t>Out of Scope</w:t>
            </w:r>
          </w:p>
        </w:tc>
        <w:tc>
          <w:tcPr>
            <w:tcW w:type="dxa" w:w="2880"/>
          </w:tcPr>
          <w:p>
            <w:r>
              <w:t>An automated feedback-retraining pipeline.</w:t>
            </w:r>
          </w:p>
        </w:tc>
        <w:tc>
          <w:tcPr>
            <w:tcW w:type="dxa" w:w="2880"/>
          </w:tcPr>
          <w:p>
            <w:r>
              <w:t>Human corrections are captured in an append-only review log, but nothing currently consumes that log to retrain the models.</w:t>
            </w:r>
          </w:p>
        </w:tc>
      </w:tr>
      <w:tr>
        <w:tc>
          <w:tcPr>
            <w:tcW w:type="dxa" w:w="2880"/>
          </w:tcPr>
          <w:p>
            <w:r>
              <w:t>Out of Scope</w:t>
            </w:r>
          </w:p>
        </w:tc>
        <w:tc>
          <w:tcPr>
            <w:tcW w:type="dxa" w:w="2880"/>
          </w:tcPr>
          <w:p>
            <w:r>
              <w:t>Integration with a live university production system.</w:t>
            </w:r>
          </w:p>
        </w:tc>
        <w:tc>
          <w:tcPr>
            <w:tcW w:type="dxa" w:w="2880"/>
          </w:tcPr>
          <w:p>
            <w:r>
              <w:t>The deliverable is a research prototype and evaluated artifact, not a production deployment.</w:t>
            </w:r>
          </w:p>
        </w:tc>
      </w:tr>
      <w:tr>
        <w:tc>
          <w:tcPr>
            <w:tcW w:type="dxa" w:w="2880"/>
          </w:tcPr>
          <w:p>
            <w:r>
              <w:t>Out of Scope</w:t>
            </w:r>
          </w:p>
        </w:tc>
        <w:tc>
          <w:tcPr>
            <w:tcW w:type="dxa" w:w="2880"/>
          </w:tcPr>
          <w:p>
            <w:r>
              <w:t>Use of personally identifiable information without approval.</w:t>
            </w:r>
          </w:p>
        </w:tc>
        <w:tc>
          <w:tcPr>
            <w:tcW w:type="dxa" w:w="2880"/>
          </w:tcPr>
          <w:p>
            <w:r>
              <w:t>Any real inquiry data must be anonymized and ethically approved before use.</w:t>
            </w:r>
          </w:p>
        </w:tc>
      </w:tr>
    </w:tbl>
    <w:p/>
    <w:p>
      <w:pPr>
        <w:pStyle w:val="Heading2"/>
      </w:pPr>
      <w:r>
        <w:t>1.11 Chapter Summary</w:t>
      </w:r>
    </w:p>
    <w:p>
      <w:r>
        <w:t>This chapter introduced the research problem and justified the need for an AI-based university inquiry classification and urgency prioritization system. It explained that manual inquiry handling can delay urgent inquiries and increase administrative workload, and that a deployable system additionally needs a calibration and selective-prediction layer so that an overconfident or out-of-distribution prediction does not silently misroute a student's inquiry. The chapter presented the research question, motivation, aim, and objectives largely unchanged from the interim proposal, then updated the rich picture, resource requirements, and project scope to describe the system as it was actually implemented and evaluated — a calibrated, selectively-abstaining, role-based web application rather than the originally proposed generic dashboard prototype, with voice intake descoped to future work. The next chapter reviews the literature underpinning this implementation, including the calibration, selective-prediction, and explainability techniques the system relies on that were not yet discussed in the interim submission.</w:t>
      </w:r>
    </w:p>
    <w:p>
      <w:r>
        <w:br w:type="page"/>
      </w:r>
    </w:p>
    <w:p>
      <w:pPr>
        <w:pStyle w:val="Heading1"/>
      </w:pPr>
      <w:r>
        <w:t>Chapter 02 — Literature Review</w:t>
      </w:r>
    </w:p>
    <w:p>
      <w:pPr>
        <w:pStyle w:val="Heading2"/>
      </w:pPr>
      <w:r>
        <w:t>2.1 Chapter Overview</w:t>
      </w:r>
    </w:p>
    <w:p>
      <w:r>
        <w:t>This chapter reviews the academic and technical literature relevant to automated university inquiry classification and urgency-based prioritization. The review is organized around six connected areas: higher education inquiry management, AI chatbots and student support, support-ticket classification, urgency and priority prediction, transformer-based NLP, and the confidence-calibration, selective-prediction, and explainability techniques that the implemented system relies on. The chapter does not only summarize literature; it critically reflects on how suitable each body of work is for the research problem, and, where the implemented artifact departs from a body of work's assumptions, explains why.</w:t>
      </w:r>
    </w:p>
    <w:p>
      <w:r>
        <w:t>Since Interim Report 02, the technological-analysis and reflection sections of this chapter have been substantially extended. The interim version reviewed literature that justified a two-model category/urgency classifier and a voice-to-text (ASR) extension. Building the system exposed a problem the interim review did not yet address: a fine-tuned transformer's raw confidence score is not, by itself, a trustworthy basis for an unsupervised routing decision. This chapter therefore also reviews the confidence-calibration, selective- prediction, and out-of-distribution detection literature that the implemented calibration layer is built on, and the explainability literature behind the per-token attribution shown to reviewing staff. The voice/ASR literature reviewed in the interim report is retained here in reduced form, positioned as the basis for future work (Chapter 07) rather than as literature justifying a channel that was implemented.</w:t>
      </w:r>
    </w:p>
    <w:p>
      <w:pPr>
        <w:pStyle w:val="Heading2"/>
      </w:pPr>
      <w:r>
        <w:t>2.2 Conceptual Map of the Literature</w:t>
      </w:r>
    </w:p>
    <w:p>
      <w:r>
        <w:t>The conceptual map shows the relationship between the main literature themes. The central problem is AI-based university inquiry prioritization. This problem is shaped by higher education service workflows, NLP classification techniques, urgency detection, confidence calibration and selective prediction, explainability, and ethical governance. Two themes shift position relative to the interim report's map: dataset adaptation is folded into the domain-overview discussion rather than treated as a standalone theme, and a new theme — confidence calibration and selective prediction — is added as a first-class node, because it turned out to be a precondition for any of the other themes being usable in an unsupervised routing decision. The voice/ASR theme is kept but shown as a future-work extension rather than an implemented pipeline stage, matching Chapter 01's rich picture.</w:t>
      </w:r>
    </w:p>
    <w:p>
      <w:pPr>
        <w:spacing w:after="0"/>
      </w:pPr>
      <w:r>
        <w:rPr>
          <w:rFonts w:ascii="Consolas" w:hAnsi="Consolas"/>
          <w:sz w:val="18"/>
        </w:rPr>
        <w:t xml:space="preserve">                       Conceptual Map of the Literature</w:t>
      </w:r>
      <w:r>
        <w:br/>
      </w:r>
      <w:r>
        <w:rPr>
          <w:rFonts w:ascii="Consolas" w:hAnsi="Consolas"/>
          <w:sz w:val="18"/>
        </w:rPr>
        <w:t xml:space="preserve"> </w:t>
      </w:r>
      <w:r>
        <w:br/>
      </w:r>
      <w:r>
        <w:rPr>
          <w:rFonts w:ascii="Consolas" w:hAnsi="Consolas"/>
          <w:sz w:val="18"/>
        </w:rPr>
        <w:t xml:space="preserve">  Higher Education        NLP Text              Urgency / Priority</w:t>
      </w:r>
      <w:r>
        <w:br/>
      </w:r>
      <w:r>
        <w:rPr>
          <w:rFonts w:ascii="Consolas" w:hAnsi="Consolas"/>
          <w:sz w:val="18"/>
        </w:rPr>
        <w:t xml:space="preserve">  Inquiry Management      Classification         Detection</w:t>
      </w:r>
      <w:r>
        <w:br/>
      </w:r>
      <w:r>
        <w:rPr>
          <w:rFonts w:ascii="Consolas" w:hAnsi="Consolas"/>
          <w:sz w:val="18"/>
        </w:rPr>
        <w:t xml:space="preserve">         \                    |                     /</w:t>
      </w:r>
      <w:r>
        <w:br/>
      </w:r>
      <w:r>
        <w:rPr>
          <w:rFonts w:ascii="Consolas" w:hAnsi="Consolas"/>
          <w:sz w:val="18"/>
        </w:rPr>
        <w:t xml:space="preserve">          \                   |                    /</w:t>
      </w:r>
      <w:r>
        <w:br/>
      </w:r>
      <w:r>
        <w:rPr>
          <w:rFonts w:ascii="Consolas" w:hAnsi="Consolas"/>
          <w:sz w:val="18"/>
        </w:rPr>
        <w:t xml:space="preserve">           \                  |                   /</w:t>
      </w:r>
      <w:r>
        <w:br/>
      </w:r>
      <w:r>
        <w:rPr>
          <w:rFonts w:ascii="Consolas" w:hAnsi="Consolas"/>
          <w:sz w:val="18"/>
        </w:rPr>
        <w:t xml:space="preserve">            +---- AI-Based University Inquiry ----+</w:t>
      </w:r>
      <w:r>
        <w:br/>
      </w:r>
      <w:r>
        <w:rPr>
          <w:rFonts w:ascii="Consolas" w:hAnsi="Consolas"/>
          <w:sz w:val="18"/>
        </w:rPr>
        <w:t xml:space="preserve">            |          Prioritization              |</w:t>
      </w:r>
      <w:r>
        <w:br/>
      </w:r>
      <w:r>
        <w:rPr>
          <w:rFonts w:ascii="Consolas" w:hAnsi="Consolas"/>
          <w:sz w:val="18"/>
        </w:rPr>
        <w:t xml:space="preserve">            +---------------+----------------------+</w:t>
      </w:r>
      <w:r>
        <w:br/>
      </w:r>
      <w:r>
        <w:rPr>
          <w:rFonts w:ascii="Consolas" w:hAnsi="Consolas"/>
          <w:sz w:val="18"/>
        </w:rPr>
        <w:t xml:space="preserve">           /                |                 \            \</w:t>
      </w:r>
      <w:r>
        <w:br/>
      </w:r>
      <w:r>
        <w:rPr>
          <w:rFonts w:ascii="Consolas" w:hAnsi="Consolas"/>
          <w:sz w:val="18"/>
        </w:rPr>
        <w:t xml:space="preserve">          /                 |                  \            \</w:t>
      </w:r>
      <w:r>
        <w:br/>
      </w:r>
      <w:r>
        <w:rPr>
          <w:rFonts w:ascii="Consolas" w:hAnsi="Consolas"/>
          <w:sz w:val="18"/>
        </w:rPr>
        <w:t xml:space="preserve">  Confidence Calibration  Explainability   Ethics, Privacy   [Future work]</w:t>
      </w:r>
      <w:r>
        <w:br/>
      </w:r>
      <w:r>
        <w:rPr>
          <w:rFonts w:ascii="Consolas" w:hAnsi="Consolas"/>
          <w:sz w:val="18"/>
        </w:rPr>
        <w:t xml:space="preserve">  &amp; Selective Prediction  (Integrated       &amp; Human           Voice / ASR</w:t>
      </w:r>
      <w:r>
        <w:br/>
      </w:r>
      <w:r>
        <w:rPr>
          <w:rFonts w:ascii="Consolas" w:hAnsi="Consolas"/>
          <w:sz w:val="18"/>
        </w:rPr>
        <w:t xml:space="preserve">  (temperature scaling,   Gradients)        Oversight         extension</w:t>
      </w:r>
      <w:r>
        <w:br/>
      </w:r>
      <w:r>
        <w:rPr>
          <w:rFonts w:ascii="Consolas" w:hAnsi="Consolas"/>
          <w:sz w:val="18"/>
        </w:rPr>
        <w:t xml:space="preserve">  energy-based OOD)</w:t>
      </w:r>
    </w:p>
    <w:p>
      <w:r>
        <w:rPr>
          <w:i/>
        </w:rPr>
        <w:t>Figure 2. Conceptual map of the literature. The dashed future-work node mirrors Figure 1 in Chapter 01.</w:t>
      </w:r>
    </w:p>
    <w:p>
      <w:pPr>
        <w:pStyle w:val="Heading2"/>
      </w:pPr>
      <w:r>
        <w:t>2.3 Domain Overview</w:t>
      </w:r>
    </w:p>
    <w:p>
      <w:r>
        <w:t>The domain of university inquiry management includes administrative communication between the institution and its stakeholders. Common inquiries relate to admissions, examinations, course registration, fees, timetables, academic documents, and learning platform access. Unlike commercial customer support, university inquiries can have academic consequences, policy constraints, and strict deadlines. Urgency therefore cannot be treated only as emotional tone or customer frustration; it must also consider academic impact, deadline proximity, and the need for escalation.</w:t>
      </w:r>
    </w:p>
    <w:p>
      <w:r>
        <w:t>Recent work on AI chatbots in education shows that conversational AI can provide immediate support, explanations, and additional resources. Labadze, Grigolia, and Machaidze reviewed 67 studies and reported benefits for students and educators, while also emphasizing concerns about reliability, accuracy, and ethical use [1]. This is directly relevant to the implemented system: an inquiry prioritization system may support faster responses, but it must not create misleading decisions or remove accountability from staff. This concern is precisely why the implemented system routes low-confidence and out-of-distribution inquiries to a human-reviewed queue rather than resolving them automatically (Section 2.5.1).</w:t>
      </w:r>
    </w:p>
    <w:p>
      <w:r>
        <w:t>In higher education, AI support systems are commonly discussed in the context of chatbots, personal tutoring, retrieval-augmented question answering, and student assistance. The research reported in this thesis is narrower and more operational: it classifies incoming inquiries and prioritizes them for staff review rather than answering them. This positions the work closer to ticket classification and service-desk automation than to general-purpose educational chatbots — a distinction the implemented role-based dashboard makes concrete, since it is a staff-facing triage tool rather than a student-facing conversational agent.</w:t>
      </w:r>
    </w:p>
    <w:p>
      <w:pPr>
        <w:pStyle w:val="Heading2"/>
      </w:pPr>
      <w:r>
        <w:t>2.4 Existing Systems, Frameworks and Designs</w:t>
      </w:r>
    </w:p>
    <w:p>
      <w:r>
        <w:t>Existing approaches can be grouped into manual help-desk systems, rule-based routing, traditional machine learning classifiers, deep learning classifiers, transformer-based models, and AI-assisted ticket prioritization frameworks. Each approach was assessed for suitability against the requirements the implemented system ended up satisfying: department-scoped access control, a stored service-level deadline, and a decision the system is entitled to make without a human in the loop only when it is calibrated and in-distribution.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Approach</w:t>
            </w:r>
          </w:p>
        </w:tc>
        <w:tc>
          <w:tcPr>
            <w:tcW w:type="dxa" w:w="1728"/>
          </w:tcPr>
          <w:p>
            <w:r>
              <w:rPr>
                <w:b/>
              </w:rPr>
              <w:t>Description</w:t>
            </w:r>
          </w:p>
        </w:tc>
        <w:tc>
          <w:tcPr>
            <w:tcW w:type="dxa" w:w="1728"/>
          </w:tcPr>
          <w:p>
            <w:r>
              <w:rPr>
                <w:b/>
              </w:rPr>
              <w:t>Strengths</w:t>
            </w:r>
          </w:p>
        </w:tc>
        <w:tc>
          <w:tcPr>
            <w:tcW w:type="dxa" w:w="1728"/>
          </w:tcPr>
          <w:p>
            <w:r>
              <w:rPr>
                <w:b/>
              </w:rPr>
              <w:t>Limitations</w:t>
            </w:r>
          </w:p>
        </w:tc>
        <w:tc>
          <w:tcPr>
            <w:tcW w:type="dxa" w:w="1728"/>
          </w:tcPr>
          <w:p>
            <w:r>
              <w:rPr>
                <w:b/>
              </w:rPr>
              <w:t>Suitability for the Implemented System</w:t>
            </w:r>
          </w:p>
        </w:tc>
      </w:tr>
      <w:tr>
        <w:tc>
          <w:tcPr>
            <w:tcW w:type="dxa" w:w="1728"/>
          </w:tcPr>
          <w:p>
            <w:r>
              <w:t>Manual email/help desk queue</w:t>
            </w:r>
          </w:p>
        </w:tc>
        <w:tc>
          <w:tcPr>
            <w:tcW w:type="dxa" w:w="1728"/>
          </w:tcPr>
          <w:p>
            <w:r>
              <w:t>Staff read and respond to messages in chronological or manually sorted order.</w:t>
            </w:r>
          </w:p>
        </w:tc>
        <w:tc>
          <w:tcPr>
            <w:tcW w:type="dxa" w:w="1728"/>
          </w:tcPr>
          <w:p>
            <w:r>
              <w:t>Simple and familiar; requires no AI infrastructure.</w:t>
            </w:r>
          </w:p>
        </w:tc>
        <w:tc>
          <w:tcPr>
            <w:tcW w:type="dxa" w:w="1728"/>
          </w:tcPr>
          <w:p>
            <w:r>
              <w:t>Slow for high volumes; urgent inquiries may be delayed; inconsistent categorization.</w:t>
            </w:r>
          </w:p>
        </w:tc>
        <w:tc>
          <w:tcPr>
            <w:tcW w:type="dxa" w:w="1728"/>
          </w:tcPr>
          <w:p>
            <w:r>
              <w:t>Rejected as a standalone approach; retained only as the informal baseline the system improves on.</w:t>
            </w:r>
          </w:p>
        </w:tc>
      </w:tr>
      <w:tr>
        <w:tc>
          <w:tcPr>
            <w:tcW w:type="dxa" w:w="1728"/>
          </w:tcPr>
          <w:p>
            <w:r>
              <w:t>Rule-based keyword routing</w:t>
            </w:r>
          </w:p>
        </w:tc>
        <w:tc>
          <w:tcPr>
            <w:tcW w:type="dxa" w:w="1728"/>
          </w:tcPr>
          <w:p>
            <w:r>
              <w:t>Rules detect words such as exam, payment, urgent, deadline, or admission.</w:t>
            </w:r>
          </w:p>
        </w:tc>
        <w:tc>
          <w:tcPr>
            <w:tcW w:type="dxa" w:w="1728"/>
          </w:tcPr>
          <w:p>
            <w:r>
              <w:t>Transparent and easy to implement.</w:t>
            </w:r>
          </w:p>
        </w:tc>
        <w:tc>
          <w:tcPr>
            <w:tcW w:type="dxa" w:w="1728"/>
          </w:tcPr>
          <w:p>
            <w:r>
              <w:t>Brittle when wording changes; poor contextual understanding; negation and ambiguity are hard.</w:t>
            </w:r>
          </w:p>
        </w:tc>
        <w:tc>
          <w:tcPr>
            <w:tcW w:type="dxa" w:w="1728"/>
          </w:tcPr>
          <w:p>
            <w:r>
              <w:t>Not adopted; a closed-set transformer classifier with calibration was judged more robust to wording variation than a rule set would be.</w:t>
            </w:r>
          </w:p>
        </w:tc>
      </w:tr>
      <w:tr>
        <w:tc>
          <w:tcPr>
            <w:tcW w:type="dxa" w:w="1728"/>
          </w:tcPr>
          <w:p>
            <w:r>
              <w:t>Classical ML classification</w:t>
            </w:r>
          </w:p>
        </w:tc>
        <w:tc>
          <w:tcPr>
            <w:tcW w:type="dxa" w:w="1728"/>
          </w:tcPr>
          <w:p>
            <w:r>
              <w:t>TF-IDF with Logistic Regression, SVM, Naive Bayes, or tree-based models [7].</w:t>
            </w:r>
          </w:p>
        </w:tc>
        <w:tc>
          <w:tcPr>
            <w:tcW w:type="dxa" w:w="1728"/>
          </w:tcPr>
          <w:p>
            <w:r>
              <w:t>Fast, interpretable, works well on small datasets, easy to benchmark.</w:t>
            </w:r>
          </w:p>
        </w:tc>
        <w:tc>
          <w:tcPr>
            <w:tcW w:type="dxa" w:w="1728"/>
          </w:tcPr>
          <w:p>
            <w:r>
              <w:t>Depends on feature engineering and may miss context.</w:t>
            </w:r>
          </w:p>
        </w:tc>
        <w:tc>
          <w:tcPr>
            <w:tcW w:type="dxa" w:w="1728"/>
          </w:tcPr>
          <w:p>
            <w:r>
              <w:t>Retained as the baseline model family the transformer is compared against using McNemar's exact test (Chapter 06).</w:t>
            </w:r>
          </w:p>
        </w:tc>
      </w:tr>
      <w:tr>
        <w:tc>
          <w:tcPr>
            <w:tcW w:type="dxa" w:w="1728"/>
          </w:tcPr>
          <w:p>
            <w:r>
              <w:t>Deep learning models</w:t>
            </w:r>
          </w:p>
        </w:tc>
        <w:tc>
          <w:tcPr>
            <w:tcW w:type="dxa" w:w="1728"/>
          </w:tcPr>
          <w:p>
            <w:r>
              <w:t>CNN, RNN, and BiLSTM models learn sequence patterns from text.</w:t>
            </w:r>
          </w:p>
        </w:tc>
        <w:tc>
          <w:tcPr>
            <w:tcW w:type="dxa" w:w="1728"/>
          </w:tcPr>
          <w:p>
            <w:r>
              <w:t>Can capture local and sequential patterns.</w:t>
            </w:r>
          </w:p>
        </w:tc>
        <w:tc>
          <w:tcPr>
            <w:tcW w:type="dxa" w:w="1728"/>
          </w:tcPr>
          <w:p>
            <w:r>
              <w:t>Needs more data and tuning; may not outperform transformers on limited domain data.</w:t>
            </w:r>
          </w:p>
        </w:tc>
        <w:tc>
          <w:tcPr>
            <w:tcW w:type="dxa" w:w="1728"/>
          </w:tcPr>
          <w:p>
            <w:r>
              <w:t>Not adopted as a separate model family; superseded by the transformer baseline comparison.</w:t>
            </w:r>
          </w:p>
        </w:tc>
      </w:tr>
      <w:tr>
        <w:tc>
          <w:tcPr>
            <w:tcW w:type="dxa" w:w="1728"/>
          </w:tcPr>
          <w:p>
            <w:r>
              <w:t>Transformer-based models</w:t>
            </w:r>
          </w:p>
        </w:tc>
        <w:tc>
          <w:tcPr>
            <w:tcW w:type="dxa" w:w="1728"/>
          </w:tcPr>
          <w:p>
            <w:r>
              <w:t>BERT/RoBERTa/DistilBERT fine-tuned for category and urgency classification [9], [10], [11].</w:t>
            </w:r>
          </w:p>
        </w:tc>
        <w:tc>
          <w:tcPr>
            <w:tcW w:type="dxa" w:w="1728"/>
          </w:tcPr>
          <w:p>
            <w:r>
              <w:t>Strong contextual representation; effective transfer learning.</w:t>
            </w:r>
          </w:p>
        </w:tc>
        <w:tc>
          <w:tcPr>
            <w:tcW w:type="dxa" w:w="1728"/>
          </w:tcPr>
          <w:p>
            <w:r>
              <w:t>Needs careful training, compute resources, and — as this research found — produces overconfident, uncalibrated scores that are unsafe to route on directly.</w:t>
            </w:r>
          </w:p>
        </w:tc>
        <w:tc>
          <w:tcPr>
            <w:tcW w:type="dxa" w:w="1728"/>
          </w:tcPr>
          <w:p>
            <w:r>
              <w:t>Adopted as the core classifier, but only once paired with the calibration and selective-prediction layer described in Section 2.5.1.</w:t>
            </w:r>
          </w:p>
        </w:tc>
      </w:tr>
      <w:tr>
        <w:tc>
          <w:tcPr>
            <w:tcW w:type="dxa" w:w="1728"/>
          </w:tcPr>
          <w:p>
            <w:r>
              <w:t>ASR-assisted voice pipeline</w:t>
            </w:r>
          </w:p>
        </w:tc>
        <w:tc>
          <w:tcPr>
            <w:tcW w:type="dxa" w:w="1728"/>
          </w:tcPr>
          <w:p>
            <w:r>
              <w:t>Phone calls are transcribed into text and processed by the same NLP model [4], [5].</w:t>
            </w:r>
          </w:p>
        </w:tc>
        <w:tc>
          <w:tcPr>
            <w:tcW w:type="dxa" w:w="1728"/>
          </w:tcPr>
          <w:p>
            <w:r>
              <w:t>Supports multimodal inquiry channels without building a separate voice model.</w:t>
            </w:r>
          </w:p>
        </w:tc>
        <w:tc>
          <w:tcPr>
            <w:tcW w:type="dxa" w:w="1728"/>
          </w:tcPr>
          <w:p>
            <w:r>
              <w:t>ASR errors may affect downstream text classification; adds a second component to validate and maintain.</w:t>
            </w:r>
          </w:p>
        </w:tc>
        <w:tc>
          <w:tcPr>
            <w:tcW w:type="dxa" w:w="1728"/>
          </w:tcPr>
          <w:p>
            <w:r>
              <w:t>Not implemented within the project timeframe. Retained in the literature as the basis for Chapter 07's future-work recommendation, since a transcript would enter the implemented pipeline at the same preprocessing point a written inquiry does.</w:t>
            </w:r>
          </w:p>
        </w:tc>
      </w:tr>
    </w:tbl>
    <w:p/>
    <w:p>
      <w:r>
        <w:t>Ticket-BERT is a relevant example from the incident-management domain. Liu, Benge, and Jiang introduced a language-model approach for labeling incident tickets and highlighted challenges such as changing ticket descriptions, time-sensitive labeling, and the need for quick adaptation to new labels [2]. These challenges recur in university inquiry management, where inquiry categories and deadlines shift across semesters and administrative periods.</w:t>
      </w:r>
    </w:p>
    <w:p>
      <w:r>
        <w:t>Customer-support ticket prioritization research also supports the feasibility of the approach taken. Selvi et al. developed an NLP-driven system for customer support ticket categorization and prioritization using machine learning and deep learning models, reporting that BERT performed competitively for urgency prioritization and that classical models such as Logistic Regression and SVM were strong for categorization [3]. Although the domain is commercial customer support rather than university administration, the design principle of category-plus-priority prediction, sitting behind a review step rather than replacing it, is exactly the shape the implemented system takes.</w:t>
      </w:r>
    </w:p>
    <w:p>
      <w:r>
        <w:t>None of this literature, however, addresses what happens when the classifier is simply wrong with high confidence, or when an inquiry does not resemble anything the classifier was trained on. That gap is the subject of Section 2.5.1 and is what most changed between the interim proposal and the implemented system.</w:t>
      </w:r>
    </w:p>
    <w:p>
      <w:pPr>
        <w:pStyle w:val="Heading2"/>
      </w:pPr>
      <w:r>
        <w:t>2.5 Technological Analysis</w:t>
      </w:r>
    </w:p>
    <w:p>
      <w:pPr>
        <w:pStyle w:val="Heading3"/>
      </w:pPr>
      <w:r>
        <w:t>2.5.1 Algorithmic Analysis</w:t>
      </w:r>
    </w:p>
    <w:p>
      <w:r>
        <w:t>The algorithmic component of the implemented system divides into preprocessing, representation learning, category and urgency classification, confidence calibration, selective prediction, out-of-distribution detection, and evaluation. Preprocessing cleans text, normalizes casing, handles contractions, and removes unnecessary symbols while preserving critical information such as dates, examination terms, payment references, and deadline-related expressions — generic text cleaning is inappropriate here because it can remove exactly the words that signal urgency or domain relevance.</w:t>
      </w:r>
    </w:p>
    <w:p>
      <w:r>
        <w:t>Baseline representation is created using TF-IDF, which converts each inquiry into a sparse vector reflecting the importance of words in the corpus. This representation is used with Logistic Regression, Support Vector Machines, and Multinomial Naive Bayes as the baseline models the transformer is compared against. Baseline models remain important because they provide a transparent, low-variance benchmark, and classical ML models have achieved strong category-classification performance on comparable ticket data [3].</w:t>
      </w:r>
    </w:p>
    <w:p>
      <w:r>
        <w:t>Transformer-based representation is the core advanced approach. BERT introduced bidirectional contextual pretraining and can be fine-tuned with a small task-specific output layer for classification [9]. RoBERTa improved BERT-style pretraining by optimizing training choices and data usage [10]. DistilBERT reduced model size while retaining much of BERT's language-understanding performance, which matters where inference has to run inside a request-serving API rather than a batch job [11]. The implemented system uses a shared-or-dual transformer backbone (Figure 1, Chapter 01) that produces both a category output, used for department routing, and an urgency output (High/Medium/Low), used to compute a service-level deadline — whether the two heads share an encoder or are trained as separate fine-tuned models is a configuration choice (`prefer_multitask`) rather than a fixed architectural commitment, since both configurations were kept comparable under the same evaluation protocol.</w:t>
      </w:r>
    </w:p>
    <w:p>
      <w:r>
        <w:t>This is also where the interim review's coverage stopped being sufficient once the system was built. Guo et al. showed that modern neural networks, including the architectures underlying BERT-family models, are systematically miscalibrated: their softmax confidence overstates the true probability of a correct prediction, and this overconfidence gets worse, not better, as models get deeper and more accurate on held-out accuracy alone [15]. A classifier that reports 98% confidence on a misclassified inquiry is not a hypothetical risk for this system — it is the default behavior of an unadjusted fine-tuned transformer, and routing on that number directly would silently misroute exactly the inquiries the model is least equipped to handle. Guo et al.'s temperature-scaling method addresses this with a single learned scalar temperature applied to the logits before the softmax, calibrated on a held-out validation set so that a stated confidence of, say, 80% is empirically correct about 80% of the time; its simplicity, small number of parameters, and negligible effect on the model's ranking of predictions make it well suited to a two-head classifier that needs its category and urgency confidences calibrated independently without retraining either head. The implemented system's calibration step, and its Expected Calibration Error evaluation metric (Chapter 06), are a direct application of this method.</w:t>
      </w:r>
    </w:p>
    <w:p>
      <w:r>
        <w:t>Calibration alone answers "how much should I trust this probability," not "should I act on this probability at all." That second question is selective prediction: a classifier that is allowed to abstain rather than being forced to output a label for every input. A calibrated confidence score is the natural signal to threshold for this decision, and the validated threshold τ described in Chapter 01 is exactly that: an inquiry is auto-routed only when its calibrated category confidence is at or above τ, and is otherwise held for a human to place in Triage. This keeps the system's behavior legible in exactly the terms the domain-overview literature raised — staff, not the model, remain accountable for the inquiries the model was not confident about [1].</w:t>
      </w:r>
    </w:p>
    <w:p>
      <w:r>
        <w:t>A calibrated confidence threshold still assumes the inquiry resembles something the classifier was trained on. It does not, by itself, protect against an inquiry from a department, language register, or topic the training data never covered — a closed-set classifier will still assign such an inquiry to whichever known category is least dissimilar, with a confidence score that calibration was never validated to interpret correctly out-of- distribution. Liu et al. proposed an energy-based scoring function derived from a classifier's logits that is higher (indicating unfamiliarity) for out-of-distribution inputs than for in-distribution ones, without requiring the network to be retrained or an auxiliary outlier detector to be added, and reported that it outperforms softmax-confidence-based OOD detection [16]. The implemented system uses this energy score as a second, independent gate alongside the τ threshold: an inquiry is auto-routed only when its confidence clears τ and its energy score does not flag it as out-of-distribution for every known department; either condition failing sends it to Triage instead.</w:t>
      </w:r>
    </w:p>
    <w:p>
      <w:r>
        <w:t>Evaluation of the classification components follows the same shape as the interim report's plan — accuracy, precision, recall, macro F1-score, and confusion matrices, with particular attention to recall for High-urgency inquiries, since a false negative there is the failure mode with the worst real-world consequence. The implemented evaluation plan extends this with Expected Calibration Error (for the calibration claim), risk-coverage curves and area-under-risk-coverage (for the selective-prediction claim — how much accuracy is gained by abstaining on the least-confident fraction of inquiries), and McNemar's exact test with bootstrap confidence intervals for the baseline-versus-transformer comparison, so that a reported improvement is supported by a significance test rather than a single point estimate.</w:t>
      </w:r>
    </w:p>
    <w:p>
      <w:pPr>
        <w:pStyle w:val="Heading3"/>
      </w:pPr>
      <w:r>
        <w:t>2.5.2 Design Analysis</w:t>
      </w:r>
    </w:p>
    <w:p>
      <w:r>
        <w:t>The implemented architecture follows a modular, layered design so that data ingestion, preprocessing, model inference, calibration, routing, persistence, and the review dashboard can be developed, tested, and reasoned about separately. This is consistent with the interim report's design rationale — it supports maintainability and future extension, and it keeps the door open for the ASR component to be added later without changing anything downstream of the point where a transcript would enter as cleaned text.</w:t>
      </w:r>
    </w:p>
    <w:p>
      <w:r>
        <w:t>Two design decisions extend beyond what the interim report anticipated, both following directly from building on a shared FastAPI service backed by PostgreSQL rather than a single-process prototype script. The first is access control: department officers are scoped to their own department plus the shared Triage queue, and administrators see every department, enforced as a SQL predicate applied before rows leave the database rather than a filter applied after. The second is auditability: every state change to an inquiry — creation, routing, assignment, status change, escalation, resolution — is written to an append-only timeline, and every accept/correct decision a reviewer makes is written to a separate review log. Neither mechanism appears in the interim proposal's architecture diagram, because neither is necessary until the system is handling department-scoped, accountable decisions rather than producing a single prediction for a research notebook.</w:t>
      </w:r>
    </w:p>
    <w:p>
      <w:r>
        <w:t>Human-in-the-loop operation remains the central design decision, unchanged in principle from the interim report but concretized considerably: the system does not answer, reject, or close an inquiry on its own in any case. When confidence and out-of-distribution checks both pass, the inquiry is auto-routed into a department queue where staff still see it, act on it, and can correct its category or urgency; when either check fails, it is held in a shared Triage queue for a human to place. This is a stricter reading of human-in-the-loop than the interim report's "system displays a suggested label" description, because it makes the model's own confidence the gate on whether staff see a routing decision already made or a decision still to be made.</w:t>
      </w:r>
    </w:p>
    <w:p>
      <w:r>
        <w:t>Explainability was an intended but unspecified design consideration in the interim report ("highlighted keywords or simple rationale indicators"). The implemented system instead uses Integrated Gradients, an axiomatic feature-attribution method introduced by Sundararajan, Taly, and Yan that computes each input token's contribution to a model's output by integrating the gradient of the output with respect to the input along a straight-line path from a neutral baseline to the actual input [17]. Integrated Gradients was selected over ad-hoc keyword highlighting because it satisfies two axioms — sensitivity and implementation invariance — that a heuristic keyword list cannot guarantee, and because it operates directly on the fine-tuned transformer without requiring a separate explanation model to be trained and kept in sync. Reviewing staff see the resulting per-token attribution in the ticket detail view's Explanation tab, framed as a rationale for review rather than as a proof of correct reasoning, consistent with the interim report's caution that such explanations "should not be treated as perfect model reasoning."</w:t>
      </w:r>
    </w:p>
    <w:p>
      <w:pPr>
        <w:pStyle w:val="Heading3"/>
      </w:pPr>
      <w:r>
        <w:t>2.5.3 Workflow Analysis</w:t>
      </w:r>
    </w:p>
    <w:p>
      <w:r>
        <w:t>The implemented workflow begins when an inquiry is received through the web submission form or the automated IMAP mailbox poller; the interim report's phone/help-desk-ticket channels and its ASR transcription step are not part of the implemented workflow, for the reasons given in Section 2.4. The poller adds two stages the interim workflow did not need: de-duplication (so a message already ingested is not processed twice) and automated-sender filtering (so a mailbox-generated notification is never treated as a student inquiry) — both a direct consequence of moving from a manually curated dataset to a live mailbox, where nothing about the sender or the message's authenticity is otherwise known in advance.</w:t>
      </w:r>
    </w:p>
    <w:p>
      <w:r>
        <w:t>From there, the workflow follows the algorithmic pipeline reviewed in Section 2.5.1: cleaned text into the classifier, classifier logits through temperature scaling, the calibrated category confidence compared against τ, and the energy score compared against the out-of-distribution threshold. The literature behind each of these steps was written and evaluated independently — Guo et al. calibrate a single classifier [15], Liu et al. detect out-of-distribution inputs for a single classifier [16] — and neither addresses what should happen when both checks are combined into one routing decision with a service-level deadline attached. That combination, and the priority ordering of the resulting queue by urgency rank and then soonest deadline rather than by arrival time, is a workflow-design contribution of this research rather than a technique taken directly from a single source.</w:t>
      </w:r>
    </w:p>
    <w:p>
      <w:r>
        <w:t>The workflow still supports the continuous-improvement loop the interim report envisioned: when staff accept or correct a predicted category or urgency label, the decision is written to the review log. At the time of writing, this log is populated but not yet consumed by a retraining pipeline, so it is reported here as an evaluated design output rather than a demonstrated feedback loop; the reasons for that scope decision, and the recommendation to build the retraining pipeline it enables, are discussed in Chapter 07.</w:t>
      </w:r>
    </w:p>
    <w:p>
      <w:pPr>
        <w:pStyle w:val="Heading2"/>
      </w:pPr>
      <w:r>
        <w:t>2.6 Reflection and Research Gap</w:t>
      </w:r>
    </w:p>
    <w:p>
      <w:r>
        <w:t>The literature confirms that AI chatbots and NLP systems can support educational and service-management tasks, but also that reliability, ethics, privacy, and contextual suitability remain live concerns [1]. Support- ticket classification research demonstrates that both classical ML and transformer-based models can classify and prioritize tickets [2], [3]. None of this literature, however, questions whether the classifier's own confidence score can be trusted enough to act on without a human check — an assumption every one of these systems makes implicitly by producing a single predicted label per input.</w:t>
      </w:r>
    </w:p>
    <w:p>
      <w:r>
        <w:t>The calibration and out-of-distribution detection literature closes part of that gap, but only in isolation from the university-inquiry problem: Guo et al. demonstrate that modern neural networks are miscalibrated and show how to fix it for a single classifier's output [15], and Liu et al. show how to flag inputs a classifier was never trained to recognize [16], but neither paper is concerned with routing decisions, service-level deadlines, department-scoped access control, or an audit trail — the operational requirements a real administrative deployment imposes. Equally, the explainability literature that Integrated Gradients belongs to is concerned with faithfully attributing a model's output to its input, not with what a non-technical reviewer should be shown or how much weight they should place on it [17].</w:t>
      </w:r>
    </w:p>
    <w:p>
      <w:r>
        <w:t>The research gap can now be stated more precisely than in the interim report: there is a need for a validated AI-based system design that combines university inquiry category classification, calibrated urgency prediction, selective abstention grounded in both calibrated confidence and out-of-distribution evidence, per- prediction explainability, and human-in-the-loop administrative review inside an access-controlled, auditable service — not a classification model evaluated in isolation, and not a calibration or OOD-detection technique demonstrated on a benchmark dataset disconnected from an operational workflow. The voice/ASR literature reviewed in Section 2.4 remains relevant to this gap only as a future extension: Radford et al.'s and Southwell's work on ASR robustness and error modes [4], [5] would need to be revisited before a transcript channel is added, but this research does not close that part of the gap and reports it honestly as future work (Chapter 07) rather than as an implemented contribution. This gap is directly addressed by the implemented artifact described in Chapters 04 and 05 and by the evaluation plan carried out in Chapter 06.</w:t>
      </w:r>
    </w:p>
    <w:p>
      <w:r>
        <w:br w:type="page"/>
      </w:r>
    </w:p>
    <w:p>
      <w:pPr>
        <w:pStyle w:val="Heading1"/>
      </w:pPr>
      <w:r>
        <w:t>Chapter 03 — Methodology</w:t>
      </w:r>
    </w:p>
    <w:p>
      <w:pPr>
        <w:pStyle w:val="Heading2"/>
      </w:pPr>
      <w:r>
        <w:t>3.1 Research Paradigm</w:t>
      </w:r>
    </w:p>
    <w:p>
      <w:r>
        <w:t>This research adopted a pragmatic paradigm supported by Design Science Research. Pragmatism was suitable because the research is concerned with solving a real institutional problem using an artifact and evaluating whether the artifact works in practice; the study did not rely on theory or observation alone, but combined literature, dataset construction, model development, prototype design, and empirical evaluation into one iterative process.</w:t>
      </w:r>
    </w:p>
    <w:p>
      <w:r>
        <w:t>Design Science Research is appropriate because the main output is an IT artifact: an AI-based inquiry classification and urgency prioritization system. Hevner et al. explain that knowledge in design science is gained through building and applying an artifact to a problem domain [12]. Peffers et al. further present a Design Science Research Methodology that includes problem identification, objectives, design and development, demonstration, evaluation, and communication [13]. These stages structured the research as planned in the interim report, and — as Section 3.6.1 discusses — the methodology's own provision for an iterative feedback loop between evaluation and design turned out to be necessary rather than a formality: evaluating the first fine-tuned classifier surfaced the overconfidence problem described in Chapter 02, which sent the project back through Design and Development before a trustworthy Evaluation stage was possible.</w:t>
      </w:r>
    </w:p>
    <w:p>
      <w:pPr>
        <w:pStyle w:val="Heading2"/>
      </w:pPr>
      <w:r>
        <w:t>3.2 Research Approach</w:t>
      </w:r>
    </w:p>
    <w:p>
      <w:r>
        <w:t>The study used a mixed deductive and inductive approach. The deductive aspect came from applying established theories, methods, and metrics from NLP, machine learning, and Design Science Research: that text classification models can learn patterns from labelled data, and that model performance and reliability can be measured using precision, recall, F1-score, Expected Calibration Error, and risk-coverage analysis. The inductive aspect appeared during data construction and error analysis, where patterns in the constructed inquiry corpus — and in the classifier's failure modes once it was evaluated — shaped decisions that the interim proposal had not anticipated, most notably the addition of a calibration and selective-prediction layer.</w:t>
      </w:r>
    </w:p>
    <w:p>
      <w:r>
        <w:t>The approach remained pragmatic in the sense that method selection was based on research usefulness rather than allegiance to one paradigm. Classical machine learning models were retained as baselines because they are interpretable and efficient; transformer models were adopted because they are effective for contextual language understanding; and human review was retained throughout because university administrative decisions require accountability and may involve sensitive student circumstances.</w:t>
      </w:r>
    </w:p>
    <w:p>
      <w:pPr>
        <w:pStyle w:val="Heading2"/>
      </w:pPr>
      <w:r>
        <w:t>3.3 Research Strategy</w:t>
      </w:r>
    </w:p>
    <w:p>
      <w:r>
        <w:t>The research strategy was Design Science Research Methodology (DSRM). The implemented system is the artifact, and its evaluation is central to the research contribution. The DSRM stages were applied as follows:</w:t>
      </w:r>
    </w:p>
    <w:p>
      <w:pPr>
        <w:pStyle w:val="ListNumber"/>
      </w:pPr>
      <w:r>
        <w:rPr>
          <w:b/>
        </w:rPr>
        <w:t>Problem Identification</w:t>
      </w:r>
      <w:r>
        <w:t>: Identify inefficiencies in manual university inquiry handling and the risk of delayed urgent inquiries.</w:t>
      </w:r>
    </w:p>
    <w:p>
      <w:pPr>
        <w:pStyle w:val="ListNumber"/>
      </w:pPr>
      <w:r>
        <w:rPr>
          <w:b/>
        </w:rPr>
        <w:t>Define Objectives</w:t>
      </w:r>
      <w:r>
        <w:t>: Establish system objectives for inquiry category classification, calibrated urgency prediction, selective abstention, and staff review.</w:t>
      </w:r>
    </w:p>
    <w:p>
      <w:pPr>
        <w:pStyle w:val="ListNumber"/>
      </w:pPr>
      <w:r>
        <w:rPr>
          <w:b/>
        </w:rPr>
        <w:t>Design and Development</w:t>
      </w:r>
      <w:r>
        <w:t>: Design the architecture, dataset schema, preprocessing pipeline, model pipeline, calibration and selective-prediction layer, and the role-based dashboard.</w:t>
      </w:r>
    </w:p>
    <w:p>
      <w:pPr>
        <w:pStyle w:val="ListNumber"/>
      </w:pPr>
      <w:r>
        <w:rPr>
          <w:b/>
        </w:rPr>
        <w:t>Demonstration</w:t>
      </w:r>
      <w:r>
        <w:t>: Apply the implemented pipeline to the constructed inquiry corpus to show how classification, calibration, and prioritization work end to end.</w:t>
      </w:r>
    </w:p>
    <w:p>
      <w:pPr>
        <w:pStyle w:val="ListNumber"/>
      </w:pPr>
      <w:r>
        <w:rPr>
          <w:b/>
        </w:rPr>
        <w:t>Evaluation</w:t>
      </w:r>
      <w:r>
        <w:t>: Compare baseline and transformer models using classification, calibration, and selective-prediction metrics, with significance testing.</w:t>
      </w:r>
    </w:p>
    <w:p>
      <w:pPr>
        <w:pStyle w:val="ListNumber"/>
      </w:pPr>
      <w:r>
        <w:rPr>
          <w:b/>
        </w:rPr>
        <w:t>Communication</w:t>
      </w:r>
      <w:r>
        <w:t>: Present the methodology, results, discussion, limitations, and recommendations in the interim and final thesis reports.</w:t>
      </w:r>
    </w:p>
    <w:p>
      <w:r>
        <w:t>Unlike the interim proposal, which presented these stages as a forward-only pipeline, Stage 5 fed back into Stage 3 once during execution: initial evaluation showed the fine-tuned transformer's raw confidence scores were unusable as a routing signal (Chapter 02), which meant Design and Development had to be revisited to add temperature-scaling calibration, the τ-threshold selective-prediction decision, and energy-based out-of-distribution detection before Evaluation could be trusted. This is the iterative feedback loop the interim proposal's DSRM diagram already allowed for (Figure 4, Section 3.5.1), and it is reported here as something the methodology actually exercised, not only planned for.</w:t>
      </w:r>
    </w:p>
    <w:p>
      <w:pPr>
        <w:pStyle w:val="Heading2"/>
      </w:pPr>
      <w:r>
        <w:t>3.4 Fact Collection Mechanisms</w:t>
      </w:r>
    </w:p>
    <w:p>
      <w:r>
        <w:t>Fact collection used four mechanisms: literature review, secondary dataset review, dataset construction, and prototype evaluation. The literature review focused on peer-reviewed and credible sources related to AI chatbots in education, support-ticket classification, urgency detection, transformer-based NLP, confidence calibration, out-of-distribution detection, and explainability. A PRISMA-inspired search-and-screening process was used to keep the review transparent, although this undergraduate research does not claim to be a full systematic review [14].</w:t>
      </w:r>
    </w:p>
    <w:p>
      <w:r>
        <w:t>The dataset strategy combined secondary public datasets with author-constructed inquiries. The public sources identified in the interim proposal — university-related query datasets and IT/customer-support ticket datasets from Kaggle, Mendeley, and Zenodo — provided realistic phrasing and structural variety, but, as anticipated, their category and urgency conventions did not map cleanly onto the university-specific schema this research needed. Rows drawn from these sources were relabelled against the project's own category and urgency definitions (Section 3.4.1); rows and phrasing variants that public sources did not adequately cover for a given category/urgency/scenario combination were supplemented with author-constructed inquiries following the same schema, so that the final corpus is a deliberate mix rather than a single public dataset used as-is. This directly implements the "mapping and validation process for adapting secondary datasets to the university inquiry context" that Chapter 01's specific-problem statement identifies as a discipline-specific challenge.</w:t>
      </w:r>
    </w:p>
    <w:p>
      <w:r>
        <w:t>The constructed corpus totals approximately 8,000 labelled inquiries for training, with separate, non-overlapping validation and test files held out for model selection and final evaluation respectively. Each row carries the following fields: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Query_ID</w:t>
            </w:r>
          </w:p>
        </w:tc>
        <w:tc>
          <w:tcPr>
            <w:tcW w:type="dxa" w:w="4320"/>
          </w:tcPr>
          <w:p>
            <w:r>
              <w:t>Unique identifier for the inquiry row; a suffixed variant (e.g. `404869_A`) marks a phrasing variant generated from the same underlying scenario.</w:t>
            </w:r>
          </w:p>
        </w:tc>
      </w:tr>
      <w:tr>
        <w:tc>
          <w:tcPr>
            <w:tcW w:type="dxa" w:w="4320"/>
          </w:tcPr>
          <w:p>
            <w:r>
              <w:t>Student_Query</w:t>
            </w:r>
          </w:p>
        </w:tc>
        <w:tc>
          <w:tcPr>
            <w:tcW w:type="dxa" w:w="4320"/>
          </w:tcPr>
          <w:p>
            <w:r>
              <w:t>The inquiry text, as a student or applicant might plausibly phrase it.</w:t>
            </w:r>
          </w:p>
        </w:tc>
      </w:tr>
      <w:tr>
        <w:tc>
          <w:tcPr>
            <w:tcW w:type="dxa" w:w="4320"/>
          </w:tcPr>
          <w:p>
            <w:r>
              <w:t>Urgency_Label</w:t>
            </w:r>
          </w:p>
        </w:tc>
        <w:tc>
          <w:tcPr>
            <w:tcW w:type="dxa" w:w="4320"/>
          </w:tcPr>
          <w:p>
            <w:r>
              <w:t>The ground-truth urgency: High, Medium, or Low.</w:t>
            </w:r>
          </w:p>
        </w:tc>
      </w:tr>
      <w:tr>
        <w:tc>
          <w:tcPr>
            <w:tcW w:type="dxa" w:w="4320"/>
          </w:tcPr>
          <w:p>
            <w:r>
              <w:t>University_Category</w:t>
            </w:r>
          </w:p>
        </w:tc>
        <w:tc>
          <w:tcPr>
            <w:tcW w:type="dxa" w:w="4320"/>
          </w:tcPr>
          <w:p>
            <w:r>
              <w:t>The ground-truth department-facing category (Admissions, Examinations, Fees and Payments, Timetable and Scheduling, Academic Documents, Learning Platform / IT Access, or General Administration).</w:t>
            </w:r>
          </w:p>
        </w:tc>
      </w:tr>
      <w:tr>
        <w:tc>
          <w:tcPr>
            <w:tcW w:type="dxa" w:w="4320"/>
          </w:tcPr>
          <w:p>
            <w:r>
              <w:t>Scenario_Family</w:t>
            </w:r>
          </w:p>
        </w:tc>
        <w:tc>
          <w:tcPr>
            <w:tcW w:type="dxa" w:w="4320"/>
          </w:tcPr>
          <w:p>
            <w:r>
              <w:t>A short code (e.g. `DOC05A`, `TIM01B`) grouping phrasing variants that were generated from the same underlying scenario, kept to support scenario-level error analysis and to trace a variant back to the situation it represents.</w:t>
            </w:r>
          </w:p>
        </w:tc>
      </w:tr>
      <w:tr>
        <w:tc>
          <w:tcPr>
            <w:tcW w:type="dxa" w:w="4320"/>
          </w:tcPr>
          <w:p>
            <w:r>
              <w:t>Primary_Intent</w:t>
            </w:r>
          </w:p>
        </w:tc>
        <w:tc>
          <w:tcPr>
            <w:tcW w:type="dxa" w:w="4320"/>
          </w:tcPr>
          <w:p>
            <w:r>
              <w:t>A short human-readable label for the specific situation the inquiry represents (e.g. "digital certificate", "class timetable clash"), finer-grained than the category and useful for qualitative error review.</w:t>
            </w:r>
          </w:p>
        </w:tc>
      </w:tr>
    </w:tbl>
    <w:p/>
    <w:p>
      <w:r>
        <w:t>Scenario_Family and Primary_Intent are refinements over the data dictionary proposed in the interim report (Appendix B): they were added during dataset construction once it became clear that category and urgency labels alone were too coarse to audit whether misclassifications clustered around specific real-world situations (for example, whether "digital certificate" and "certified copies" inquiries were being confused with each other more than with unrelated Academic Documents inquiries).</w:t>
      </w:r>
    </w:p>
    <w:p>
      <w:pPr>
        <w:pStyle w:val="Heading3"/>
      </w:pPr>
      <w:r>
        <w:t>3.4.1 Label Schema</w:t>
      </w:r>
    </w:p>
    <w:p>
      <w:r>
        <w:t>The label schema retained from the interim proposal has two output dimensions. The first is inquiry category, matching the university's own department structure. The second is urgency level: High, Medium, or 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Urgency Label</w:t>
            </w:r>
          </w:p>
        </w:tc>
        <w:tc>
          <w:tcPr>
            <w:tcW w:type="dxa" w:w="2880"/>
          </w:tcPr>
          <w:p>
            <w:r>
              <w:rPr>
                <w:b/>
              </w:rPr>
              <w:t>Definition</w:t>
            </w:r>
          </w:p>
        </w:tc>
        <w:tc>
          <w:tcPr>
            <w:tcW w:type="dxa" w:w="2880"/>
          </w:tcPr>
          <w:p>
            <w:r>
              <w:rPr>
                <w:b/>
              </w:rPr>
              <w:t>Example Inquiry Type</w:t>
            </w:r>
          </w:p>
        </w:tc>
      </w:tr>
      <w:tr>
        <w:tc>
          <w:tcPr>
            <w:tcW w:type="dxa" w:w="2880"/>
          </w:tcPr>
          <w:p>
            <w:r>
              <w:t>High</w:t>
            </w:r>
          </w:p>
        </w:tc>
        <w:tc>
          <w:tcPr>
            <w:tcW w:type="dxa" w:w="2880"/>
          </w:tcPr>
          <w:p>
            <w:r>
              <w:t>Immediate or near-deadline issue with academic, financial, or administrative consequences.</w:t>
            </w:r>
          </w:p>
        </w:tc>
        <w:tc>
          <w:tcPr>
            <w:tcW w:type="dxa" w:w="2880"/>
          </w:tcPr>
          <w:p>
            <w:r>
              <w:t>Cannot access exam portal today; payment issue blocking registration; urgent document required before deadline.</w:t>
            </w:r>
          </w:p>
        </w:tc>
      </w:tr>
      <w:tr>
        <w:tc>
          <w:tcPr>
            <w:tcW w:type="dxa" w:w="2880"/>
          </w:tcPr>
          <w:p>
            <w:r>
              <w:t>Medium</w:t>
            </w:r>
          </w:p>
        </w:tc>
        <w:tc>
          <w:tcPr>
            <w:tcW w:type="dxa" w:w="2880"/>
          </w:tcPr>
          <w:p>
            <w:r>
              <w:t>Requires staff action within a reasonable period but does not indicate immediate harm.</w:t>
            </w:r>
          </w:p>
        </w:tc>
        <w:tc>
          <w:tcPr>
            <w:tcW w:type="dxa" w:w="2880"/>
          </w:tcPr>
          <w:p>
            <w:r>
              <w:t>Request for fee confirmation, timetable correction, admission document clarification for the upcoming week.</w:t>
            </w:r>
          </w:p>
        </w:tc>
      </w:tr>
      <w:tr>
        <w:tc>
          <w:tcPr>
            <w:tcW w:type="dxa" w:w="2880"/>
          </w:tcPr>
          <w:p>
            <w:r>
              <w:t>Low</w:t>
            </w:r>
          </w:p>
        </w:tc>
        <w:tc>
          <w:tcPr>
            <w:tcW w:type="dxa" w:w="2880"/>
          </w:tcPr>
          <w:p>
            <w:r>
              <w:t>General inquiry, information request, or non-time-sensitive clarification.</w:t>
            </w:r>
          </w:p>
        </w:tc>
        <w:tc>
          <w:tcPr>
            <w:tcW w:type="dxa" w:w="2880"/>
          </w:tcPr>
          <w:p>
            <w:r>
              <w:t>Programme information, general scholarship inquiry, future intake dates, campus facilities inquiry.</w:t>
            </w:r>
          </w:p>
        </w:tc>
      </w:tr>
    </w:tbl>
    <w:p/>
    <w:p>
      <w:pPr>
        <w:pStyle w:val="Heading2"/>
      </w:pPr>
      <w:r>
        <w:t>3.5 Research Methodology Execution Workflow</w:t>
      </w:r>
    </w:p>
    <w:p>
      <w:r>
        <w:t>The methodology execution workflow followed the DSRM stages while adding dataset management and model evaluation activities, with the iterative feedback loop described in Section 3.3 shown explicitly in Figure 4.</w:t>
      </w:r>
    </w:p>
    <w:p>
      <w:pPr>
        <w:spacing w:after="0"/>
      </w:pPr>
      <w:r>
        <w:rPr>
          <w:rFonts w:ascii="Consolas" w:hAnsi="Consolas"/>
          <w:sz w:val="18"/>
        </w:rPr>
        <w:t xml:space="preserve">        Design Science Research Methodology Execution Workflow</w:t>
      </w:r>
      <w:r>
        <w:br/>
      </w:r>
      <w:r>
        <w:rPr>
          <w:rFonts w:ascii="Consolas" w:hAnsi="Consolas"/>
          <w:sz w:val="18"/>
        </w:rPr>
        <w:t xml:space="preserve"> </w:t>
      </w:r>
      <w:r>
        <w:br/>
      </w:r>
      <w:r>
        <w:rPr>
          <w:rFonts w:ascii="Consolas" w:hAnsi="Consolas"/>
          <w:sz w:val="18"/>
        </w:rPr>
        <w:t xml:space="preserve">  1. Problem      2. Objectives    3. Literature &amp;    4. Design &amp;</w:t>
      </w:r>
      <w:r>
        <w:br/>
      </w:r>
      <w:r>
        <w:rPr>
          <w:rFonts w:ascii="Consolas" w:hAnsi="Consolas"/>
          <w:sz w:val="18"/>
        </w:rPr>
        <w:t xml:space="preserve">  Identification  Definition       Dataset Review      Development</w:t>
      </w:r>
      <w:r>
        <w:br/>
      </w:r>
      <w:r>
        <w:rPr>
          <w:rFonts w:ascii="Consolas" w:hAnsi="Consolas"/>
          <w:sz w:val="18"/>
        </w:rPr>
        <w:t xml:space="preserve">       |               |                 |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+--------------------------------------------------- 6. Evaluation &amp;</w:t>
      </w:r>
      <w:r>
        <w:br/>
      </w:r>
      <w:r>
        <w:rPr>
          <w:rFonts w:ascii="Consolas" w:hAnsi="Consolas"/>
          <w:sz w:val="18"/>
        </w:rPr>
        <w:t xml:space="preserve">       |                                                     Communication</w:t>
      </w:r>
      <w:r>
        <w:br/>
      </w:r>
      <w:r>
        <w:rPr>
          <w:rFonts w:ascii="Consolas" w:hAnsi="Consolas"/>
          <w:sz w:val="18"/>
        </w:rPr>
        <w:t xml:space="preserve">       |     5. Demonstration &amp; Testing  &lt;-------------------+</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Iterative feedback: calibration/selective-prediction gap found during</w:t>
      </w:r>
      <w:r>
        <w:br/>
      </w:r>
      <w:r>
        <w:rPr>
          <w:rFonts w:ascii="Consolas" w:hAnsi="Consolas"/>
          <w:sz w:val="18"/>
        </w:rPr>
        <w:t xml:space="preserve">   evaluation sent the project back to stage 4 before evaluation was trusted.</w:t>
      </w:r>
    </w:p>
    <w:p>
      <w:r>
        <w:rPr>
          <w:i/>
        </w:rPr>
        <w:t>Figure 4. Research methodology execution workflow, with the feedback path actually exercised during this project highlighted.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Execution Activity</w:t>
            </w:r>
          </w:p>
        </w:tc>
        <w:tc>
          <w:tcPr>
            <w:tcW w:type="dxa" w:w="2880"/>
          </w:tcPr>
          <w:p>
            <w:r>
              <w:rPr>
                <w:b/>
              </w:rPr>
              <w:t>Research Output</w:t>
            </w:r>
          </w:p>
        </w:tc>
      </w:tr>
      <w:tr>
        <w:tc>
          <w:tcPr>
            <w:tcW w:type="dxa" w:w="2880"/>
          </w:tcPr>
          <w:p>
            <w:r>
              <w:t>Problem Identification</w:t>
            </w:r>
          </w:p>
        </w:tc>
        <w:tc>
          <w:tcPr>
            <w:tcW w:type="dxa" w:w="2880"/>
          </w:tcPr>
          <w:p>
            <w:r>
              <w:t>Reviewed the practical inquiry-handling problem, the interim proposal, and supervisor feedback.</w:t>
            </w:r>
          </w:p>
        </w:tc>
        <w:tc>
          <w:tcPr>
            <w:tcW w:type="dxa" w:w="2880"/>
          </w:tcPr>
          <w:p>
            <w:r>
              <w:t>Defined problem background, problem statement, and research question (Chapter 01).</w:t>
            </w:r>
          </w:p>
        </w:tc>
      </w:tr>
      <w:tr>
        <w:tc>
          <w:tcPr>
            <w:tcW w:type="dxa" w:w="2880"/>
          </w:tcPr>
          <w:p>
            <w:r>
              <w:t>Relevance Justification</w:t>
            </w:r>
          </w:p>
        </w:tc>
        <w:tc>
          <w:tcPr>
            <w:tcW w:type="dxa" w:w="2880"/>
          </w:tcPr>
          <w:p>
            <w:r>
              <w:t>Applied recent literature and higher-education workflow analysis.</w:t>
            </w:r>
          </w:p>
        </w:tc>
        <w:tc>
          <w:tcPr>
            <w:tcW w:type="dxa" w:w="2880"/>
          </w:tcPr>
          <w:p>
            <w:r>
              <w:t>Justified need for AI-assisted, calibration-aware inquiry triage.</w:t>
            </w:r>
          </w:p>
        </w:tc>
      </w:tr>
      <w:tr>
        <w:tc>
          <w:tcPr>
            <w:tcW w:type="dxa" w:w="2880"/>
          </w:tcPr>
          <w:p>
            <w:r>
              <w:t>Comparative Analysis and Gap Justification</w:t>
            </w:r>
          </w:p>
        </w:tc>
        <w:tc>
          <w:tcPr>
            <w:tcW w:type="dxa" w:w="2880"/>
          </w:tcPr>
          <w:p>
            <w:r>
              <w:t>Compared chatbots, ticket classifiers, transformer models, and calibration/OOD/explainability literature.</w:t>
            </w:r>
          </w:p>
        </w:tc>
        <w:tc>
          <w:tcPr>
            <w:tcW w:type="dxa" w:w="2880"/>
          </w:tcPr>
          <w:p>
            <w:r>
              <w:t>Research gap: lack of a university-specific, calibration-aware, auditable urgency-prioritization artifact (Chapter 02).</w:t>
            </w:r>
          </w:p>
        </w:tc>
      </w:tr>
      <w:tr>
        <w:tc>
          <w:tcPr>
            <w:tcW w:type="dxa" w:w="2880"/>
          </w:tcPr>
          <w:p>
            <w:r>
              <w:t>Define and Finalize Objectives</w:t>
            </w:r>
          </w:p>
        </w:tc>
        <w:tc>
          <w:tcPr>
            <w:tcW w:type="dxa" w:w="2880"/>
          </w:tcPr>
          <w:p>
            <w:r>
              <w:t>Converted the problem into research-specific objectives.</w:t>
            </w:r>
          </w:p>
        </w:tc>
        <w:tc>
          <w:tcPr>
            <w:tcW w:type="dxa" w:w="2880"/>
          </w:tcPr>
          <w:p>
            <w:r>
              <w:t>Four objectives covering identification, analysis, design/development, and evaluation (Chapter 01).</w:t>
            </w:r>
          </w:p>
        </w:tc>
      </w:tr>
      <w:tr>
        <w:tc>
          <w:tcPr>
            <w:tcW w:type="dxa" w:w="2880"/>
          </w:tcPr>
          <w:p>
            <w:r>
              <w:t>Design / Development / Data Management</w:t>
            </w:r>
          </w:p>
        </w:tc>
        <w:tc>
          <w:tcPr>
            <w:tcW w:type="dxa" w:w="2880"/>
          </w:tcPr>
          <w:p>
            <w:r>
              <w:t>Constructed the labelled corpus, trained baseline and transformer models, added calibration/selective-prediction/OOD, built the FastAPI/PostgreSQL/React system.</w:t>
            </w:r>
          </w:p>
        </w:tc>
        <w:tc>
          <w:tcPr>
            <w:tcW w:type="dxa" w:w="2880"/>
          </w:tcPr>
          <w:p>
            <w:r>
              <w:t>Implemented artifact and documented data pipeline (Chapters 04-05).</w:t>
            </w:r>
          </w:p>
        </w:tc>
      </w:tr>
      <w:tr>
        <w:tc>
          <w:tcPr>
            <w:tcW w:type="dxa" w:w="2880"/>
          </w:tcPr>
          <w:p>
            <w:r>
              <w:t>Evaluation and Communication</w:t>
            </w:r>
          </w:p>
        </w:tc>
        <w:tc>
          <w:tcPr>
            <w:tcW w:type="dxa" w:w="2880"/>
          </w:tcPr>
          <w:p>
            <w:r>
              <w:t>Evaluated model, calibration, and selective-prediction metrics; communicated findings.</w:t>
            </w:r>
          </w:p>
        </w:tc>
        <w:tc>
          <w:tcPr>
            <w:tcW w:type="dxa" w:w="2880"/>
          </w:tcPr>
          <w:p>
            <w:r>
              <w:t>Evaluation results, limitations, and recommendations (Chapters 06-07).</w:t>
            </w:r>
          </w:p>
        </w:tc>
      </w:tr>
    </w:tbl>
    <w:p/>
    <w:p>
      <w:pPr>
        <w:pStyle w:val="Heading3"/>
      </w:pPr>
      <w:r>
        <w:t>3.5.1 Problem Identification</w:t>
      </w:r>
    </w:p>
    <w:p>
      <w:r>
        <w:t>The initial problem was identified from the interim research proposal and the practical workflow of university inquiry handling: manual inquiry processing does not automatically separate urgent inquiries from routine ones, delaying time-sensitive matters and increasing administrative burden.</w:t>
      </w:r>
    </w:p>
    <w:p>
      <w:pPr>
        <w:pStyle w:val="Heading3"/>
      </w:pPr>
      <w:r>
        <w:t>3.5.2 Relevance Justification</w:t>
      </w:r>
    </w:p>
    <w:p>
      <w:r>
        <w:t>The relevance of the problem is justified by the growing use of AI support systems in education and the proven value of automated ticket classification in service domains. The research is relevant to MIS because it improves administrative information flow, to Software Engineering because it produces a prototype artifact, and to Data Science because it evaluates predictive models — including their calibration and reliability, not only their accuracy — on labelled text data.</w:t>
      </w:r>
    </w:p>
    <w:p>
      <w:pPr>
        <w:pStyle w:val="Heading3"/>
      </w:pPr>
      <w:r>
        <w:t>3.5.3 Comparative Analysis and Gap Justification</w:t>
      </w:r>
    </w:p>
    <w:p>
      <w:r>
        <w:t>The literature review (Chapter 02) compares AI chatbots, ML-based ticket classifiers, transformer models, and — extending the interim review — confidence-calibration, selective-prediction, and out-of-distribution detection literature. This comparison confirmed that existing approaches are useful but not directly sufficient: none address whether a classifier's own confidence score can be trusted enough to act on without a human check. The research gap was accordingly refined during execution, from "a domain-adapted classification and prioritization artifact" in the interim proposal to "a domain-adapted, calibration-aware, selectively-abstaining artifact with an auditable human-review layer."</w:t>
      </w:r>
    </w:p>
    <w:p>
      <w:pPr>
        <w:pStyle w:val="Heading3"/>
      </w:pPr>
      <w:r>
        <w:t>3.5.4 Define and Finalize Objectives</w:t>
      </w:r>
    </w:p>
    <w:p>
      <w:r>
        <w:t>The interim objectives (identifying categories/datasets, analyzing existing technologies, designing/developing the artifact, and evaluating it) were retained, with the design-and-development and evaluation objectives extended in scope once calibration and selective prediction were identified as necessary, as reflected in the final objectives stated in Chapter 01.</w:t>
      </w:r>
    </w:p>
    <w:p>
      <w:pPr>
        <w:pStyle w:val="Heading3"/>
      </w:pPr>
      <w:r>
        <w:t>3.5.5 Design, Development, Data Management and Handling</w:t>
      </w:r>
    </w:p>
    <w:p>
      <w:r>
        <w:t>Data management began with the dataset construction described in Section 3.4: candidate public sources were reviewed for license, fields, and label quality; text was cleaned while preserving urgency-bearing language; and the unified schema (Query_ID, Student_Query, Urgency_Label, University_Category, Scenario_Family, Primary_Intent) was applied consistently across the combined corpus, with training, validation, and test inquiries kept in separate files so that no inquiry used for model selection or final evaluation was also used for training.</w:t>
      </w:r>
    </w:p>
    <w:p>
      <w:r>
        <w:t>Model development used the shared-or-dual transformer design discussed in Chapter 02, fine-tuned externally on a cloud GPU (Section 1.9.1) and evaluated through a dedicated evaluation pipeline covering baseline comparison, calibration, selective-routing risk-coverage analysis, out-of-distribution detection, and inference cost. That pipeline was first exercised end-to-end on a clearly-marked synthetic smoke-test dataset — generated specifically to have no evidentiary value — to confirm every stage executed correctly and every figure rendered before it was ever pointed at the real, constructed corpus; scores produced on the synthetic set are excluded from Chapter 06 by construction, not merely by convention. The service layer, dashboard, and review workflow were built as described in Chapter 02's design analysis and are detailed in full in Chapters 04 and 05.</w:t>
      </w:r>
    </w:p>
    <w:p>
      <w:pPr>
        <w:pStyle w:val="Heading3"/>
      </w:pPr>
      <w:r>
        <w:t>3.5.6 Evaluation and Communication</w:t>
      </w:r>
    </w:p>
    <w:p>
      <w:r>
        <w:t>Evaluation uses accuracy, precision, recall, macro F1-score, confusion matrices, and class-level analysis, with High-urgency recall treated as a safety-oriented measure, exactly as planned in the interim report. This is extended with Expected Calibration Error, risk-coverage and area-under-risk-coverage analysis for the selective-prediction claim, energy-score AUROC for out-of-distribution detection, and McNemar's exact test with bootstrap confidence intervals for the baseline-versus-transformer comparison — all reported in full against the real constructed corpus in Chapter 06. Communication occurred through the interim report, supervisor discussions, this final thesis, and the review presentation.</w:t>
      </w:r>
    </w:p>
    <w:p>
      <w:pPr>
        <w:pStyle w:val="Heading2"/>
      </w:pPr>
      <w:r>
        <w:t>3.6 Project Management Methodology</w:t>
      </w:r>
    </w:p>
    <w:p>
      <w:r>
        <w:t>A hybrid Scrum-Kanban methodology was selected and followed. Scrum was suitable because the project divided into short research-and-development iterations — literature review, dataset construction, baseline modelling, transformer modelling, calibration/OOD integration, service-layer development, frontend development, and evaluation. Kanban was useful because research tasks changed based on supervisor feedback, dataset construction progress, and evaluation findings; a visual Kanban board tracked tasks under To Do, In Progress, Review, and Completed.</w:t>
      </w:r>
    </w:p>
    <w:p>
      <w:r>
        <w:t>This hybrid approach suited an undergraduate research project because it gave structure without becoming overly heavy. Weekly or bi-weekly goals were aligned with supervisor meetings, while Kanban accommodated the unplanned calibration/OOD work item and the mid-project decision to rebuild the service layer on FastAPI and PostgreSQL rather than extend the original Streamlit/SQLite prototype, both of which a strictly sequential Scrum-only plan would have handled less gracefully.</w:t>
      </w:r>
    </w:p>
    <w:p>
      <w:pPr>
        <w:pStyle w:val="Heading3"/>
      </w:pPr>
      <w:r>
        <w:t>3.6.1 Project Timeline</w:t>
      </w:r>
    </w:p>
    <w:p>
      <w:r>
        <w:t>The timeline below is the schedule set at the interim stage, organized from problem finalization to final submission. It is retained here as the planned schedule against which execution is compared, rather than rewritten with invented dates for every activity.</w:t>
      </w:r>
    </w:p>
    <w:tbl>
      <w:tblPr>
        <w:tblStyle w:val="TableGrid"/>
        <w:tblW w:type="auto" w:w="0"/>
        <w:tblLook w:firstColumn="1" w:firstRow="1" w:lastColumn="0" w:lastRow="0" w:noHBand="0" w:noVBand="1" w:val="04A0"/>
      </w:tblPr>
      <w:tblGrid>
        <w:gridCol w:w="4320"/>
        <w:gridCol w:w="4320"/>
      </w:tblGrid>
      <w:tr>
        <w:tc>
          <w:tcPr>
            <w:tcW w:type="dxa" w:w="4320"/>
          </w:tcPr>
          <w:p>
            <w:r>
              <w:rPr>
                <w:b/>
              </w:rPr>
              <w:t>Period</w:t>
            </w:r>
          </w:p>
        </w:tc>
        <w:tc>
          <w:tcPr>
            <w:tcW w:type="dxa" w:w="4320"/>
          </w:tcPr>
          <w:p>
            <w:r>
              <w:rPr>
                <w:b/>
              </w:rPr>
              <w:t>Planned Activity</w:t>
            </w:r>
          </w:p>
        </w:tc>
      </w:tr>
      <w:tr>
        <w:tc>
          <w:tcPr>
            <w:tcW w:type="dxa" w:w="4320"/>
          </w:tcPr>
          <w:p>
            <w:r>
              <w:t>February - March 2026</w:t>
            </w:r>
          </w:p>
        </w:tc>
        <w:tc>
          <w:tcPr>
            <w:tcW w:type="dxa" w:w="4320"/>
          </w:tcPr>
          <w:p>
            <w:r>
              <w:t>Proposal refinement, problem background, research question, objectives, and initial supervisor review.</w:t>
            </w:r>
          </w:p>
        </w:tc>
      </w:tr>
      <w:tr>
        <w:tc>
          <w:tcPr>
            <w:tcW w:type="dxa" w:w="4320"/>
          </w:tcPr>
          <w:p>
            <w:r>
              <w:t>March - May 2026</w:t>
            </w:r>
          </w:p>
        </w:tc>
        <w:tc>
          <w:tcPr>
            <w:tcW w:type="dxa" w:w="4320"/>
          </w:tcPr>
          <w:p>
            <w:r>
              <w:t>Literature review, dataset search, dataset suitability analysis, and research gap finalization.</w:t>
            </w:r>
          </w:p>
        </w:tc>
      </w:tr>
      <w:tr>
        <w:tc>
          <w:tcPr>
            <w:tcW w:type="dxa" w:w="4320"/>
          </w:tcPr>
          <w:p>
            <w:r>
              <w:t>May - June 2026</w:t>
            </w:r>
          </w:p>
        </w:tc>
        <w:tc>
          <w:tcPr>
            <w:tcW w:type="dxa" w:w="4320"/>
          </w:tcPr>
          <w:p>
            <w:r>
              <w:t>Dataset mapping, cleaning, annotation guide, baseline model design, and interim report completion.</w:t>
            </w:r>
          </w:p>
        </w:tc>
      </w:tr>
      <w:tr>
        <w:tc>
          <w:tcPr>
            <w:tcW w:type="dxa" w:w="4320"/>
          </w:tcPr>
          <w:p>
            <w:r>
              <w:t>June - July 2026</w:t>
            </w:r>
          </w:p>
        </w:tc>
        <w:tc>
          <w:tcPr>
            <w:tcW w:type="dxa" w:w="4320"/>
          </w:tcPr>
          <w:p>
            <w:r>
              <w:t>Baseline model implementation, transformer fine-tuning, and prototype design.</w:t>
            </w:r>
          </w:p>
        </w:tc>
      </w:tr>
      <w:tr>
        <w:tc>
          <w:tcPr>
            <w:tcW w:type="dxa" w:w="4320"/>
          </w:tcPr>
          <w:p>
            <w:r>
              <w:t>July - August 2026</w:t>
            </w:r>
          </w:p>
        </w:tc>
        <w:tc>
          <w:tcPr>
            <w:tcW w:type="dxa" w:w="4320"/>
          </w:tcPr>
          <w:p>
            <w:r>
              <w:t>Evaluation, error analysis, comparison, dashboard improvement, and draft thesis writing.</w:t>
            </w:r>
          </w:p>
        </w:tc>
      </w:tr>
      <w:tr>
        <w:tc>
          <w:tcPr>
            <w:tcW w:type="dxa" w:w="4320"/>
          </w:tcPr>
          <w:p>
            <w:r>
              <w:t>August - September 2026</w:t>
            </w:r>
          </w:p>
        </w:tc>
        <w:tc>
          <w:tcPr>
            <w:tcW w:type="dxa" w:w="4320"/>
          </w:tcPr>
          <w:p>
            <w:r>
              <w:t>Final thesis refinement, formatting, supervisor feedback incorporation, viva preparation, and final submission.</w:t>
            </w:r>
          </w:p>
        </w:tc>
      </w:tr>
    </w:tbl>
    <w:p/>
    <w:p>
      <w:r>
        <w:t>Execution broadly followed this schedule, with two deviations driven by the DSRM feedback loop described in Section 3.3. First, evaluating the fine-tuned transformer's confidence scores during the July-August evaluation window showed they were miscalibrated and unsafe to route on directly, which inserted an unplanned calibration, selective-prediction, and out-of-distribution-detection work item between model development and final evaluation rather than treating evaluation as a single terminal step. Second, the service architecture originally planned around the interim prototype's Streamlit interface and SQLite storage was rebuilt on FastAPI, PostgreSQL, and a React dashboard once department-scoped access control, optimistic concurrency, and an auditable review log were identified as requirements a single-process prototype could not satisfy; this ran in parallel with, rather than after, model refinement. Voice/ASR integration, originally scheduled inside the June-July window, was descoped for the reasons given in Chapter 01 and carried forward to Chapter 07's future-work recommendations instead of being executed.</w:t>
      </w:r>
    </w:p>
    <w:p>
      <w:pPr>
        <w:pStyle w:val="Heading3"/>
      </w:pPr>
      <w:r>
        <w:t>3.6.2 Ethical Considerations</w:t>
      </w:r>
    </w:p>
    <w:p>
      <w:r>
        <w:t>Ethical considerations remain relevant because university inquiries — real ones — may contain personal information, academic status, financial information, and sensitive student circumstances, even though the following principles describe how this specific project's data sources kept that risk low rather than how a production deployment would need to manage real institutional data:</w:t>
      </w:r>
    </w:p>
    <w:p>
      <w:pPr>
        <w:pStyle w:val="ListBullet"/>
      </w:pPr>
      <w:r>
        <w:t>No real student inquiry records were used to train or evaluate the models. The constructed corpus (Section 3.4) combines relabelled public secondary data with author-constructed scenario-based inquiries; no row in it originates from a real student's actual submission, so no anonymization step was exercised against genuine personal data during model development.</w:t>
      </w:r>
    </w:p>
    <w:p>
      <w:pPr>
        <w:pStyle w:val="ListBullet"/>
      </w:pPr>
      <w:r>
        <w:t>The web-form and email-intake channels used during development were exercised with the researcher's own test submissions and, during one verification round, inadvertently ingested automated account-security notification emails from an email provider — not real third-party student inquiries. That incident is what motivated the automated-sender filtering described in Chapters 01 and 05; it did not expose any student's personal data, since no student had used the system at that point.</w:t>
      </w:r>
    </w:p>
    <w:p>
      <w:pPr>
        <w:pStyle w:val="ListBullet"/>
      </w:pPr>
      <w:r>
        <w:t>The system does not make final decisions about student requests, eligibility, penalties, or policy interpretation; it assists administrative staff, who remain responsible for every review outcome.</w:t>
      </w:r>
    </w:p>
    <w:p>
      <w:pPr>
        <w:pStyle w:val="ListBullet"/>
      </w:pPr>
      <w:r>
        <w:t>Dataset sources, construction method, labelling criteria, and limitations are documented transparently in Section 3.4 and Chapter 09 (Appendices) rather than asserted without evidence.</w:t>
      </w:r>
    </w:p>
    <w:p>
      <w:pPr>
        <w:pStyle w:val="ListBullet"/>
      </w:pPr>
      <w:r>
        <w:t>Potential model bias remains a live concern precisely because part of the corpus is author-constructed: scenario templates reflect the researcher's own assumptions about how students phrase requests, and this is reported as a limitation in Chapter 07 rather than treated as resolved.</w:t>
      </w:r>
    </w:p>
    <w:p>
      <w:pPr>
        <w:pStyle w:val="ListBullet"/>
      </w:pPr>
      <w:r>
        <w:t>Should genuine, anonymized institutional inquiry data become available for future work (Chapter 07), the principles set out in the interim report continue to apply unchanged: no personally identifiable information without ethical approval, and identifiers removed or replaced with neutral placeholders before any such data is used.</w:t>
      </w:r>
    </w:p>
    <w:p>
      <w:pPr>
        <w:pStyle w:val="ListBullet"/>
      </w:pPr>
      <w:r>
        <w:t>Model outputs are presented to staff as recommendations with confidence scores, not as ground truth, consistent with the calibrated, selectively-abstaining design described in Chapter 02.</w:t>
      </w:r>
    </w:p>
    <w:p>
      <w:pPr>
        <w:pStyle w:val="Heading2"/>
      </w:pPr>
      <w:r>
        <w:t>3.7 Chapter Summary</w:t>
      </w:r>
    </w:p>
    <w:p>
      <w:r>
        <w:t>This chapter described the methodology actually followed for this research, building on the pragmatic, Design-Science-Research strategy set out in the interim report. The methodology included literature review, dataset construction combining public secondary sources with author-generated inquiries, model development, prototype design, evaluation, and communication, executed through a hybrid Scrum-Kanban project management approach. Two points depart materially from the interim plan and are reported honestly here rather than smoothed over: the DSRM evaluation stage fed back into design and development once because the first fine-tuned classifier's confidence scores proved unusable without calibration, and the service architecture was rebuilt around FastAPI, PostgreSQL, and React once auditability and access-control requirements outgrew the original prototype. Ethical considerations were kept low-risk in practice by not training or testing on real student data, while the principles that would govern real institutional data remain documented for any future work that uses it. The next chapter specifies the system's functional and non-functional requirements as implemented.</w:t>
      </w:r>
    </w:p>
    <w:p>
      <w:r>
        <w:br w:type="page"/>
      </w:r>
    </w:p>
    <w:p>
      <w:pPr>
        <w:pStyle w:val="Heading1"/>
      </w:pPr>
      <w:r>
        <w:t>Chapter 04 — System Requirement Specification</w:t>
      </w:r>
    </w:p>
    <w:p>
      <w:pPr>
        <w:pStyle w:val="Heading2"/>
      </w:pPr>
      <w:r>
        <w:t>4.1 Chapter Overview</w:t>
      </w:r>
    </w:p>
    <w:p>
      <w:r>
        <w:t>This chapter specifies the functional and non-functional requirements of the implemented system as they were actually built, rather than as originally proposed. It identifies the system's stakeholders, describes how requirements were derived and validated, and presents the system through a use-case diagram with detailed specifications for its three most consequential use cases, a class diagram of the persisted domain model, an activity diagram of the inquiry lifecycle, three sequence diagrams covering the auto-route, human-review, and automated-intake paths, a state chart of a ticket's queue status, and the system architecture diagram. It closes with the functional and non-functional requirements the implemented system satisfies, each traceable to a concrete module or database constraint rather than stated in the abstract.</w:t>
      </w:r>
    </w:p>
    <w:p>
      <w:pPr>
        <w:pStyle w:val="Heading2"/>
      </w:pPr>
      <w:r>
        <w:t>4.2 Stakeholder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Role in the System</w:t>
            </w:r>
          </w:p>
        </w:tc>
        <w:tc>
          <w:tcPr>
            <w:tcW w:type="dxa" w:w="2880"/>
          </w:tcPr>
          <w:p>
            <w:r>
              <w:rPr>
                <w:b/>
              </w:rPr>
              <w:t>Primary Concerns</w:t>
            </w:r>
          </w:p>
        </w:tc>
      </w:tr>
      <w:tr>
        <w:tc>
          <w:tcPr>
            <w:tcW w:type="dxa" w:w="2880"/>
          </w:tcPr>
          <w:p>
            <w:r>
              <w:t>Administrator</w:t>
            </w:r>
          </w:p>
        </w:tc>
        <w:tc>
          <w:tcPr>
            <w:tcW w:type="dxa" w:w="2880"/>
          </w:tcPr>
          <w:p>
            <w:r>
              <w:t>Full visibility across all departments; the only role permitted to submit a new inquiry through the web form, promote a model version, or activate a routing policy.</w:t>
            </w:r>
          </w:p>
        </w:tc>
        <w:tc>
          <w:tcPr>
            <w:tcW w:type="dxa" w:w="2880"/>
          </w:tcPr>
          <w:p>
            <w:r>
              <w:t>Correct routing across the whole institution, model governance, and system-wide oversight.</w:t>
            </w:r>
          </w:p>
        </w:tc>
      </w:tr>
      <w:tr>
        <w:tc>
          <w:tcPr>
            <w:tcW w:type="dxa" w:w="2880"/>
          </w:tcPr>
          <w:p>
            <w:r>
              <w:t>Department Officer</w:t>
            </w:r>
          </w:p>
        </w:tc>
        <w:tc>
          <w:tcPr>
            <w:tcW w:type="dxa" w:w="2880"/>
          </w:tcPr>
          <w:p>
            <w:r>
              <w:t>Scoped to their own department plus the shared Triage queue; reviews, accepts, corrects, and resolves inquiries.</w:t>
            </w:r>
          </w:p>
        </w:tc>
        <w:tc>
          <w:tcPr>
            <w:tcW w:type="dxa" w:w="2880"/>
          </w:tcPr>
          <w:p>
            <w:r>
              <w:t>A trustworthy, priority-ordered queue; confidence that a correction is recorded and acted on.</w:t>
            </w:r>
          </w:p>
        </w:tc>
      </w:tr>
      <w:tr>
        <w:tc>
          <w:tcPr>
            <w:tcW w:type="dxa" w:w="2880"/>
          </w:tcPr>
          <w:p>
            <w:r>
              <w:t>Viewer</w:t>
            </w:r>
          </w:p>
        </w:tc>
        <w:tc>
          <w:tcPr>
            <w:tcW w:type="dxa" w:w="2880"/>
          </w:tcPr>
          <w:p>
            <w:r>
              <w:t>A read-only role supported by the access-control model (`Role.VIEWER`) for stakeholders who need visibility without the ability to act (e.g. an auditor or a supervisor reviewing activity).</w:t>
            </w:r>
          </w:p>
        </w:tc>
        <w:tc>
          <w:tcPr>
            <w:tcW w:type="dxa" w:w="2880"/>
          </w:tcPr>
          <w:p>
            <w:r>
              <w:t>Read access to inquiries and analytics without write access.</w:t>
            </w:r>
          </w:p>
        </w:tc>
      </w:tr>
      <w:tr>
        <w:tc>
          <w:tcPr>
            <w:tcW w:type="dxa" w:w="2880"/>
          </w:tcPr>
          <w:p>
            <w:r>
              <w:t>Student / Applicant</w:t>
            </w:r>
          </w:p>
        </w:tc>
        <w:tc>
          <w:tcPr>
            <w:tcW w:type="dxa" w:w="2880"/>
          </w:tcPr>
          <w:p>
            <w:r>
              <w:t>Submits an inquiry indirectly, either by a channel an administrator relays into the web form or, more directly, by sending an email to the monitored mailbox. Never authenticates against the system.</w:t>
            </w:r>
          </w:p>
        </w:tc>
        <w:tc>
          <w:tcPr>
            <w:tcW w:type="dxa" w:w="2880"/>
          </w:tcPr>
          <w:p>
            <w:r>
              <w:t>A timely, correctly prioritized response, without needing to know the system exists.</w:t>
            </w:r>
          </w:p>
        </w:tc>
      </w:tr>
      <w:tr>
        <w:tc>
          <w:tcPr>
            <w:tcW w:type="dxa" w:w="2880"/>
          </w:tcPr>
          <w:p>
            <w:r>
              <w:t>Scheduler (system actor)</w:t>
            </w:r>
          </w:p>
        </w:tc>
        <w:tc>
          <w:tcPr>
            <w:tcW w:type="dxa" w:w="2880"/>
          </w:tcPr>
          <w:p>
            <w:r>
              <w:t>Runs the SLA-sweep, outbox-drain, email-intake, and retention jobs in-process on a fixed interval. Acts as `SYSTEM`, a synthetic Principal with admin rights and no human `actor_id`, so automated actions are distinguishable from human ones in the audit trail.</w:t>
            </w:r>
          </w:p>
        </w:tc>
        <w:tc>
          <w:tcPr>
            <w:tcW w:type="dxa" w:w="2880"/>
          </w:tcPr>
          <w:p>
            <w:r>
              <w:t>Timely escalation, reliable email ingestion, and safe unattended operation without duplicating work across API workers.</w:t>
            </w:r>
          </w:p>
        </w:tc>
      </w:tr>
      <w:tr>
        <w:tc>
          <w:tcPr>
            <w:tcW w:type="dxa" w:w="2880"/>
          </w:tcPr>
          <w:p>
            <w:r>
              <w:t>Supervisor / Evaluator</w:t>
            </w:r>
          </w:p>
        </w:tc>
        <w:tc>
          <w:tcPr>
            <w:tcW w:type="dxa" w:w="2880"/>
          </w:tcPr>
          <w:p>
            <w:r>
              <w:t>External to the running system; consumes the dashboard, the audit trail, and the evaluation report (Chapter 06) to assess the artifact.</w:t>
            </w:r>
          </w:p>
        </w:tc>
        <w:tc>
          <w:tcPr>
            <w:tcW w:type="dxa" w:w="2880"/>
          </w:tcPr>
          <w:p>
            <w:r>
              <w:t>Evidence that classification, calibration, and human oversight work as claimed.</w:t>
            </w:r>
          </w:p>
        </w:tc>
      </w:tr>
    </w:tbl>
    <w:p/>
    <w:p>
      <w:pPr>
        <w:pStyle w:val="Heading2"/>
      </w:pPr>
      <w:r>
        <w:t>4.3 Operationalization Process</w:t>
      </w:r>
    </w:p>
    <w:p>
      <w:r>
        <w:t>Because this is a Design Science Research artifact rather than a survey-based study, requirements were not gathered through a questionnaire; they were operationalized from three concrete sources, each mapped to a research objective from Chapter 01:</w:t>
      </w:r>
    </w:p>
    <w:p>
      <w:pPr>
        <w:pStyle w:val="ListNumber"/>
      </w:pPr>
      <w:r>
        <w:rPr>
          <w:b/>
        </w:rPr>
        <w:t>Literature-derived requirements</w:t>
      </w:r>
      <w:r>
        <w:t xml:space="preserve"> (Chapter 02): the requirement that the system calibrate its confidence, support selective abstention, and detect out-of-distribution inquiries traces directly to the research gap identified in Section 2.6, and satisfies Objective 3 ("to design and develop a system that ... calibrates the resulting confidence scores, and abstains ... when confidence or out-of-distribution evidence indicates the prediction should not be trusted").</w:t>
      </w:r>
    </w:p>
    <w:p>
      <w:pPr>
        <w:pStyle w:val="ListNumber"/>
      </w:pPr>
      <w:r>
        <w:rPr>
          <w:b/>
        </w:rPr>
        <w:t>Stakeholder role definitions carried forward from supervisor review</w:t>
      </w:r>
      <w:r>
        <w:t>: the department-scoping and admin/officer distinction were established during the interim-report stage and validated again once implemented, by confirming that an officer account genuinely cannot read or act on another department's inquiry (Section 4.6, NFR-2).</w:t>
      </w:r>
    </w:p>
    <w:p>
      <w:pPr>
        <w:pStyle w:val="ListNumber"/>
      </w:pPr>
      <w:r>
        <w:rPr>
          <w:b/>
        </w:rPr>
        <w:t>Requirements discovered during implementation</w:t>
      </w:r>
      <w:r>
        <w:t>: several requirements were not anticipated at the interim stage and were added once a concrete risk became visible while building the system rather than being planned upfront. The automated-sender filter (Section 4.6, FR-11) was added only after a live verification round ingested automated account-security notification emails as if they were student inquiries (Chapter 03, Section 3.6.2). The optimistic-concurrency requirement (Section 4.6, NFR-5) was added once it became clear that two officers acting on the same Triage ticket at the same time was a realistic race condition a single-process prototype would not have surfaced. Both are reported here as requirements the system satisfies, with the incident or reasoning that produced them made explicit rather than presented as if they had been anticipated from the outset.</w:t>
      </w:r>
    </w:p>
    <w:p>
      <w:r>
        <w:t>Requirements were validated by exercising the running system directly — issuing real HTTP requests against the API, inspecting the resulting database rows, and confirming role-scoping and concurrency behaviour under deliberately constructed conflicting scenarios — rather than by inspection of the code alone. The formal test suite that encodes these checks is presented in Chapter 06.</w:t>
      </w:r>
    </w:p>
    <w:p>
      <w:pPr>
        <w:pStyle w:val="Heading2"/>
      </w:pPr>
      <w:r>
        <w:t>4.4 System/Model Analysis</w:t>
      </w:r>
    </w:p>
    <w:p>
      <w:pPr>
        <w:pStyle w:val="Heading3"/>
      </w:pPr>
      <w:r>
        <w:t>4.4.1 Use Case Diagram with Specifications</w:t>
      </w:r>
    </w:p>
    <w:p>
      <w:pPr>
        <w:spacing w:after="0"/>
      </w:pPr>
      <w:r>
        <w:rPr>
          <w:rFonts w:ascii="Consolas" w:hAnsi="Consolas"/>
          <w:sz w:val="18"/>
        </w:rPr>
        <w:t xml:space="preserve">                          UniFlow Use Case Diagram</w:t>
      </w:r>
      <w:r>
        <w:br/>
      </w:r>
      <w:r>
        <w:rPr>
          <w:rFonts w:ascii="Consolas" w:hAnsi="Consolas"/>
          <w:sz w:val="18"/>
        </w:rPr>
        <w:t xml:space="preserve"> </w:t>
      </w:r>
      <w:r>
        <w:br/>
      </w:r>
      <w:r>
        <w:rPr>
          <w:rFonts w:ascii="Consolas" w:hAnsi="Consolas"/>
          <w:sz w:val="18"/>
        </w:rPr>
        <w:t xml:space="preserve">  Student/Applicant --(email)--&gt; [Automated Email Intake] &lt;---- Scheduler</w:t>
      </w:r>
      <w:r>
        <w:br/>
      </w:r>
      <w:r>
        <w:rPr>
          <w:rFonts w:ascii="Consolas" w:hAnsi="Consolas"/>
          <w:sz w:val="18"/>
        </w:rPr>
        <w:t xml:space="preserve">                                          |</w:t>
      </w:r>
      <w:r>
        <w:br/>
      </w:r>
      <w:r>
        <w:rPr>
          <w:rFonts w:ascii="Consolas" w:hAnsi="Consolas"/>
          <w:sz w:val="18"/>
        </w:rPr>
        <w:t xml:space="preserve">  Administrator ----&gt; [Submit Inquiry (web form)]</w:t>
      </w:r>
      <w:r>
        <w:br/>
      </w:r>
      <w:r>
        <w:rPr>
          <w:rFonts w:ascii="Consolas" w:hAnsi="Consolas"/>
          <w:sz w:val="18"/>
        </w:rPr>
        <w:t xml:space="preserve">       |</w:t>
      </w:r>
      <w:r>
        <w:br/>
      </w:r>
      <w:r>
        <w:rPr>
          <w:rFonts w:ascii="Consolas" w:hAnsi="Consolas"/>
          <w:sz w:val="18"/>
        </w:rPr>
        <w:t xml:space="preserve">       +--------------&gt; [Promote Model Version]</w:t>
      </w:r>
      <w:r>
        <w:br/>
      </w:r>
      <w:r>
        <w:rPr>
          <w:rFonts w:ascii="Consolas" w:hAnsi="Consolas"/>
          <w:sz w:val="18"/>
        </w:rPr>
        <w:t xml:space="preserve">       +--------------&gt; [Activate Routing Policy]</w:t>
      </w:r>
      <w:r>
        <w:br/>
      </w:r>
      <w:r>
        <w:rPr>
          <w:rFonts w:ascii="Consolas" w:hAnsi="Consolas"/>
          <w:sz w:val="18"/>
        </w:rPr>
        <w:t xml:space="preserve">       |</w:t>
      </w:r>
      <w:r>
        <w:br/>
      </w:r>
      <w:r>
        <w:rPr>
          <w:rFonts w:ascii="Consolas" w:hAnsi="Consolas"/>
          <w:sz w:val="18"/>
        </w:rPr>
        <w:t xml:space="preserve">       +--------------&gt; [View All Department Queues]</w:t>
      </w:r>
      <w:r>
        <w:br/>
      </w:r>
      <w:r>
        <w:rPr>
          <w:rFonts w:ascii="Consolas" w:hAnsi="Consolas"/>
          <w:sz w:val="18"/>
        </w:rPr>
        <w:t xml:space="preserve">       |</w:t>
      </w:r>
      <w:r>
        <w:br/>
      </w:r>
      <w:r>
        <w:rPr>
          <w:rFonts w:ascii="Consolas" w:hAnsi="Consolas"/>
          <w:sz w:val="18"/>
        </w:rPr>
        <w:t xml:space="preserve">  Department Officer -&gt; [View Own Department Queue]</w:t>
      </w:r>
      <w:r>
        <w:br/>
      </w:r>
      <w:r>
        <w:rPr>
          <w:rFonts w:ascii="Consolas" w:hAnsi="Consolas"/>
          <w:sz w:val="18"/>
        </w:rPr>
        <w:t xml:space="preserve">       |          \----&gt; [View Triage Queue]</w:t>
      </w:r>
      <w:r>
        <w:br/>
      </w:r>
      <w:r>
        <w:rPr>
          <w:rFonts w:ascii="Consolas" w:hAnsi="Consolas"/>
          <w:sz w:val="18"/>
        </w:rPr>
        <w:t xml:space="preserve">       |          \----&gt; [Review Prediction (Accept/Correct)]</w:t>
      </w:r>
      <w:r>
        <w:br/>
      </w:r>
      <w:r>
        <w:rPr>
          <w:rFonts w:ascii="Consolas" w:hAnsi="Consolas"/>
          <w:sz w:val="18"/>
        </w:rPr>
        <w:t xml:space="preserve">       |          \----&gt; [Route Triage Inquiry to Department]</w:t>
      </w:r>
      <w:r>
        <w:br/>
      </w:r>
      <w:r>
        <w:rPr>
          <w:rFonts w:ascii="Consolas" w:hAnsi="Consolas"/>
          <w:sz w:val="18"/>
        </w:rPr>
        <w:t xml:space="preserve">       |          \----&gt; [Update Ticket Status / Assignee]</w:t>
      </w:r>
      <w:r>
        <w:br/>
      </w:r>
      <w:r>
        <w:rPr>
          <w:rFonts w:ascii="Consolas" w:hAnsi="Consolas"/>
          <w:sz w:val="18"/>
        </w:rPr>
        <w:t xml:space="preserve">       |          \----&gt; [View Explanation (Integrated Gradients)]</w:t>
      </w:r>
      <w:r>
        <w:br/>
      </w:r>
      <w:r>
        <w:rPr>
          <w:rFonts w:ascii="Consolas" w:hAnsi="Consolas"/>
          <w:sz w:val="18"/>
        </w:rPr>
        <w:t xml:space="preserve">       |          \----&gt; [View Analytics]</w:t>
      </w:r>
      <w:r>
        <w:br/>
      </w:r>
      <w:r>
        <w:rPr>
          <w:rFonts w:ascii="Consolas" w:hAnsi="Consolas"/>
          <w:sz w:val="18"/>
        </w:rPr>
        <w:t xml:space="preserve">       |</w:t>
      </w:r>
      <w:r>
        <w:br/>
      </w:r>
      <w:r>
        <w:rPr>
          <w:rFonts w:ascii="Consolas" w:hAnsi="Consolas"/>
          <w:sz w:val="18"/>
        </w:rPr>
        <w:t xml:space="preserve">  Viewer ------------&gt; [View Queue (read-only)]</w:t>
      </w:r>
      <w:r>
        <w:br/>
      </w:r>
      <w:r>
        <w:rPr>
          <w:rFonts w:ascii="Consolas" w:hAnsi="Consolas"/>
          <w:sz w:val="18"/>
        </w:rPr>
        <w:t xml:space="preserve">       |          \----&gt; [View Analytics (read-only)]</w:t>
      </w:r>
      <w:r>
        <w:br/>
      </w:r>
      <w:r>
        <w:rPr>
          <w:rFonts w:ascii="Consolas" w:hAnsi="Consolas"/>
          <w:sz w:val="18"/>
        </w:rPr>
        <w:t xml:space="preserve"> </w:t>
      </w:r>
      <w:r>
        <w:br/>
      </w:r>
      <w:r>
        <w:rPr>
          <w:rFonts w:ascii="Consolas" w:hAnsi="Consolas"/>
          <w:sz w:val="18"/>
        </w:rPr>
        <w:t xml:space="preserve">  (all human actors) -&gt; [Login] -&gt; [Refresh Session] -&gt; [Logout]</w:t>
      </w:r>
      <w:r>
        <w:br/>
      </w:r>
      <w:r>
        <w:rPr>
          <w:rFonts w:ascii="Consolas" w:hAnsi="Consolas"/>
          <w:sz w:val="18"/>
        </w:rPr>
        <w:t xml:space="preserve"> </w:t>
      </w:r>
      <w:r>
        <w:br/>
      </w:r>
      <w:r>
        <w:rPr>
          <w:rFonts w:ascii="Consolas" w:hAnsi="Consolas"/>
          <w:sz w:val="18"/>
        </w:rPr>
        <w:t xml:space="preserve">  Scheduler ----------&gt; [SLA Escalation Sweep]</w:t>
      </w:r>
      <w:r>
        <w:br/>
      </w:r>
      <w:r>
        <w:rPr>
          <w:rFonts w:ascii="Consolas" w:hAnsi="Consolas"/>
          <w:sz w:val="18"/>
        </w:rPr>
        <w:t xml:space="preserve">       |          \----&gt; [Outbox Drain (send acknowledgement)]</w:t>
      </w:r>
      <w:r>
        <w:br/>
      </w:r>
      <w:r>
        <w:rPr>
          <w:rFonts w:ascii="Consolas" w:hAnsi="Consolas"/>
          <w:sz w:val="18"/>
        </w:rPr>
        <w:t xml:space="preserve">       |          \----&gt; [Retention Redaction]</w:t>
      </w:r>
    </w:p>
    <w:p>
      <w:r>
        <w:rPr>
          <w:i/>
        </w:rPr>
        <w:t>Figure 6. Use case diagram. Administrator and Department Officer both inherit every Viewer use case; only the additive and restricted use cases are drawn against each actor to keep the diagram legible.</w:t>
      </w:r>
    </w:p>
    <w:p>
      <w:r>
        <w:rPr>
          <w:b/>
        </w:rPr>
        <w:t>Use Case Specification: Submit Inquiry and Auto-Route or Abstain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Primary Actor</w:t>
            </w:r>
          </w:p>
        </w:tc>
        <w:tc>
          <w:tcPr>
            <w:tcW w:type="dxa" w:w="4320"/>
          </w:tcPr>
          <w:p>
            <w:r>
              <w:t>Administrator (web form) or Scheduler (email intake)</w:t>
            </w:r>
          </w:p>
        </w:tc>
      </w:tr>
      <w:tr>
        <w:tc>
          <w:tcPr>
            <w:tcW w:type="dxa" w:w="4320"/>
          </w:tcPr>
          <w:p>
            <w:r>
              <w:t>Preconditions</w:t>
            </w:r>
          </w:p>
        </w:tc>
        <w:tc>
          <w:tcPr>
            <w:tcW w:type="dxa" w:w="4320"/>
          </w:tcPr>
          <w:p>
            <w:r>
              <w:t>Caller is authenticated as Administrator, or the message arrived via the monitored mailbox; an active `ModelVersion` and `RoutingPolicy` exist.</w:t>
            </w:r>
          </w:p>
        </w:tc>
      </w:tr>
      <w:tr>
        <w:tc>
          <w:tcPr>
            <w:tcW w:type="dxa" w:w="4320"/>
          </w:tcPr>
          <w:p>
            <w:r>
              <w:t>Main Flow</w:t>
            </w:r>
          </w:p>
        </w:tc>
        <w:tc>
          <w:tcPr>
            <w:tcW w:type="dxa" w:w="4320"/>
          </w:tcPr>
          <w:p>
            <w:r>
              <w:t>1. Actor submits inquiry text (and, for email, a `source_ref` Message-ID). 2. System computes an exact-hash and vector-similarity duplicate check. 3. System classifies category and urgency, applies temperature scaling, and compares the calibrated category confidence against τ and the energy score against the out-of-distribution threshold. 4. If both checks pass, the inquiry is routed to the predicted department (`RoutingDecision.AUTO`); the deadline is computed from the department's `SlaPolicy` for the predicted urgency. 5. An `InquiryEvent(CREATED)` is written and the inquiry appears in its destination queue, ordered by priority.</w:t>
            </w:r>
          </w:p>
        </w:tc>
      </w:tr>
      <w:tr>
        <w:tc>
          <w:tcPr>
            <w:tcW w:type="dxa" w:w="4320"/>
          </w:tcPr>
          <w:p>
            <w:r>
              <w:t>Alternate Flow</w:t>
            </w:r>
          </w:p>
        </w:tc>
        <w:tc>
          <w:tcPr>
            <w:tcW w:type="dxa" w:w="4320"/>
          </w:tcPr>
          <w:p>
            <w:r>
              <w:t>If the confidence check or the out-of-distribution check fails, the inquiry is instead assigned `RoutingDecision.TRIAGE` or `OUT_OF_SCOPE` and placed in the shared Triage department.</w:t>
            </w:r>
          </w:p>
        </w:tc>
      </w:tr>
      <w:tr>
        <w:tc>
          <w:tcPr>
            <w:tcW w:type="dxa" w:w="4320"/>
          </w:tcPr>
          <w:p>
            <w:r>
              <w:t>Postconditions</w:t>
            </w:r>
          </w:p>
        </w:tc>
        <w:tc>
          <w:tcPr>
            <w:tcW w:type="dxa" w:w="4320"/>
          </w:tcPr>
          <w:p>
            <w:r>
              <w:t>Exactly one `Inquiry` row, one append-only `Prediction` row, and one `InquiryEvent(CREATED)` row exist; the inquiry is visible in the correct queue to every principal authorized to see that department.</w:t>
            </w:r>
          </w:p>
        </w:tc>
      </w:tr>
    </w:tbl>
    <w:p/>
    <w:p>
      <w:r>
        <w:rPr>
          <w:b/>
        </w:rPr>
        <w:t>Use Case Specification: Review Prediction (Accept/Correct)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Primary Actor</w:t>
            </w:r>
          </w:p>
        </w:tc>
        <w:tc>
          <w:tcPr>
            <w:tcW w:type="dxa" w:w="4320"/>
          </w:tcPr>
          <w:p>
            <w:r>
              <w:t>Department Officer or Administrator</w:t>
            </w:r>
          </w:p>
        </w:tc>
      </w:tr>
      <w:tr>
        <w:tc>
          <w:tcPr>
            <w:tcW w:type="dxa" w:w="4320"/>
          </w:tcPr>
          <w:p>
            <w:r>
              <w:t>Preconditions</w:t>
            </w:r>
          </w:p>
        </w:tc>
        <w:tc>
          <w:tcPr>
            <w:tcW w:type="dxa" w:w="4320"/>
          </w:tcPr>
          <w:p>
            <w:r>
              <w:t>Actor can read the inquiry (`assert_can_read`) and has write access (`can_write`); the inquiry has a `current_prediction`.</w:t>
            </w:r>
          </w:p>
        </w:tc>
      </w:tr>
      <w:tr>
        <w:tc>
          <w:tcPr>
            <w:tcW w:type="dxa" w:w="4320"/>
          </w:tcPr>
          <w:p>
            <w:r>
              <w:t>Main Flow</w:t>
            </w:r>
          </w:p>
        </w:tc>
        <w:tc>
          <w:tcPr>
            <w:tcW w:type="dxa" w:w="4320"/>
          </w:tcPr>
          <w:p>
            <w:r>
              <w:t>1. Officer opens the ticket's Review tab and inspects the predicted category/urgency and confidence. 2. Officer accepts the prediction as correct, or supplies a corrected department and/or urgency. 3. System writes a `ReviewEvent` (action `ACCEPT` or `CORRECT`) tagged against the specific `Prediction` id being reviewed.</w:t>
            </w:r>
          </w:p>
        </w:tc>
      </w:tr>
      <w:tr>
        <w:tc>
          <w:tcPr>
            <w:tcW w:type="dxa" w:w="4320"/>
          </w:tcPr>
          <w:p>
            <w:r>
              <w:t>Alternate Flow</w:t>
            </w:r>
          </w:p>
        </w:tc>
        <w:tc>
          <w:tcPr>
            <w:tcW w:type="dxa" w:w="4320"/>
          </w:tcPr>
          <w:p>
            <w:r>
              <w:t>If the officer's chosen department differs from the model's predicted department when routing a Triage ticket, the system records the action as `CORRECT` rather than `ACCEPT` automatically, without the officer having to state which case applies.</w:t>
            </w:r>
          </w:p>
        </w:tc>
      </w:tr>
      <w:tr>
        <w:tc>
          <w:tcPr>
            <w:tcW w:type="dxa" w:w="4320"/>
          </w:tcPr>
          <w:p>
            <w:r>
              <w:t>Postconditions</w:t>
            </w:r>
          </w:p>
        </w:tc>
        <w:tc>
          <w:tcPr>
            <w:tcW w:type="dxa" w:w="4320"/>
          </w:tcPr>
          <w:p>
            <w:r>
              <w:t>A `ReviewEvent` row exists that is available, but not yet consumed, as a labelled example for a future feedback-retraining run (`consumed_by_run_id` remains NULL).</w:t>
            </w:r>
          </w:p>
        </w:tc>
      </w:tr>
    </w:tbl>
    <w:p/>
    <w:p>
      <w:r>
        <w:rPr>
          <w:b/>
        </w:rPr>
        <w:t>Use Case Specification: Route Triage Inquiry to Department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Primary Actor</w:t>
            </w:r>
          </w:p>
        </w:tc>
        <w:tc>
          <w:tcPr>
            <w:tcW w:type="dxa" w:w="4320"/>
          </w:tcPr>
          <w:p>
            <w:r>
              <w:t>Department Officer or Administrator</w:t>
            </w:r>
          </w:p>
        </w:tc>
      </w:tr>
      <w:tr>
        <w:tc>
          <w:tcPr>
            <w:tcW w:type="dxa" w:w="4320"/>
          </w:tcPr>
          <w:p>
            <w:r>
              <w:t>Preconditions</w:t>
            </w:r>
          </w:p>
        </w:tc>
        <w:tc>
          <w:tcPr>
            <w:tcW w:type="dxa" w:w="4320"/>
          </w:tcPr>
          <w:p>
            <w:r>
              <w:t>The inquiry is currently in the Triage department (`RoutingDecision` is `TRIAGE` or `OUT_OF_SCOPE`); the caller supplies the inquiry's `expected_version`.</w:t>
            </w:r>
          </w:p>
        </w:tc>
      </w:tr>
      <w:tr>
        <w:tc>
          <w:tcPr>
            <w:tcW w:type="dxa" w:w="4320"/>
          </w:tcPr>
          <w:p>
            <w:r>
              <w:t>Main Flow</w:t>
            </w:r>
          </w:p>
        </w:tc>
        <w:tc>
          <w:tcPr>
            <w:tcW w:type="dxa" w:w="4320"/>
          </w:tcPr>
          <w:p>
            <w:r>
              <w:t>1. Officer selects the correct destination department for a ticket the model could not confidently route. 2. System performs an optimistic-concurrency check (`version = expected_version`); on success it sets the department, sets `routing = AUTO`, and recomputes `sla_due_at` from the inquiry's original `created_at` rather than the current time, so the ticket's deadline reflects when it arrived, not when a human got to it. 3. System writes a `ReviewEvent` and an `InquiryEvent(ROUTED)`.</w:t>
            </w:r>
          </w:p>
        </w:tc>
      </w:tr>
      <w:tr>
        <w:tc>
          <w:tcPr>
            <w:tcW w:type="dxa" w:w="4320"/>
          </w:tcPr>
          <w:p>
            <w:r>
              <w:t>Alternate Flow</w:t>
            </w:r>
          </w:p>
        </w:tc>
        <w:tc>
          <w:tcPr>
            <w:tcW w:type="dxa" w:w="4320"/>
          </w:tcPr>
          <w:p>
            <w:r>
              <w:t>If another officer routed or otherwise modified the same ticket first, `version` no longer matches `expected_version`; the system rejects the request with HTTP 409 and both the expected and actual version, and the client must refetch and retry rather than silently overwrite the other officer's action.</w:t>
            </w:r>
          </w:p>
        </w:tc>
      </w:tr>
      <w:tr>
        <w:tc>
          <w:tcPr>
            <w:tcW w:type="dxa" w:w="4320"/>
          </w:tcPr>
          <w:p>
            <w:r>
              <w:t>Postconditions</w:t>
            </w:r>
          </w:p>
        </w:tc>
        <w:tc>
          <w:tcPr>
            <w:tcW w:type="dxa" w:w="4320"/>
          </w:tcPr>
          <w:p>
            <w:r>
              <w:t>The ticket is visible in its real department's priority-ordered queue with a deadline computed against its true arrival time.</w:t>
            </w:r>
          </w:p>
        </w:tc>
      </w:tr>
    </w:tbl>
    <w:p/>
    <w:p>
      <w:pPr>
        <w:pStyle w:val="Heading3"/>
      </w:pPr>
      <w:r>
        <w:t>4.4.2 Class Diagram</w:t>
      </w:r>
    </w:p>
    <w:p>
      <w:pPr>
        <w:spacing w:after="0"/>
      </w:pPr>
      <w:r>
        <w:rPr>
          <w:rFonts w:ascii="Consolas" w:hAnsi="Consolas"/>
          <w:sz w:val="18"/>
        </w:rPr>
        <w:t>+------------------+        +-------------------+        +---------------------+</w:t>
      </w:r>
      <w:r>
        <w:br/>
      </w:r>
      <w:r>
        <w:rPr>
          <w:rFonts w:ascii="Consolas" w:hAnsi="Consolas"/>
          <w:sz w:val="18"/>
        </w:rPr>
        <w:t>|     User         |        |    Department      |        |     SlaPolicy       |</w:t>
      </w:r>
      <w:r>
        <w:br/>
      </w:r>
      <w:r>
        <w:rPr>
          <w:rFonts w:ascii="Consolas" w:hAnsi="Consolas"/>
          <w:sz w:val="18"/>
        </w:rPr>
        <w:t>+------------------+        +-------------------+        +---------------------+</w:t>
      </w:r>
      <w:r>
        <w:br/>
      </w:r>
      <w:r>
        <w:rPr>
          <w:rFonts w:ascii="Consolas" w:hAnsi="Consolas"/>
          <w:sz w:val="18"/>
        </w:rPr>
        <w:t>| id               |1      *| id                 |1      *| id                  |</w:t>
      </w:r>
      <w:r>
        <w:br/>
      </w:r>
      <w:r>
        <w:rPr>
          <w:rFonts w:ascii="Consolas" w:hAnsi="Consolas"/>
          <w:sz w:val="18"/>
        </w:rPr>
        <w:t>| username          |&lt;------| code               |&lt;-------| urgency              |</w:t>
      </w:r>
      <w:r>
        <w:br/>
      </w:r>
      <w:r>
        <w:rPr>
          <w:rFonts w:ascii="Consolas" w:hAnsi="Consolas"/>
          <w:sz w:val="18"/>
        </w:rPr>
        <w:t>| role (enum)       |       | name                |        | department_id (FK,  |</w:t>
      </w:r>
      <w:r>
        <w:br/>
      </w:r>
      <w:r>
        <w:rPr>
          <w:rFonts w:ascii="Consolas" w:hAnsi="Consolas"/>
          <w:sz w:val="18"/>
        </w:rPr>
        <w:t>| department_id (FK)|------&gt;| is_triage           |        |   nullable=default) |</w:t>
      </w:r>
      <w:r>
        <w:br/>
      </w:r>
      <w:r>
        <w:rPr>
          <w:rFonts w:ascii="Consolas" w:hAnsi="Consolas"/>
          <w:sz w:val="18"/>
        </w:rPr>
        <w:t>| password_hash      |      | is_active           |        | response_hours       |</w:t>
      </w:r>
      <w:r>
        <w:br/>
      </w:r>
      <w:r>
        <w:rPr>
          <w:rFonts w:ascii="Consolas" w:hAnsi="Consolas"/>
          <w:sz w:val="18"/>
        </w:rPr>
        <w:t>| failed_login_count |      +-------------------+        | warning_fraction     |</w:t>
      </w:r>
      <w:r>
        <w:br/>
      </w:r>
      <w:r>
        <w:rPr>
          <w:rFonts w:ascii="Consolas" w:hAnsi="Consolas"/>
          <w:sz w:val="18"/>
        </w:rPr>
        <w:t>| locked_until       |                                    +---------------------+</w:t>
      </w:r>
      <w:r>
        <w:br/>
      </w:r>
      <w:r>
        <w:rPr>
          <w:rFonts w:ascii="Consolas" w:hAnsi="Consolas"/>
          <w:sz w:val="18"/>
        </w:rPr>
        <w:t>+------------------+</w:t>
      </w:r>
      <w:r>
        <w:br/>
      </w:r>
      <w:r>
        <w:rPr>
          <w:rFonts w:ascii="Consolas" w:hAnsi="Consolas"/>
          <w:sz w:val="18"/>
        </w:rPr>
        <w:t xml:space="preserve">        |1</w:t>
      </w:r>
      <w:r>
        <w:br/>
      </w:r>
      <w:r>
        <w:rPr>
          <w:rFonts w:ascii="Consolas" w:hAnsi="Consolas"/>
          <w:sz w:val="18"/>
        </w:rPr>
        <w:t xml:space="preserve">        |*</w:t>
      </w:r>
      <w:r>
        <w:br/>
      </w:r>
      <w:r>
        <w:rPr>
          <w:rFonts w:ascii="Consolas" w:hAnsi="Consolas"/>
          <w:sz w:val="18"/>
        </w:rPr>
        <w:t>+------------------+        +----------------------+        +----------------------+</w:t>
      </w:r>
      <w:r>
        <w:br/>
      </w:r>
      <w:r>
        <w:rPr>
          <w:rFonts w:ascii="Consolas" w:hAnsi="Consolas"/>
          <w:sz w:val="18"/>
        </w:rPr>
        <w:t>|     Session       |       |       Inquiry         |1      *|     Prediction        |</w:t>
      </w:r>
      <w:r>
        <w:br/>
      </w:r>
      <w:r>
        <w:rPr>
          <w:rFonts w:ascii="Consolas" w:hAnsi="Consolas"/>
          <w:sz w:val="18"/>
        </w:rPr>
        <w:t>+------------------+        +----------------------+&lt;-------+----------------------+</w:t>
      </w:r>
      <w:r>
        <w:br/>
      </w:r>
      <w:r>
        <w:rPr>
          <w:rFonts w:ascii="Consolas" w:hAnsi="Consolas"/>
          <w:sz w:val="18"/>
        </w:rPr>
        <w:t>| id (UUID)          |       | id                    |        | id                    |</w:t>
      </w:r>
      <w:r>
        <w:br/>
      </w:r>
      <w:r>
        <w:rPr>
          <w:rFonts w:ascii="Consolas" w:hAnsi="Consolas"/>
          <w:sz w:val="18"/>
        </w:rPr>
        <w:t>| user_id (FK)        |      | reference (unique)     |        | inquiry_id (FK)        |</w:t>
      </w:r>
      <w:r>
        <w:br/>
      </w:r>
      <w:r>
        <w:rPr>
          <w:rFonts w:ascii="Consolas" w:hAnsi="Consolas"/>
          <w:sz w:val="18"/>
        </w:rPr>
        <w:t>| token_hash          |      | raw_text / normalized  |        | model_version_id (FK) |</w:t>
      </w:r>
      <w:r>
        <w:br/>
      </w:r>
      <w:r>
        <w:rPr>
          <w:rFonts w:ascii="Consolas" w:hAnsi="Consolas"/>
          <w:sz w:val="18"/>
        </w:rPr>
        <w:t>| issued_at / expires |      | department_id (FK)     |        | policy_id (FK)         |</w:t>
      </w:r>
      <w:r>
        <w:br/>
      </w:r>
      <w:r>
        <w:rPr>
          <w:rFonts w:ascii="Consolas" w:hAnsi="Consolas"/>
          <w:sz w:val="18"/>
        </w:rPr>
        <w:t>| revoked_at          |      | urgency, status, routing|       | category_label/conf.  |</w:t>
      </w:r>
      <w:r>
        <w:br/>
      </w:r>
      <w:r>
        <w:rPr>
          <w:rFonts w:ascii="Consolas" w:hAnsi="Consolas"/>
          <w:sz w:val="18"/>
        </w:rPr>
        <w:t>+------------------+        | assignee_id (FK-&gt;User) |        | urgency_label/conf.   |</w:t>
      </w:r>
      <w:r>
        <w:br/>
      </w:r>
      <w:r>
        <w:rPr>
          <w:rFonts w:ascii="Consolas" w:hAnsi="Consolas"/>
          <w:sz w:val="18"/>
        </w:rPr>
        <w:t xml:space="preserve">                              | current_prediction_id  |------&gt;| category/urgency_energy|</w:t>
      </w:r>
      <w:r>
        <w:br/>
      </w:r>
      <w:r>
        <w:rPr>
          <w:rFonts w:ascii="Consolas" w:hAnsi="Consolas"/>
          <w:sz w:val="18"/>
        </w:rPr>
        <w:t xml:space="preserve">                              |   (FK-&gt;Prediction)      |       | abstained, latency_ms |</w:t>
      </w:r>
      <w:r>
        <w:br/>
      </w:r>
      <w:r>
        <w:rPr>
          <w:rFonts w:ascii="Consolas" w:hAnsi="Consolas"/>
          <w:sz w:val="18"/>
        </w:rPr>
        <w:t xml:space="preserve">                              | duplicate_of_id (self)  |       +----------------------+</w:t>
      </w:r>
      <w:r>
        <w:br/>
      </w:r>
      <w:r>
        <w:rPr>
          <w:rFonts w:ascii="Consolas" w:hAnsi="Consolas"/>
          <w:sz w:val="18"/>
        </w:rPr>
        <w:t xml:space="preserve">                              | sla_due_at, resolved_at |               |1</w:t>
      </w:r>
      <w:r>
        <w:br/>
      </w:r>
      <w:r>
        <w:rPr>
          <w:rFonts w:ascii="Consolas" w:hAnsi="Consolas"/>
          <w:sz w:val="18"/>
        </w:rPr>
        <w:t xml:space="preserve">                              | version (optimistic)    |               |*</w:t>
      </w:r>
      <w:r>
        <w:br/>
      </w:r>
      <w:r>
        <w:rPr>
          <w:rFonts w:ascii="Consolas" w:hAnsi="Consolas"/>
          <w:sz w:val="18"/>
        </w:rPr>
        <w:t xml:space="preserve">                              +----------------------+        +----------------------+</w:t>
      </w:r>
      <w:r>
        <w:br/>
      </w:r>
      <w:r>
        <w:rPr>
          <w:rFonts w:ascii="Consolas" w:hAnsi="Consolas"/>
          <w:sz w:val="18"/>
        </w:rPr>
        <w:t xml:space="preserve">                               |1        |1         |1        |     Explanation       |</w:t>
      </w:r>
      <w:r>
        <w:br/>
      </w:r>
      <w:r>
        <w:rPr>
          <w:rFonts w:ascii="Consolas" w:hAnsi="Consolas"/>
          <w:sz w:val="18"/>
        </w:rPr>
        <w:t xml:space="preserve">                               |*        |1         |*        +----------------------+</w:t>
      </w:r>
      <w:r>
        <w:br/>
      </w:r>
      <w:r>
        <w:rPr>
          <w:rFonts w:ascii="Consolas" w:hAnsi="Consolas"/>
          <w:sz w:val="18"/>
        </w:rPr>
        <w:t xml:space="preserve">                    +----------------+ +--------+ +----------------+ | prediction_id (FK)|</w:t>
      </w:r>
      <w:r>
        <w:br/>
      </w:r>
      <w:r>
        <w:rPr>
          <w:rFonts w:ascii="Consolas" w:hAnsi="Consolas"/>
          <w:sz w:val="18"/>
        </w:rPr>
        <w:t xml:space="preserve">                    |  ReviewEvent    | |Inquiry | | InquiryEvent    | | task (cat/urgency) |</w:t>
      </w:r>
      <w:r>
        <w:br/>
      </w:r>
      <w:r>
        <w:rPr>
          <w:rFonts w:ascii="Consolas" w:hAnsi="Consolas"/>
          <w:sz w:val="18"/>
        </w:rPr>
        <w:t xml:space="preserve">                    +----------------+ |Embedding| +----------------+ | tokens (JSON)       |</w:t>
      </w:r>
      <w:r>
        <w:br/>
      </w:r>
      <w:r>
        <w:rPr>
          <w:rFonts w:ascii="Consolas" w:hAnsi="Consolas"/>
          <w:sz w:val="18"/>
        </w:rPr>
        <w:t xml:space="preserve">                    | reviewer_id (FK)| +--------+ | event_type (enum)| +----------------------+</w:t>
      </w:r>
      <w:r>
        <w:br/>
      </w:r>
      <w:r>
        <w:rPr>
          <w:rFonts w:ascii="Consolas" w:hAnsi="Consolas"/>
          <w:sz w:val="18"/>
        </w:rPr>
        <w:t xml:space="preserve">                    | action (enum)   |            | actor_id (FK,    |</w:t>
      </w:r>
      <w:r>
        <w:br/>
      </w:r>
      <w:r>
        <w:rPr>
          <w:rFonts w:ascii="Consolas" w:hAnsi="Consolas"/>
          <w:sz w:val="18"/>
        </w:rPr>
        <w:t xml:space="preserve">                    | corrected_dept  |            |   nullable=system)|</w:t>
      </w:r>
      <w:r>
        <w:br/>
      </w:r>
      <w:r>
        <w:rPr>
          <w:rFonts w:ascii="Consolas" w:hAnsi="Consolas"/>
          <w:sz w:val="18"/>
        </w:rPr>
        <w:t xml:space="preserve">                    | corrected_urg.  |            | from_value/to_value|</w:t>
      </w:r>
      <w:r>
        <w:br/>
      </w:r>
      <w:r>
        <w:rPr>
          <w:rFonts w:ascii="Consolas" w:hAnsi="Consolas"/>
          <w:sz w:val="18"/>
        </w:rPr>
        <w:t xml:space="preserve">                    | consumed_by_run |            +----------------+</w:t>
      </w:r>
      <w:r>
        <w:br/>
      </w:r>
      <w:r>
        <w:rPr>
          <w:rFonts w:ascii="Consolas" w:hAnsi="Consolas"/>
          <w:sz w:val="18"/>
        </w:rPr>
        <w:t xml:space="preserve">                    |   _id (FK)      |</w:t>
      </w:r>
      <w:r>
        <w:br/>
      </w:r>
      <w:r>
        <w:rPr>
          <w:rFonts w:ascii="Consolas" w:hAnsi="Consolas"/>
          <w:sz w:val="18"/>
        </w:rPr>
        <w:t xml:space="preserve">                    +----------------+</w:t>
      </w:r>
      <w:r>
        <w:br/>
      </w:r>
      <w:r>
        <w:rPr>
          <w:rFonts w:ascii="Consolas" w:hAnsi="Consolas"/>
          <w:sz w:val="18"/>
        </w:rPr>
        <w:t xml:space="preserve"> </w:t>
      </w:r>
      <w:r>
        <w:br/>
      </w:r>
      <w:r>
        <w:rPr>
          <w:rFonts w:ascii="Consolas" w:hAnsi="Consolas"/>
          <w:sz w:val="18"/>
        </w:rPr>
        <w:t>+----------------------+        +----------------------+        +----------------------+</w:t>
      </w:r>
      <w:r>
        <w:br/>
      </w:r>
      <w:r>
        <w:rPr>
          <w:rFonts w:ascii="Consolas" w:hAnsi="Consolas"/>
          <w:sz w:val="18"/>
        </w:rPr>
        <w:t>|     ModelVersion       |1     *|   RoutingPolicy        |       |    TrainingRun         |</w:t>
      </w:r>
      <w:r>
        <w:br/>
      </w:r>
      <w:r>
        <w:rPr>
          <w:rFonts w:ascii="Consolas" w:hAnsi="Consolas"/>
          <w:sz w:val="18"/>
        </w:rPr>
        <w:t>+----------------------+&lt;-------+----------------------+       +----------------------+</w:t>
      </w:r>
      <w:r>
        <w:br/>
      </w:r>
      <w:r>
        <w:rPr>
          <w:rFonts w:ascii="Consolas" w:hAnsi="Consolas"/>
          <w:sz w:val="18"/>
        </w:rPr>
        <w:t>| id                     |       | id                     |       | id                     |</w:t>
      </w:r>
      <w:r>
        <w:br/>
      </w:r>
      <w:r>
        <w:rPr>
          <w:rFonts w:ascii="Consolas" w:hAnsi="Consolas"/>
          <w:sz w:val="18"/>
        </w:rPr>
        <w:t>| name (category/urgency/|       | version (unique)        |       | kind (initial/feedback |</w:t>
      </w:r>
      <w:r>
        <w:br/>
      </w:r>
      <w:r>
        <w:rPr>
          <w:rFonts w:ascii="Consolas" w:hAnsi="Consolas"/>
          <w:sz w:val="18"/>
        </w:rPr>
        <w:t>|   multitask)           |       | category_tau/temperature|       |   _retrain/import)     |</w:t>
      </w:r>
      <w:r>
        <w:br/>
      </w:r>
      <w:r>
        <w:rPr>
          <w:rFonts w:ascii="Consolas" w:hAnsi="Consolas"/>
          <w:sz w:val="18"/>
        </w:rPr>
        <w:t>| version, backend        |       | urgency_tau/temperature |       | base/produced_model    |</w:t>
      </w:r>
      <w:r>
        <w:br/>
      </w:r>
      <w:r>
        <w:rPr>
          <w:rFonts w:ascii="Consolas" w:hAnsi="Consolas"/>
          <w:sz w:val="18"/>
        </w:rPr>
        <w:t>| artifact_uri, checksum  |       | category_energy_threshold|      |   _version_id (FK x2)  |</w:t>
      </w:r>
      <w:r>
        <w:br/>
      </w:r>
      <w:r>
        <w:rPr>
          <w:rFonts w:ascii="Consolas" w:hAnsi="Consolas"/>
          <w:sz w:val="18"/>
        </w:rPr>
        <w:t>| label_classes (JSON)    |       | duplicate_threshold      |      | metrics_before/after   |</w:t>
      </w:r>
      <w:r>
        <w:br/>
      </w:r>
      <w:r>
        <w:rPr>
          <w:rFonts w:ascii="Consolas" w:hAnsi="Consolas"/>
          <w:sz w:val="18"/>
        </w:rPr>
        <w:t>| is_active               |       | is_active                |      | promoted (bool)        |</w:t>
      </w:r>
      <w:r>
        <w:br/>
      </w:r>
      <w:r>
        <w:rPr>
          <w:rFonts w:ascii="Consolas" w:hAnsi="Consolas"/>
          <w:sz w:val="18"/>
        </w:rPr>
        <w:t>+----------------------+       +----------------------+       +----------------------+</w:t>
      </w:r>
      <w:r>
        <w:br/>
      </w:r>
      <w:r>
        <w:rPr>
          <w:rFonts w:ascii="Consolas" w:hAnsi="Consolas"/>
          <w:sz w:val="18"/>
        </w:rPr>
        <w:t xml:space="preserve"> </w:t>
      </w:r>
      <w:r>
        <w:br/>
      </w:r>
      <w:r>
        <w:rPr>
          <w:rFonts w:ascii="Consolas" w:hAnsi="Consolas"/>
          <w:sz w:val="18"/>
        </w:rPr>
        <w:t>+----------------------+</w:t>
      </w:r>
      <w:r>
        <w:br/>
      </w:r>
      <w:r>
        <w:rPr>
          <w:rFonts w:ascii="Consolas" w:hAnsi="Consolas"/>
          <w:sz w:val="18"/>
        </w:rPr>
        <w:t>|   OutboundMessage      |</w:t>
      </w:r>
      <w:r>
        <w:br/>
      </w:r>
      <w:r>
        <w:rPr>
          <w:rFonts w:ascii="Consolas" w:hAnsi="Consolas"/>
          <w:sz w:val="18"/>
        </w:rPr>
        <w:t>+----------------------+</w:t>
      </w:r>
      <w:r>
        <w:br/>
      </w:r>
      <w:r>
        <w:rPr>
          <w:rFonts w:ascii="Consolas" w:hAnsi="Consolas"/>
          <w:sz w:val="18"/>
        </w:rPr>
        <w:t>| id                     |</w:t>
      </w:r>
      <w:r>
        <w:br/>
      </w:r>
      <w:r>
        <w:rPr>
          <w:rFonts w:ascii="Consolas" w:hAnsi="Consolas"/>
          <w:sz w:val="18"/>
        </w:rPr>
        <w:t>| inquiry_id (FK)         |</w:t>
      </w:r>
      <w:r>
        <w:br/>
      </w:r>
      <w:r>
        <w:rPr>
          <w:rFonts w:ascii="Consolas" w:hAnsi="Consolas"/>
          <w:sz w:val="18"/>
        </w:rPr>
        <w:t>| channel, to_address     |</w:t>
      </w:r>
      <w:r>
        <w:br/>
      </w:r>
      <w:r>
        <w:rPr>
          <w:rFonts w:ascii="Consolas" w:hAnsi="Consolas"/>
          <w:sz w:val="18"/>
        </w:rPr>
        <w:t>| status (pending/sent/   |</w:t>
      </w:r>
      <w:r>
        <w:br/>
      </w:r>
      <w:r>
        <w:rPr>
          <w:rFonts w:ascii="Consolas" w:hAnsi="Consolas"/>
          <w:sz w:val="18"/>
        </w:rPr>
        <w:t>|   failed)               |</w:t>
      </w:r>
      <w:r>
        <w:br/>
      </w:r>
      <w:r>
        <w:rPr>
          <w:rFonts w:ascii="Consolas" w:hAnsi="Consolas"/>
          <w:sz w:val="18"/>
        </w:rPr>
        <w:t>| attempts, scheduled_for |</w:t>
      </w:r>
      <w:r>
        <w:br/>
      </w:r>
      <w:r>
        <w:rPr>
          <w:rFonts w:ascii="Consolas" w:hAnsi="Consolas"/>
          <w:sz w:val="18"/>
        </w:rPr>
        <w:t>+----------------------+</w:t>
      </w:r>
    </w:p>
    <w:p>
      <w:r>
        <w:rPr>
          <w:i/>
        </w:rPr>
        <w:t>Figure 7. Class diagram of the persisted domain model, thirteen tables in total. `Prediction` is append-only — correcting a prediction never overwrites it, it is recorded as a separate `ReviewEvent` against the same `Prediction` id — which is what makes the review log usable as a future training signal.</w:t>
      </w:r>
    </w:p>
    <w:p>
      <w:pPr>
        <w:pStyle w:val="Heading3"/>
      </w:pPr>
      <w:r>
        <w:t>4.4.3 Activity Diagram</w:t>
      </w:r>
    </w:p>
    <w:p>
      <w:pPr>
        <w:spacing w:after="0"/>
      </w:pPr>
      <w:r>
        <w:rPr>
          <w:rFonts w:ascii="Consolas" w:hAnsi="Consolas"/>
          <w:sz w:val="18"/>
        </w:rPr>
        <w:t xml:space="preserve">                     Inquiry Lifecycle Activity Diagram</w:t>
      </w:r>
      <w:r>
        <w:br/>
      </w:r>
      <w:r>
        <w:rPr>
          <w:rFonts w:ascii="Consolas" w:hAnsi="Consolas"/>
          <w:sz w:val="18"/>
        </w:rPr>
        <w:t xml:space="preserve"> </w:t>
      </w:r>
      <w:r>
        <w:br/>
      </w:r>
      <w:r>
        <w:rPr>
          <w:rFonts w:ascii="Consolas" w:hAnsi="Consolas"/>
          <w:sz w:val="18"/>
        </w:rPr>
        <w:t xml:space="preserve">  [Web form (admin)] or [Email poller]</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Deduplicate (hash + vector similarity) --dup found--&gt; [Link as duplicate, stop]</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Classify (category + urgency, shared/dual transformer)</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Temperature-scale both confidences</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&lt;category confidence &gt;= tau</w:t>
      </w:r>
      <w:r>
        <w:br/>
      </w:r>
      <w:r>
        <w:rPr>
          <w:rFonts w:ascii="Consolas" w:hAnsi="Consolas"/>
          <w:sz w:val="18"/>
        </w:rPr>
        <w:t xml:space="preserve">       AND not out-of-distribution?&gt;</w:t>
      </w:r>
      <w:r>
        <w:br/>
      </w:r>
      <w:r>
        <w:rPr>
          <w:rFonts w:ascii="Consolas" w:hAnsi="Consolas"/>
          <w:sz w:val="18"/>
        </w:rPr>
        <w:t xml:space="preserve">        /                        \</w:t>
      </w:r>
      <w:r>
        <w:br/>
      </w:r>
      <w:r>
        <w:rPr>
          <w:rFonts w:ascii="Consolas" w:hAnsi="Consolas"/>
          <w:sz w:val="18"/>
        </w:rPr>
        <w:t xml:space="preserve">      yes                         no</w:t>
      </w:r>
      <w:r>
        <w:br/>
      </w:r>
      <w:r>
        <w:rPr>
          <w:rFonts w:ascii="Consolas" w:hAnsi="Consolas"/>
          <w:sz w:val="18"/>
        </w:rPr>
        <w:t xml:space="preserve">       |                           |</w:t>
      </w:r>
      <w:r>
        <w:br/>
      </w:r>
      <w:r>
        <w:rPr>
          <w:rFonts w:ascii="Consolas" w:hAnsi="Consolas"/>
          <w:sz w:val="18"/>
        </w:rPr>
        <w:t xml:space="preserve">       v                           v</w:t>
      </w:r>
      <w:r>
        <w:br/>
      </w:r>
      <w:r>
        <w:rPr>
          <w:rFonts w:ascii="Consolas" w:hAnsi="Consolas"/>
          <w:sz w:val="18"/>
        </w:rPr>
        <w:t xml:space="preserve">  Route to predicted           Route to Triage</w:t>
      </w:r>
      <w:r>
        <w:br/>
      </w:r>
      <w:r>
        <w:rPr>
          <w:rFonts w:ascii="Consolas" w:hAnsi="Consolas"/>
          <w:sz w:val="18"/>
        </w:rPr>
        <w:t xml:space="preserve">  department (AUTO)            (TRIAGE / OUT_OF_SCOPE)</w:t>
      </w:r>
      <w:r>
        <w:br/>
      </w:r>
      <w:r>
        <w:rPr>
          <w:rFonts w:ascii="Consolas" w:hAnsi="Consolas"/>
          <w:sz w:val="18"/>
        </w:rPr>
        <w:t xml:space="preserve">       |                           |</w:t>
      </w:r>
      <w:r>
        <w:br/>
      </w:r>
      <w:r>
        <w:rPr>
          <w:rFonts w:ascii="Consolas" w:hAnsi="Consolas"/>
          <w:sz w:val="18"/>
        </w:rPr>
        <w:t xml:space="preserve">       |                    [Officer selects correct</w:t>
      </w:r>
      <w:r>
        <w:br/>
      </w:r>
      <w:r>
        <w:rPr>
          <w:rFonts w:ascii="Consolas" w:hAnsi="Consolas"/>
          <w:sz w:val="18"/>
        </w:rPr>
        <w:t xml:space="preserve">       |                     department] --&gt; ReviewEvent</w:t>
      </w:r>
      <w:r>
        <w:br/>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Insert into priority-ordered</w:t>
      </w:r>
      <w:r>
        <w:br/>
      </w:r>
      <w:r>
        <w:rPr>
          <w:rFonts w:ascii="Consolas" w:hAnsi="Consolas"/>
          <w:sz w:val="18"/>
        </w:rPr>
        <w:t xml:space="preserve">        queue (urgency rank, then</w:t>
      </w:r>
      <w:r>
        <w:br/>
      </w:r>
      <w:r>
        <w:rPr>
          <w:rFonts w:ascii="Consolas" w:hAnsi="Consolas"/>
          <w:sz w:val="18"/>
        </w:rPr>
        <w:t xml:space="preserve">        soonest sla_due_at)</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[Officer opens ticket] --&gt; Review prediction</w:t>
      </w:r>
      <w:r>
        <w:br/>
      </w:r>
      <w:r>
        <w:rPr>
          <w:rFonts w:ascii="Consolas" w:hAnsi="Consolas"/>
          <w:sz w:val="18"/>
        </w:rPr>
        <w:t xml:space="preserve">                     |             (Accept / Correct) --&gt; ReviewEvent</w:t>
      </w:r>
      <w:r>
        <w:br/>
      </w:r>
      <w:r>
        <w:rPr>
          <w:rFonts w:ascii="Consolas" w:hAnsi="Consolas"/>
          <w:sz w:val="18"/>
        </w:rPr>
        <w:t xml:space="preserve">                     v</w:t>
      </w:r>
      <w:r>
        <w:br/>
      </w:r>
      <w:r>
        <w:rPr>
          <w:rFonts w:ascii="Consolas" w:hAnsi="Consolas"/>
          <w:sz w:val="18"/>
        </w:rPr>
        <w:t xml:space="preserve">        Update status: NEW -&gt; IN_PROGRESS -&gt; ... -&gt; RESOLVED/CLOSED</w:t>
      </w:r>
      <w:r>
        <w:br/>
      </w:r>
      <w:r>
        <w:rPr>
          <w:rFonts w:ascii="Consolas" w:hAnsi="Consolas"/>
          <w:sz w:val="18"/>
        </w:rPr>
        <w:t xml:space="preserve">                     |</w:t>
      </w:r>
      <w:r>
        <w:br/>
      </w:r>
      <w:r>
        <w:rPr>
          <w:rFonts w:ascii="Consolas" w:hAnsi="Consolas"/>
          <w:sz w:val="18"/>
        </w:rPr>
        <w:t xml:space="preserve">              &lt;past sla_due_at</w:t>
      </w:r>
      <w:r>
        <w:br/>
      </w:r>
      <w:r>
        <w:rPr>
          <w:rFonts w:ascii="Consolas" w:hAnsi="Consolas"/>
          <w:sz w:val="18"/>
        </w:rPr>
        <w:t xml:space="preserve">               and unresolved?&gt;--yes--&gt; [SLA sweep job] --&gt; Escalated</w:t>
      </w:r>
      <w:r>
        <w:br/>
      </w:r>
      <w:r>
        <w:rPr>
          <w:rFonts w:ascii="Consolas" w:hAnsi="Consolas"/>
          <w:sz w:val="18"/>
        </w:rPr>
        <w:t xml:space="preserve">                     |no</w:t>
      </w:r>
      <w:r>
        <w:br/>
      </w:r>
      <w:r>
        <w:rPr>
          <w:rFonts w:ascii="Consolas" w:hAnsi="Consolas"/>
          <w:sz w:val="18"/>
        </w:rPr>
        <w:t xml:space="preserve">                     v</w:t>
      </w:r>
      <w:r>
        <w:br/>
      </w:r>
      <w:r>
        <w:rPr>
          <w:rFonts w:ascii="Consolas" w:hAnsi="Consolas"/>
          <w:sz w:val="18"/>
        </w:rPr>
        <w:t xml:space="preserve">                  Resolved</w:t>
      </w:r>
      <w:r>
        <w:br/>
      </w:r>
      <w:r>
        <w:rPr>
          <w:rFonts w:ascii="Consolas" w:hAnsi="Consolas"/>
          <w:sz w:val="18"/>
        </w:rPr>
        <w:t xml:space="preserve">                     |</w:t>
      </w:r>
      <w:r>
        <w:br/>
      </w:r>
      <w:r>
        <w:rPr>
          <w:rFonts w:ascii="Consolas" w:hAnsi="Consolas"/>
          <w:sz w:val="18"/>
        </w:rPr>
        <w:t xml:space="preserve">              &lt;retention_days</w:t>
      </w:r>
      <w:r>
        <w:br/>
      </w:r>
      <w:r>
        <w:rPr>
          <w:rFonts w:ascii="Consolas" w:hAnsi="Consolas"/>
          <w:sz w:val="18"/>
        </w:rPr>
        <w:t xml:space="preserve">               configured and</w:t>
      </w:r>
      <w:r>
        <w:br/>
      </w:r>
      <w:r>
        <w:rPr>
          <w:rFonts w:ascii="Consolas" w:hAnsi="Consolas"/>
          <w:sz w:val="18"/>
        </w:rPr>
        <w:t xml:space="preserve">               past cutoff?&gt;--yes--&gt; [Retention job] --&gt; PII redacted,</w:t>
      </w:r>
      <w:r>
        <w:br/>
      </w:r>
      <w:r>
        <w:rPr>
          <w:rFonts w:ascii="Consolas" w:hAnsi="Consolas"/>
          <w:sz w:val="18"/>
        </w:rPr>
        <w:t xml:space="preserve">                     |no                                  audit trail kept</w:t>
      </w:r>
      <w:r>
        <w:br/>
      </w:r>
      <w:r>
        <w:rPr>
          <w:rFonts w:ascii="Consolas" w:hAnsi="Consolas"/>
          <w:sz w:val="18"/>
        </w:rPr>
        <w:t xml:space="preserve">                     v</w:t>
      </w:r>
      <w:r>
        <w:br/>
      </w:r>
      <w:r>
        <w:rPr>
          <w:rFonts w:ascii="Consolas" w:hAnsi="Consolas"/>
          <w:sz w:val="18"/>
        </w:rPr>
        <w:t xml:space="preserve">                    End</w:t>
      </w:r>
    </w:p>
    <w:p>
      <w:r>
        <w:rPr>
          <w:i/>
        </w:rPr>
        <w:t>Figure 8. Activity diagram of the inquiry lifecycle from intake to resolution, including the two background jobs (SLA sweep, retention) that can act on a ticket without a human present.</w:t>
      </w:r>
    </w:p>
    <w:p>
      <w:pPr>
        <w:pStyle w:val="Heading3"/>
      </w:pPr>
      <w:r>
        <w:t>4.4.4 Sequence Diagrams</w:t>
      </w:r>
    </w:p>
    <w:p>
      <w:r>
        <w:rPr>
          <w:b/>
        </w:rPr>
        <w:t>Sequence 1 — Submit Inquiry via Web Form (auto-route path)</w:t>
      </w:r>
    </w:p>
    <w:p>
      <w:pPr>
        <w:spacing w:after="0"/>
      </w:pPr>
      <w:r>
        <w:rPr>
          <w:rFonts w:ascii="Consolas" w:hAnsi="Consolas"/>
          <w:sz w:val="18"/>
        </w:rPr>
        <w:t>Admin        FastAPI(/inquiries)     Classifier      RoutingPolicy       DB</w:t>
      </w:r>
      <w:r>
        <w:br/>
      </w:r>
      <w:r>
        <w:rPr>
          <w:rFonts w:ascii="Consolas" w:hAnsi="Consolas"/>
          <w:sz w:val="18"/>
        </w:rPr>
        <w:t xml:space="preserve">  |  POST inquiry text     |                |                |            |</w:t>
      </w:r>
      <w:r>
        <w:br/>
      </w:r>
      <w:r>
        <w:rPr>
          <w:rFonts w:ascii="Consolas" w:hAnsi="Consolas"/>
          <w:sz w:val="18"/>
        </w:rPr>
        <w:t xml:space="preserve">  |------------------------&gt;|                |                |            |</w:t>
      </w:r>
      <w:r>
        <w:br/>
      </w:r>
      <w:r>
        <w:rPr>
          <w:rFonts w:ascii="Consolas" w:hAnsi="Consolas"/>
          <w:sz w:val="18"/>
        </w:rPr>
        <w:t xml:space="preserve">  |                         | classify(text) |                |            |</w:t>
      </w:r>
      <w:r>
        <w:br/>
      </w:r>
      <w:r>
        <w:rPr>
          <w:rFonts w:ascii="Consolas" w:hAnsi="Consolas"/>
          <w:sz w:val="18"/>
        </w:rPr>
        <w:t xml:space="preserve">  |                         |----------------&gt;|                |            |</w:t>
      </w:r>
      <w:r>
        <w:br/>
      </w:r>
      <w:r>
        <w:rPr>
          <w:rFonts w:ascii="Consolas" w:hAnsi="Consolas"/>
          <w:sz w:val="18"/>
        </w:rPr>
        <w:t xml:space="preserve">  |                         |&lt;--- category/urgency logits -----|            |</w:t>
      </w:r>
      <w:r>
        <w:br/>
      </w:r>
      <w:r>
        <w:rPr>
          <w:rFonts w:ascii="Consolas" w:hAnsi="Consolas"/>
          <w:sz w:val="18"/>
        </w:rPr>
        <w:t xml:space="preserve">  |                         | temperature-scale (policy.temperature)        |</w:t>
      </w:r>
      <w:r>
        <w:br/>
      </w:r>
      <w:r>
        <w:rPr>
          <w:rFonts w:ascii="Consolas" w:hAnsi="Consolas"/>
          <w:sz w:val="18"/>
        </w:rPr>
        <w:t xml:space="preserve">  |                         |-----------------------------------&gt;|          |</w:t>
      </w:r>
      <w:r>
        <w:br/>
      </w:r>
      <w:r>
        <w:rPr>
          <w:rFonts w:ascii="Consolas" w:hAnsi="Consolas"/>
          <w:sz w:val="18"/>
        </w:rPr>
        <w:t xml:space="preserve">  |                         | compare conf&gt;=tau, energy&lt;threshold           |</w:t>
      </w:r>
      <w:r>
        <w:br/>
      </w:r>
      <w:r>
        <w:rPr>
          <w:rFonts w:ascii="Consolas" w:hAnsi="Consolas"/>
          <w:sz w:val="18"/>
        </w:rPr>
        <w:t xml:space="preserve">  |                         |-----------------------------------&gt;|          |</w:t>
      </w:r>
      <w:r>
        <w:br/>
      </w:r>
      <w:r>
        <w:rPr>
          <w:rFonts w:ascii="Consolas" w:hAnsi="Consolas"/>
          <w:sz w:val="18"/>
        </w:rPr>
        <w:t xml:space="preserve">  |                         | INSERT Inquiry, Prediction, InquiryEvent      |</w:t>
      </w:r>
      <w:r>
        <w:br/>
      </w:r>
      <w:r>
        <w:rPr>
          <w:rFonts w:ascii="Consolas" w:hAnsi="Consolas"/>
          <w:sz w:val="18"/>
        </w:rPr>
        <w:t xml:space="preserve">  |                         |------------------------------------------------&gt;</w:t>
      </w:r>
      <w:r>
        <w:br/>
      </w:r>
      <w:r>
        <w:rPr>
          <w:rFonts w:ascii="Consolas" w:hAnsi="Consolas"/>
          <w:sz w:val="18"/>
        </w:rPr>
        <w:t xml:space="preserve">  |                         |&lt;---------------------------------- committed --|</w:t>
      </w:r>
      <w:r>
        <w:br/>
      </w:r>
      <w:r>
        <w:rPr>
          <w:rFonts w:ascii="Consolas" w:hAnsi="Consolas"/>
          <w:sz w:val="18"/>
        </w:rPr>
        <w:t xml:space="preserve">  |  201 {inquiry, routing} |                |                |            |</w:t>
      </w:r>
      <w:r>
        <w:br/>
      </w:r>
      <w:r>
        <w:rPr>
          <w:rFonts w:ascii="Consolas" w:hAnsi="Consolas"/>
          <w:sz w:val="18"/>
        </w:rPr>
        <w:t xml:space="preserve">  |&lt;------------------------|                |                |            |</w:t>
      </w:r>
      <w:r>
        <w:br/>
      </w:r>
      <w:r>
        <w:rPr>
          <w:rFonts w:ascii="Consolas" w:hAnsi="Consolas"/>
          <w:sz w:val="18"/>
        </w:rPr>
        <w:t xml:space="preserve">  | navigate() to destination queue                                        |</w:t>
      </w:r>
    </w:p>
    <w:p>
      <w:r>
        <w:rPr>
          <w:b/>
        </w:rPr>
        <w:t>Sequence 2 — Officer Routes a Triage Inquiry</w:t>
      </w:r>
    </w:p>
    <w:p>
      <w:pPr>
        <w:spacing w:after="0"/>
      </w:pPr>
      <w:r>
        <w:rPr>
          <w:rFonts w:ascii="Consolas" w:hAnsi="Consolas"/>
          <w:sz w:val="18"/>
        </w:rPr>
        <w:t>Officer      FastAPI(/inquiries/{id}/route)      DB</w:t>
      </w:r>
      <w:r>
        <w:br/>
      </w:r>
      <w:r>
        <w:rPr>
          <w:rFonts w:ascii="Consolas" w:hAnsi="Consolas"/>
          <w:sz w:val="18"/>
        </w:rPr>
        <w:t xml:space="preserve">  |  POST {department_id, expected_version}       |</w:t>
      </w:r>
      <w:r>
        <w:br/>
      </w:r>
      <w:r>
        <w:rPr>
          <w:rFonts w:ascii="Consolas" w:hAnsi="Consolas"/>
          <w:sz w:val="18"/>
        </w:rPr>
        <w:t xml:space="preserve">  |------------------------------------------------&gt;</w:t>
      </w:r>
      <w:r>
        <w:br/>
      </w:r>
      <w:r>
        <w:rPr>
          <w:rFonts w:ascii="Consolas" w:hAnsi="Consolas"/>
          <w:sz w:val="18"/>
        </w:rPr>
        <w:t xml:space="preserve">  |          UPDATE inquiries SET department_id=..,|</w:t>
      </w:r>
      <w:r>
        <w:br/>
      </w:r>
      <w:r>
        <w:rPr>
          <w:rFonts w:ascii="Consolas" w:hAnsi="Consolas"/>
          <w:sz w:val="18"/>
        </w:rPr>
        <w:t xml:space="preserve">  |          version=expected_version+1            |</w:t>
      </w:r>
      <w:r>
        <w:br/>
      </w:r>
      <w:r>
        <w:rPr>
          <w:rFonts w:ascii="Consolas" w:hAnsi="Consolas"/>
          <w:sz w:val="18"/>
        </w:rPr>
        <w:t xml:space="preserve">  |          WHERE id=.. AND version=expected_version</w:t>
      </w:r>
      <w:r>
        <w:br/>
      </w:r>
      <w:r>
        <w:rPr>
          <w:rFonts w:ascii="Consolas" w:hAnsi="Consolas"/>
          <w:sz w:val="18"/>
        </w:rPr>
        <w:t xml:space="preserve">  |------------------------------------------------&gt;</w:t>
      </w:r>
      <w:r>
        <w:br/>
      </w:r>
      <w:r>
        <w:rPr>
          <w:rFonts w:ascii="Consolas" w:hAnsi="Consolas"/>
          <w:sz w:val="18"/>
        </w:rPr>
        <w:t xml:space="preserve">  |&lt;---------------------- rowcount == 0? ----------|</w:t>
      </w:r>
      <w:r>
        <w:br/>
      </w:r>
      <w:r>
        <w:rPr>
          <w:rFonts w:ascii="Consolas" w:hAnsi="Consolas"/>
          <w:sz w:val="18"/>
        </w:rPr>
        <w:t xml:space="preserve">  |                 yes -&gt; raise ConflictError (409)|</w:t>
      </w:r>
      <w:r>
        <w:br/>
      </w:r>
      <w:r>
        <w:rPr>
          <w:rFonts w:ascii="Consolas" w:hAnsi="Consolas"/>
          <w:sz w:val="18"/>
        </w:rPr>
        <w:t xml:space="preserve">  |                 no  -&gt; INSERT ReviewEvent,       |</w:t>
      </w:r>
      <w:r>
        <w:br/>
      </w:r>
      <w:r>
        <w:rPr>
          <w:rFonts w:ascii="Consolas" w:hAnsi="Consolas"/>
          <w:sz w:val="18"/>
        </w:rPr>
        <w:t xml:space="preserve">  |                        InquiryEvent(ROUTED)      |</w:t>
      </w:r>
      <w:r>
        <w:br/>
      </w:r>
      <w:r>
        <w:rPr>
          <w:rFonts w:ascii="Consolas" w:hAnsi="Consolas"/>
          <w:sz w:val="18"/>
        </w:rPr>
        <w:t xml:space="preserve">  |&lt;-------------------- 200 {inquiry, version} -----|</w:t>
      </w:r>
    </w:p>
    <w:p>
      <w:r>
        <w:rPr>
          <w:b/>
        </w:rPr>
        <w:t>Sequence 3 — Automated Email Intake</w:t>
      </w:r>
    </w:p>
    <w:p>
      <w:pPr>
        <w:spacing w:after="0"/>
      </w:pPr>
      <w:r>
        <w:rPr>
          <w:rFonts w:ascii="Consolas" w:hAnsi="Consolas"/>
          <w:sz w:val="18"/>
        </w:rPr>
        <w:t>Scheduler      job_lock()      IMAP server      triage.submit()      DB</w:t>
      </w:r>
      <w:r>
        <w:br/>
      </w:r>
      <w:r>
        <w:rPr>
          <w:rFonts w:ascii="Consolas" w:hAnsi="Consolas"/>
          <w:sz w:val="18"/>
        </w:rPr>
        <w:t xml:space="preserve">  |  every email_poll_seconds  |                    |                 |</w:t>
      </w:r>
      <w:r>
        <w:br/>
      </w:r>
      <w:r>
        <w:rPr>
          <w:rFonts w:ascii="Consolas" w:hAnsi="Consolas"/>
          <w:sz w:val="18"/>
        </w:rPr>
        <w:t xml:space="preserve">  |----------------------------&gt;|                    |                 |</w:t>
      </w:r>
      <w:r>
        <w:br/>
      </w:r>
      <w:r>
        <w:rPr>
          <w:rFonts w:ascii="Consolas" w:hAnsi="Consolas"/>
          <w:sz w:val="18"/>
        </w:rPr>
        <w:t xml:space="preserve">  |         acquire lock (skip if another worker holds it)             |</w:t>
      </w:r>
      <w:r>
        <w:br/>
      </w:r>
      <w:r>
        <w:rPr>
          <w:rFonts w:ascii="Consolas" w:hAnsi="Consolas"/>
          <w:sz w:val="18"/>
        </w:rPr>
        <w:t xml:space="preserve">  |-----------------------------------------------------&gt;              |</w:t>
      </w:r>
      <w:r>
        <w:br/>
      </w:r>
      <w:r>
        <w:rPr>
          <w:rFonts w:ascii="Consolas" w:hAnsi="Consolas"/>
          <w:sz w:val="18"/>
        </w:rPr>
        <w:t xml:space="preserve">  |                             | FETCH UNSEEN messages                |</w:t>
      </w:r>
      <w:r>
        <w:br/>
      </w:r>
      <w:r>
        <w:rPr>
          <w:rFonts w:ascii="Consolas" w:hAnsi="Consolas"/>
          <w:sz w:val="18"/>
        </w:rPr>
        <w:t xml:space="preserve">  |                             |-------------------&gt;                  |</w:t>
      </w:r>
      <w:r>
        <w:br/>
      </w:r>
      <w:r>
        <w:rPr>
          <w:rFonts w:ascii="Consolas" w:hAnsi="Consolas"/>
          <w:sz w:val="18"/>
        </w:rPr>
        <w:t xml:space="preserve">  |                    strip quoted reply/signature                    |</w:t>
      </w:r>
      <w:r>
        <w:br/>
      </w:r>
      <w:r>
        <w:rPr>
          <w:rFonts w:ascii="Consolas" w:hAnsi="Consolas"/>
          <w:sz w:val="18"/>
        </w:rPr>
        <w:t xml:space="preserve">  |                    is_automated_sender(from)? --yes--&gt; skip, mark seen</w:t>
      </w:r>
      <w:r>
        <w:br/>
      </w:r>
      <w:r>
        <w:rPr>
          <w:rFonts w:ascii="Consolas" w:hAnsi="Consolas"/>
          <w:sz w:val="18"/>
        </w:rPr>
        <w:t xml:space="preserve">  |                             |            no          |             |</w:t>
      </w:r>
      <w:r>
        <w:br/>
      </w:r>
      <w:r>
        <w:rPr>
          <w:rFonts w:ascii="Consolas" w:hAnsi="Consolas"/>
          <w:sz w:val="18"/>
        </w:rPr>
        <w:t xml:space="preserve">  |                             |------------------------&gt; submit(text,|</w:t>
      </w:r>
      <w:r>
        <w:br/>
      </w:r>
      <w:r>
        <w:rPr>
          <w:rFonts w:ascii="Consolas" w:hAnsi="Consolas"/>
          <w:sz w:val="18"/>
        </w:rPr>
        <w:t xml:space="preserve">  |                             |                          source=EMAIL,|</w:t>
      </w:r>
      <w:r>
        <w:br/>
      </w:r>
      <w:r>
        <w:rPr>
          <w:rFonts w:ascii="Consolas" w:hAnsi="Consolas"/>
          <w:sz w:val="18"/>
        </w:rPr>
        <w:t xml:space="preserve">  |                             |                          source_ref= |</w:t>
      </w:r>
      <w:r>
        <w:br/>
      </w:r>
      <w:r>
        <w:rPr>
          <w:rFonts w:ascii="Consolas" w:hAnsi="Consolas"/>
          <w:sz w:val="18"/>
        </w:rPr>
        <w:t xml:space="preserve">  |                             |                          Message-ID) |</w:t>
      </w:r>
      <w:r>
        <w:br/>
      </w:r>
      <w:r>
        <w:rPr>
          <w:rFonts w:ascii="Consolas" w:hAnsi="Consolas"/>
          <w:sz w:val="18"/>
        </w:rPr>
        <w:t xml:space="preserve">  |                             |                          (same classify/</w:t>
      </w:r>
      <w:r>
        <w:br/>
      </w:r>
      <w:r>
        <w:rPr>
          <w:rFonts w:ascii="Consolas" w:hAnsi="Consolas"/>
          <w:sz w:val="18"/>
        </w:rPr>
        <w:t xml:space="preserve">  |                             |                           route path as</w:t>
      </w:r>
      <w:r>
        <w:br/>
      </w:r>
      <w:r>
        <w:rPr>
          <w:rFonts w:ascii="Consolas" w:hAnsi="Consolas"/>
          <w:sz w:val="18"/>
        </w:rPr>
        <w:t xml:space="preserve">  |                             |                           Sequence 1)|</w:t>
      </w:r>
      <w:r>
        <w:br/>
      </w:r>
      <w:r>
        <w:rPr>
          <w:rFonts w:ascii="Consolas" w:hAnsi="Consolas"/>
          <w:sz w:val="18"/>
        </w:rPr>
        <w:t xml:space="preserve">  |                             |                          |-----------&gt;</w:t>
      </w:r>
      <w:r>
        <w:br/>
      </w:r>
      <w:r>
        <w:rPr>
          <w:rFonts w:ascii="Consolas" w:hAnsi="Consolas"/>
          <w:sz w:val="18"/>
        </w:rPr>
        <w:t xml:space="preserve">  |                             |                          |&lt;-- committed</w:t>
      </w:r>
      <w:r>
        <w:br/>
      </w:r>
      <w:r>
        <w:rPr>
          <w:rFonts w:ascii="Consolas" w:hAnsi="Consolas"/>
          <w:sz w:val="18"/>
        </w:rPr>
        <w:t xml:space="preserve">  |         release lock                                                |</w:t>
      </w:r>
    </w:p>
    <w:p>
      <w:r>
        <w:rPr>
          <w:i/>
        </w:rPr>
        <w:t>Figures 9-11. The three sequence diagrams that most affect correctness: the routing decision, the concurrency-safe manual correction, and the unattended intake path — chosen over less consequential flows (e.g. login) per the template's guidance to keep the highest-value diagrams in the main text.</w:t>
      </w:r>
    </w:p>
    <w:p>
      <w:pPr>
        <w:pStyle w:val="Heading3"/>
      </w:pPr>
      <w:r>
        <w:t>4.4.5 State Chart — Ticket Queue Status</w:t>
      </w:r>
    </w:p>
    <w:p>
      <w:pPr>
        <w:spacing w:after="0"/>
      </w:pPr>
      <w:r>
        <w:rPr>
          <w:rFonts w:ascii="Consolas" w:hAnsi="Consolas"/>
          <w:sz w:val="18"/>
        </w:rPr>
        <w:t xml:space="preserve">        [NEW] --(officer opens/acts)--&gt; [IN_PROGRESS]</w:t>
      </w:r>
      <w:r>
        <w:br/>
      </w:r>
      <w:r>
        <w:rPr>
          <w:rFonts w:ascii="Consolas" w:hAnsi="Consolas"/>
          <w:sz w:val="18"/>
        </w:rPr>
        <w:t xml:space="preserve">          |                                  |</w:t>
      </w:r>
      <w:r>
        <w:br/>
      </w:r>
      <w:r>
        <w:rPr>
          <w:rFonts w:ascii="Consolas" w:hAnsi="Consolas"/>
          <w:sz w:val="18"/>
        </w:rPr>
        <w:t xml:space="preserve">          |                                  v</w:t>
      </w:r>
      <w:r>
        <w:br/>
      </w:r>
      <w:r>
        <w:rPr>
          <w:rFonts w:ascii="Consolas" w:hAnsi="Consolas"/>
          <w:sz w:val="18"/>
        </w:rPr>
        <w:t xml:space="preserve">          |                       [WAITING_ON_STUDENT] &lt;--\</w:t>
      </w:r>
      <w:r>
        <w:br/>
      </w:r>
      <w:r>
        <w:rPr>
          <w:rFonts w:ascii="Consolas" w:hAnsi="Consolas"/>
          <w:sz w:val="18"/>
        </w:rPr>
        <w:t xml:space="preserve">          |                                  |             |</w:t>
      </w:r>
      <w:r>
        <w:br/>
      </w:r>
      <w:r>
        <w:rPr>
          <w:rFonts w:ascii="Consolas" w:hAnsi="Consolas"/>
          <w:sz w:val="18"/>
        </w:rPr>
        <w:t xml:space="preserve">          |                                  |  (student replies via</w:t>
      </w:r>
      <w:r>
        <w:br/>
      </w:r>
      <w:r>
        <w:rPr>
          <w:rFonts w:ascii="Consolas" w:hAnsi="Consolas"/>
          <w:sz w:val="18"/>
        </w:rPr>
        <w:t xml:space="preserve">          |                                  |   a future channel; not</w:t>
      </w:r>
      <w:r>
        <w:br/>
      </w:r>
      <w:r>
        <w:rPr>
          <w:rFonts w:ascii="Consolas" w:hAnsi="Consolas"/>
          <w:sz w:val="18"/>
        </w:rPr>
        <w:t xml:space="preserve">          |                                  |   automated in this build)</w:t>
      </w:r>
      <w:r>
        <w:br/>
      </w:r>
      <w:r>
        <w:rPr>
          <w:rFonts w:ascii="Consolas" w:hAnsi="Consolas"/>
          <w:sz w:val="18"/>
        </w:rPr>
        <w:t xml:space="preserve">          |                                  |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v                                  v</w:t>
      </w:r>
      <w:r>
        <w:br/>
      </w:r>
      <w:r>
        <w:rPr>
          <w:rFonts w:ascii="Consolas" w:hAnsi="Consolas"/>
          <w:sz w:val="18"/>
        </w:rPr>
        <w:t xml:space="preserve">    (any state) -----------------&gt; [RESOLVED] / [CLOSED]  (terminal)</w:t>
      </w:r>
      <w:r>
        <w:br/>
      </w:r>
      <w:r>
        <w:rPr>
          <w:rFonts w:ascii="Consolas" w:hAnsi="Consolas"/>
          <w:sz w:val="18"/>
        </w:rPr>
        <w:t xml:space="preserve">                                              |</w:t>
      </w:r>
      <w:r>
        <w:br/>
      </w:r>
      <w:r>
        <w:rPr>
          <w:rFonts w:ascii="Consolas" w:hAnsi="Consolas"/>
          <w:sz w:val="18"/>
        </w:rPr>
        <w:t xml:space="preserve">                                  (officer reopens: REOPENED event,</w:t>
      </w:r>
      <w:r>
        <w:br/>
      </w:r>
      <w:r>
        <w:rPr>
          <w:rFonts w:ascii="Consolas" w:hAnsi="Consolas"/>
          <w:sz w:val="18"/>
        </w:rPr>
        <w:t xml:space="preserve">                                   resolved_at cleared)</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[IN_PROGRESS]</w:t>
      </w:r>
    </w:p>
    <w:p>
      <w:r>
        <w:rPr>
          <w:i/>
        </w:rPr>
        <w:t>Figure 12. `QueueStatus` state chart. `RESOLVED` and `CLOSED` are the only terminal states (`is_terminal`); every transition, including reopening, is logged as an `InquiryEvent`.</w:t>
      </w:r>
    </w:p>
    <w:p>
      <w:pPr>
        <w:pStyle w:val="Heading2"/>
      </w:pPr>
      <w:r>
        <w:t>4.5 Proposed System Architecture</w:t>
      </w:r>
    </w:p>
    <w:p>
      <w:pPr>
        <w:spacing w:after="0"/>
      </w:pPr>
      <w:r>
        <w:rPr>
          <w:rFonts w:ascii="Consolas" w:hAnsi="Consolas"/>
          <w:sz w:val="18"/>
        </w:rPr>
        <w:t xml:space="preserve">                    UniFlow System Architecture</w:t>
      </w:r>
      <w:r>
        <w:br/>
      </w:r>
      <w:r>
        <w:rPr>
          <w:rFonts w:ascii="Consolas" w:hAnsi="Consolas"/>
          <w:sz w:val="18"/>
        </w:rPr>
        <w:t xml:space="preserve"> </w:t>
      </w:r>
      <w:r>
        <w:br/>
      </w:r>
      <w:r>
        <w:rPr>
          <w:rFonts w:ascii="Consolas" w:hAnsi="Consolas"/>
          <w:sz w:val="18"/>
        </w:rPr>
        <w:t xml:space="preserve">  +------------------+        HTTPS (same-origin in         +----------------------+</w:t>
      </w:r>
      <w:r>
        <w:br/>
      </w:r>
      <w:r>
        <w:rPr>
          <w:rFonts w:ascii="Consolas" w:hAnsi="Consolas"/>
          <w:sz w:val="18"/>
        </w:rPr>
        <w:t xml:space="preserve">  |  React SPA        |&lt;-------production, dev-proxy in------&gt;|  FastAPI (Uvicorn)   |</w:t>
      </w:r>
      <w:r>
        <w:br/>
      </w:r>
      <w:r>
        <w:rPr>
          <w:rFonts w:ascii="Consolas" w:hAnsi="Consolas"/>
          <w:sz w:val="18"/>
        </w:rPr>
        <w:t xml:space="preserve">  |  (Vite build,      |        development)                  |  uniflow/api/         |</w:t>
      </w:r>
      <w:r>
        <w:br/>
      </w:r>
      <w:r>
        <w:rPr>
          <w:rFonts w:ascii="Consolas" w:hAnsi="Consolas"/>
          <w:sz w:val="18"/>
        </w:rPr>
        <w:t xml:space="preserve">  |  TanStack Query,    |                                       +----------------------+</w:t>
      </w:r>
      <w:r>
        <w:br/>
      </w:r>
      <w:r>
        <w:rPr>
          <w:rFonts w:ascii="Consolas" w:hAnsi="Consolas"/>
          <w:sz w:val="18"/>
        </w:rPr>
        <w:t xml:space="preserve">  |  React Router)      |                                       | Domain layer:         |</w:t>
      </w:r>
      <w:r>
        <w:br/>
      </w:r>
      <w:r>
        <w:rPr>
          <w:rFonts w:ascii="Consolas" w:hAnsi="Consolas"/>
          <w:sz w:val="18"/>
        </w:rPr>
        <w:t xml:space="preserve">  +------------------+                                        |  triage, workflow,    |</w:t>
      </w:r>
      <w:r>
        <w:br/>
      </w:r>
      <w:r>
        <w:rPr>
          <w:rFonts w:ascii="Consolas" w:hAnsi="Consolas"/>
          <w:sz w:val="18"/>
        </w:rPr>
        <w:t xml:space="preserve">                                                                 |  review, auth, sla    |</w:t>
      </w:r>
      <w:r>
        <w:br/>
      </w:r>
      <w:r>
        <w:rPr>
          <w:rFonts w:ascii="Consolas" w:hAnsi="Consolas"/>
          <w:sz w:val="18"/>
        </w:rPr>
        <w:t xml:space="preserve">                                                                 +----------------------+</w:t>
      </w:r>
      <w:r>
        <w:br/>
      </w:r>
      <w:r>
        <w:rPr>
          <w:rFonts w:ascii="Consolas" w:hAnsi="Consolas"/>
          <w:sz w:val="18"/>
        </w:rPr>
        <w:t xml:space="preserve">                                                                 | ML inference layer:   |</w:t>
      </w:r>
      <w:r>
        <w:br/>
      </w:r>
      <w:r>
        <w:rPr>
          <w:rFonts w:ascii="Consolas" w:hAnsi="Consolas"/>
          <w:sz w:val="18"/>
        </w:rPr>
        <w:t xml:space="preserve">                                                                 |  shared/dual          |</w:t>
      </w:r>
      <w:r>
        <w:br/>
      </w:r>
      <w:r>
        <w:rPr>
          <w:rFonts w:ascii="Consolas" w:hAnsi="Consolas"/>
          <w:sz w:val="18"/>
        </w:rPr>
        <w:t xml:space="preserve">                                                                 |  transformer,         |</w:t>
      </w:r>
      <w:r>
        <w:br/>
      </w:r>
      <w:r>
        <w:rPr>
          <w:rFonts w:ascii="Consolas" w:hAnsi="Consolas"/>
          <w:sz w:val="18"/>
        </w:rPr>
        <w:t xml:space="preserve">  +------------------+                                          |  calibration, energy  |</w:t>
      </w:r>
      <w:r>
        <w:br/>
      </w:r>
      <w:r>
        <w:rPr>
          <w:rFonts w:ascii="Consolas" w:hAnsi="Consolas"/>
          <w:sz w:val="18"/>
        </w:rPr>
        <w:t xml:space="preserve">  |  IMAP mailbox      |&lt;---poll (email_poll_seconds)---+       |  OOD, Integrated      |</w:t>
      </w:r>
      <w:r>
        <w:br/>
      </w:r>
      <w:r>
        <w:rPr>
          <w:rFonts w:ascii="Consolas" w:hAnsi="Consolas"/>
          <w:sz w:val="18"/>
        </w:rPr>
        <w:t xml:space="preserve">  +------------------+                                   \      |  Gradients            |</w:t>
      </w:r>
      <w:r>
        <w:br/>
      </w:r>
      <w:r>
        <w:rPr>
          <w:rFonts w:ascii="Consolas" w:hAnsi="Consolas"/>
          <w:sz w:val="18"/>
        </w:rPr>
        <w:t xml:space="preserve">                                                            \    +----------------------+</w:t>
      </w:r>
      <w:r>
        <w:br/>
      </w:r>
      <w:r>
        <w:rPr>
          <w:rFonts w:ascii="Consolas" w:hAnsi="Consolas"/>
          <w:sz w:val="18"/>
        </w:rPr>
        <w:t xml:space="preserve">  +------------------+                                      \            |</w:t>
      </w:r>
      <w:r>
        <w:br/>
      </w:r>
      <w:r>
        <w:rPr>
          <w:rFonts w:ascii="Consolas" w:hAnsi="Consolas"/>
          <w:sz w:val="18"/>
        </w:rPr>
        <w:t xml:space="preserve">  |  SMTP relay        |&lt;---drain (outbox_drain_seconds)------\-----------+</w:t>
      </w:r>
      <w:r>
        <w:br/>
      </w:r>
      <w:r>
        <w:rPr>
          <w:rFonts w:ascii="Consolas" w:hAnsi="Consolas"/>
          <w:sz w:val="18"/>
        </w:rPr>
        <w:t xml:space="preserve">  +------------------+                                        \          |</w:t>
      </w:r>
      <w:r>
        <w:br/>
      </w:r>
      <w:r>
        <w:rPr>
          <w:rFonts w:ascii="Consolas" w:hAnsi="Consolas"/>
          <w:sz w:val="18"/>
        </w:rPr>
        <w:t xml:space="preserve">                                                                 \        v</w:t>
      </w:r>
      <w:r>
        <w:br/>
      </w:r>
      <w:r>
        <w:rPr>
          <w:rFonts w:ascii="Consolas" w:hAnsi="Consolas"/>
          <w:sz w:val="18"/>
        </w:rPr>
        <w:t xml:space="preserve">                                    +----------------------+     \  +----------------------+</w:t>
      </w:r>
      <w:r>
        <w:br/>
      </w:r>
      <w:r>
        <w:rPr>
          <w:rFonts w:ascii="Consolas" w:hAnsi="Consolas"/>
          <w:sz w:val="18"/>
        </w:rPr>
        <w:t xml:space="preserve">                                    |  APScheduler           |----+-&gt;|  SQLAlchemy ORM       |</w:t>
      </w:r>
      <w:r>
        <w:br/>
      </w:r>
      <w:r>
        <w:rPr>
          <w:rFonts w:ascii="Consolas" w:hAnsi="Consolas"/>
          <w:sz w:val="18"/>
        </w:rPr>
        <w:t xml:space="preserve">                                    |  (in-process,           |      |  (13 tables)          |</w:t>
      </w:r>
      <w:r>
        <w:br/>
      </w:r>
      <w:r>
        <w:rPr>
          <w:rFonts w:ascii="Consolas" w:hAnsi="Consolas"/>
          <w:sz w:val="18"/>
        </w:rPr>
        <w:t xml:space="preserve">                                    |  DB-backed job locks,   |      +----------------------+</w:t>
      </w:r>
      <w:r>
        <w:br/>
      </w:r>
      <w:r>
        <w:rPr>
          <w:rFonts w:ascii="Consolas" w:hAnsi="Consolas"/>
          <w:sz w:val="18"/>
        </w:rPr>
        <w:t xml:space="preserve">                                    |  max_instances=1)        |               |</w:t>
      </w:r>
      <w:r>
        <w:br/>
      </w:r>
      <w:r>
        <w:rPr>
          <w:rFonts w:ascii="Consolas" w:hAnsi="Consolas"/>
          <w:sz w:val="18"/>
        </w:rPr>
        <w:t xml:space="preserve">                                    +----------------------+               v</w:t>
      </w:r>
      <w:r>
        <w:br/>
      </w:r>
      <w:r>
        <w:rPr>
          <w:rFonts w:ascii="Consolas" w:hAnsi="Consolas"/>
          <w:sz w:val="18"/>
        </w:rPr>
        <w:t xml:space="preserve">                                                                    +----------------------+</w:t>
      </w:r>
      <w:r>
        <w:br/>
      </w:r>
      <w:r>
        <w:rPr>
          <w:rFonts w:ascii="Consolas" w:hAnsi="Consolas"/>
          <w:sz w:val="18"/>
        </w:rPr>
        <w:t xml:space="preserve">                                                                    |  PostgreSQL            |</w:t>
      </w:r>
      <w:r>
        <w:br/>
      </w:r>
      <w:r>
        <w:rPr>
          <w:rFonts w:ascii="Consolas" w:hAnsi="Consolas"/>
          <w:sz w:val="18"/>
        </w:rPr>
        <w:t xml:space="preserve">                                                                    +----------------------+</w:t>
      </w:r>
    </w:p>
    <w:p>
      <w:r>
        <w:rPr>
          <w:i/>
        </w:rPr>
        <w:t>Figure 13. System architecture. There is one deployable service (FastAPI serving both the API and the built React bundle via `StaticFiles`), one database, and no message broker — the scheduler runs in-process and coordinates across API workers using a database-backed advisory lock rather than a separate queue, consistent with the minimal-infrastructure decision explained in Chapter 05.</w:t>
      </w:r>
    </w:p>
    <w:p>
      <w:pPr>
        <w:pStyle w:val="Heading2"/>
      </w:pPr>
      <w:r>
        <w:t>4.6 Functional and Non-Functional Requirements</w:t>
      </w:r>
    </w:p>
    <w:p>
      <w:pPr>
        <w:pStyle w:val="Heading3"/>
      </w:pPr>
      <w:r>
        <w:t>Functional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FR-1</w:t>
            </w:r>
          </w:p>
        </w:tc>
        <w:tc>
          <w:tcPr>
            <w:tcW w:type="dxa" w:w="4320"/>
          </w:tcPr>
          <w:p>
            <w:r>
              <w:t>The system shall accept a new inquiry through a web form (administrator only) or an automated email poller, producing exactly one `Inquiry` row per genuine message.</w:t>
            </w:r>
          </w:p>
        </w:tc>
      </w:tr>
      <w:tr>
        <w:tc>
          <w:tcPr>
            <w:tcW w:type="dxa" w:w="4320"/>
          </w:tcPr>
          <w:p>
            <w:r>
              <w:t>FR-2</w:t>
            </w:r>
          </w:p>
        </w:tc>
        <w:tc>
          <w:tcPr>
            <w:tcW w:type="dxa" w:w="4320"/>
          </w:tcPr>
          <w:p>
            <w:r>
              <w:t>The system shall classify each inquiry's category and urgency using a shared-or-dual transformer, and shall calibrate both confidence scores using temperature scaling before they are used in any routing decision.</w:t>
            </w:r>
          </w:p>
        </w:tc>
      </w:tr>
      <w:tr>
        <w:tc>
          <w:tcPr>
            <w:tcW w:type="dxa" w:w="4320"/>
          </w:tcPr>
          <w:p>
            <w:r>
              <w:t>FR-3</w:t>
            </w:r>
          </w:p>
        </w:tc>
        <w:tc>
          <w:tcPr>
            <w:tcW w:type="dxa" w:w="4320"/>
          </w:tcPr>
          <w:p>
            <w:r>
              <w:t>The system shall auto-route an inquiry to its predicted department only when the calibrated category confidence is at or above the active policy's τ threshold and the energy-based out-of-distribution score does not flag the inquiry as unfamiliar; otherwise it shall place the inquiry in the shared Triage department.</w:t>
            </w:r>
          </w:p>
        </w:tc>
      </w:tr>
      <w:tr>
        <w:tc>
          <w:tcPr>
            <w:tcW w:type="dxa" w:w="4320"/>
          </w:tcPr>
          <w:p>
            <w:r>
              <w:t>FR-4</w:t>
            </w:r>
          </w:p>
        </w:tc>
        <w:tc>
          <w:tcPr>
            <w:tcW w:type="dxa" w:w="4320"/>
          </w:tcPr>
          <w:p>
            <w:r>
              <w:t>The system shall compute a service-level deadline (`sla_due_at`) for every inquiry from its predicted urgency and the destination department's `SlaPolicy`.</w:t>
            </w:r>
          </w:p>
        </w:tc>
      </w:tr>
      <w:tr>
        <w:tc>
          <w:tcPr>
            <w:tcW w:type="dxa" w:w="4320"/>
          </w:tcPr>
          <w:p>
            <w:r>
              <w:t>FR-5</w:t>
            </w:r>
          </w:p>
        </w:tc>
        <w:tc>
          <w:tcPr>
            <w:tcW w:type="dxa" w:w="4320"/>
          </w:tcPr>
          <w:p>
            <w:r>
              <w:t>The system shall order every department queue and the Triage queue by urgency rank first and soonest deadline second, not by arrival time.</w:t>
            </w:r>
          </w:p>
        </w:tc>
      </w:tr>
      <w:tr>
        <w:tc>
          <w:tcPr>
            <w:tcW w:type="dxa" w:w="4320"/>
          </w:tcPr>
          <w:p>
            <w:r>
              <w:t>FR-6</w:t>
            </w:r>
          </w:p>
        </w:tc>
        <w:tc>
          <w:tcPr>
            <w:tcW w:type="dxa" w:w="4320"/>
          </w:tcPr>
          <w:p>
            <w:r>
              <w:t>The system shall detect duplicate inquiries by exact text hash and by embedding similarity, and shall link a detected duplicate to its original rather than creating an independent ticket.</w:t>
            </w:r>
          </w:p>
        </w:tc>
      </w:tr>
      <w:tr>
        <w:tc>
          <w:tcPr>
            <w:tcW w:type="dxa" w:w="4320"/>
          </w:tcPr>
          <w:p>
            <w:r>
              <w:t>FR-7</w:t>
            </w:r>
          </w:p>
        </w:tc>
        <w:tc>
          <w:tcPr>
            <w:tcW w:type="dxa" w:w="4320"/>
          </w:tcPr>
          <w:p>
            <w:r>
              <w:t>The system shall let an authorized officer or administrator accept or correct a prediction's category and/or urgency, recording the decision as an append-only `ReviewEvent` tied to the specific prediction reviewed.</w:t>
            </w:r>
          </w:p>
        </w:tc>
      </w:tr>
      <w:tr>
        <w:tc>
          <w:tcPr>
            <w:tcW w:type="dxa" w:w="4320"/>
          </w:tcPr>
          <w:p>
            <w:r>
              <w:t>FR-8</w:t>
            </w:r>
          </w:p>
        </w:tc>
        <w:tc>
          <w:tcPr>
            <w:tcW w:type="dxa" w:w="4320"/>
          </w:tcPr>
          <w:p>
            <w:r>
              <w:t>The system shall let an authorized officer or administrator route a Triage inquiry into its correct department, recomputing its deadline from the inquiry's original arrival time rather than the time of routing.</w:t>
            </w:r>
          </w:p>
        </w:tc>
      </w:tr>
      <w:tr>
        <w:tc>
          <w:tcPr>
            <w:tcW w:type="dxa" w:w="4320"/>
          </w:tcPr>
          <w:p>
            <w:r>
              <w:t>FR-9</w:t>
            </w:r>
          </w:p>
        </w:tc>
        <w:tc>
          <w:tcPr>
            <w:tcW w:type="dxa" w:w="4320"/>
          </w:tcPr>
          <w:p>
            <w:r>
              <w:t>The system shall provide a per-token Integrated Gradients explanation for a prediction on request, cached so it is computed once per prediction/task pair.</w:t>
            </w:r>
          </w:p>
        </w:tc>
      </w:tr>
      <w:tr>
        <w:tc>
          <w:tcPr>
            <w:tcW w:type="dxa" w:w="4320"/>
          </w:tcPr>
          <w:p>
            <w:r>
              <w:t>FR-10</w:t>
            </w:r>
          </w:p>
        </w:tc>
        <w:tc>
          <w:tcPr>
            <w:tcW w:type="dxa" w:w="4320"/>
          </w:tcPr>
          <w:p>
            <w:r>
              <w:t>The system shall record every status change, assignment, routing decision, escalation, and resolution of an inquiry as an append-only, timestamped `InquiryEvent`.</w:t>
            </w:r>
          </w:p>
        </w:tc>
      </w:tr>
      <w:tr>
        <w:tc>
          <w:tcPr>
            <w:tcW w:type="dxa" w:w="4320"/>
          </w:tcPr>
          <w:p>
            <w:r>
              <w:t>FR-11</w:t>
            </w:r>
          </w:p>
        </w:tc>
        <w:tc>
          <w:tcPr>
            <w:tcW w:type="dxa" w:w="4320"/>
          </w:tcPr>
          <w:p>
            <w:r>
              <w:t>The email-intake job shall discard messages from recognized automated/no-reply senders before they are classified, and shall not process a message whose `Message-ID` has already been ingested.</w:t>
            </w:r>
          </w:p>
        </w:tc>
      </w:tr>
      <w:tr>
        <w:tc>
          <w:tcPr>
            <w:tcW w:type="dxa" w:w="4320"/>
          </w:tcPr>
          <w:p>
            <w:r>
              <w:t>FR-12</w:t>
            </w:r>
          </w:p>
        </w:tc>
        <w:tc>
          <w:tcPr>
            <w:tcW w:type="dxa" w:w="4320"/>
          </w:tcPr>
          <w:p>
            <w:r>
              <w:t>A background job shall escalate any unresolved, unescalated inquiry once its deadline has passed.</w:t>
            </w:r>
          </w:p>
        </w:tc>
      </w:tr>
      <w:tr>
        <w:tc>
          <w:tcPr>
            <w:tcW w:type="dxa" w:w="4320"/>
          </w:tcPr>
          <w:p>
            <w:r>
              <w:t>FR-13</w:t>
            </w:r>
          </w:p>
        </w:tc>
        <w:tc>
          <w:tcPr>
            <w:tcW w:type="dxa" w:w="4320"/>
          </w:tcPr>
          <w:p>
            <w:r>
              <w:t>The system shall restrict what an authenticated user can read and act on to their own department plus the shared Triage department, unless their role is administrator.</w:t>
            </w:r>
          </w:p>
        </w:tc>
      </w:tr>
      <w:tr>
        <w:tc>
          <w:tcPr>
            <w:tcW w:type="dxa" w:w="4320"/>
          </w:tcPr>
          <w:p>
            <w:r>
              <w:t>FR-14</w:t>
            </w:r>
          </w:p>
        </w:tc>
        <w:tc>
          <w:tcPr>
            <w:tcW w:type="dxa" w:w="4320"/>
          </w:tcPr>
          <w:p>
            <w:r>
              <w:t>The system shall let an administrator promote a `ModelVersion` or activate a `RoutingPolicy`, and shall enforce that at most one version per model slot and at most one policy are active at a time.</w:t>
            </w:r>
          </w:p>
        </w:tc>
      </w:tr>
      <w:tr>
        <w:tc>
          <w:tcPr>
            <w:tcW w:type="dxa" w:w="4320"/>
          </w:tcPr>
          <w:p>
            <w:r>
              <w:t>FR-15</w:t>
            </w:r>
          </w:p>
        </w:tc>
        <w:tc>
          <w:tcPr>
            <w:tcW w:type="dxa" w:w="4320"/>
          </w:tcPr>
          <w:p>
            <w:r>
              <w:t>The system shall issue a short-lived access token and a longer-lived, single-use, rotating refresh token on login, and shall revoke a session immediately on logout or on a refresh-token mismatch.</w:t>
            </w:r>
          </w:p>
        </w:tc>
      </w:tr>
    </w:tbl>
    <w:p/>
    <w:p>
      <w:pPr>
        <w:pStyle w:val="Heading3"/>
      </w:pPr>
      <w:r>
        <w:t>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How it is satisfied</w:t>
            </w:r>
          </w:p>
        </w:tc>
      </w:tr>
      <w:tr>
        <w:tc>
          <w:tcPr>
            <w:tcW w:type="dxa" w:w="2880"/>
          </w:tcPr>
          <w:p>
            <w:r>
              <w:t>NFR-1</w:t>
            </w:r>
          </w:p>
        </w:tc>
        <w:tc>
          <w:tcPr>
            <w:tcW w:type="dxa" w:w="2880"/>
          </w:tcPr>
          <w:p>
            <w:r>
              <w:t>Security — credentials at rest</w:t>
            </w:r>
          </w:p>
        </w:tc>
        <w:tc>
          <w:tcPr>
            <w:tcW w:type="dxa" w:w="2880"/>
          </w:tcPr>
          <w:p>
            <w:r>
              <w:t>Passwords are hashed with Argon2id; a legacy PBKDF2-HMAC-SHA256 hash is verified transparently and rehashed to Argon2id on next successful login.</w:t>
            </w:r>
          </w:p>
        </w:tc>
      </w:tr>
      <w:tr>
        <w:tc>
          <w:tcPr>
            <w:tcW w:type="dxa" w:w="2880"/>
          </w:tcPr>
          <w:p>
            <w:r>
              <w:t>NFR-2</w:t>
            </w:r>
          </w:p>
        </w:tc>
        <w:tc>
          <w:tcPr>
            <w:tcW w:type="dxa" w:w="2880"/>
          </w:tcPr>
          <w:p>
            <w:r>
              <w:t>Security — access control</w:t>
            </w:r>
          </w:p>
        </w:tc>
        <w:tc>
          <w:tcPr>
            <w:tcW w:type="dxa" w:w="2880"/>
          </w:tcPr>
          <w:p>
            <w:r>
              <w:t>Every read and write is scoped by a `Principal`'s visible department set at the query level (a SQL predicate, not a post-hoc filter), enforced identically whether the caller is an officer, viewer, or administrator.</w:t>
            </w:r>
          </w:p>
        </w:tc>
      </w:tr>
      <w:tr>
        <w:tc>
          <w:tcPr>
            <w:tcW w:type="dxa" w:w="2880"/>
          </w:tcPr>
          <w:p>
            <w:r>
              <w:t>NFR-3</w:t>
            </w:r>
          </w:p>
        </w:tc>
        <w:tc>
          <w:tcPr>
            <w:tcW w:type="dxa" w:w="2880"/>
          </w:tcPr>
          <w:p>
            <w:r>
              <w:t>Security — session integrity</w:t>
            </w:r>
          </w:p>
        </w:tc>
        <w:tc>
          <w:tcPr>
            <w:tcW w:type="dxa" w:w="2880"/>
          </w:tcPr>
          <w:p>
            <w:r>
              <w:t>Access tokens expire after 15 minutes; refresh tokens are single-use and rotate on every refresh; a refresh-token secret mismatch revokes the session immediately as a theft signal; five consecutive failed logins lock an account for 15 minutes.</w:t>
            </w:r>
          </w:p>
        </w:tc>
      </w:tr>
      <w:tr>
        <w:tc>
          <w:tcPr>
            <w:tcW w:type="dxa" w:w="2880"/>
          </w:tcPr>
          <w:p>
            <w:r>
              <w:t>NFR-4</w:t>
            </w:r>
          </w:p>
        </w:tc>
        <w:tc>
          <w:tcPr>
            <w:tcW w:type="dxa" w:w="2880"/>
          </w:tcPr>
          <w:p>
            <w:r>
              <w:t>Reliability — unattended jobs</w:t>
            </w:r>
          </w:p>
        </w:tc>
        <w:tc>
          <w:tcPr>
            <w:tcW w:type="dxa" w:w="2880"/>
          </w:tcPr>
          <w:p>
            <w:r>
              <w:t>The SLA sweep, outbox drain, email intake, and retention jobs each acquire a database-backed lock before running, so multiple API worker processes never execute the same job concurrently.</w:t>
            </w:r>
          </w:p>
        </w:tc>
      </w:tr>
      <w:tr>
        <w:tc>
          <w:tcPr>
            <w:tcW w:type="dxa" w:w="2880"/>
          </w:tcPr>
          <w:p>
            <w:r>
              <w:t>NFR-5</w:t>
            </w:r>
          </w:p>
        </w:tc>
        <w:tc>
          <w:tcPr>
            <w:tcW w:type="dxa" w:w="2880"/>
          </w:tcPr>
          <w:p>
            <w:r>
              <w:t>Concurrency — safe concurrent edits</w:t>
            </w:r>
          </w:p>
        </w:tc>
        <w:tc>
          <w:tcPr>
            <w:tcW w:type="dxa" w:w="2880"/>
          </w:tcPr>
          <w:p>
            <w:r>
              <w:t>Every mutating request on an inquiry is conditioned on an `expected_version`; a stale write is rejected with HTTP 409 rather than silently overwritten, so two officers acting on the same Triage ticket cannot lose each other's changes.</w:t>
            </w:r>
          </w:p>
        </w:tc>
      </w:tr>
      <w:tr>
        <w:tc>
          <w:tcPr>
            <w:tcW w:type="dxa" w:w="2880"/>
          </w:tcPr>
          <w:p>
            <w:r>
              <w:t>NFR-6</w:t>
            </w:r>
          </w:p>
        </w:tc>
        <w:tc>
          <w:tcPr>
            <w:tcW w:type="dxa" w:w="2880"/>
          </w:tcPr>
          <w:p>
            <w:r>
              <w:t>Auditability</w:t>
            </w:r>
          </w:p>
        </w:tc>
        <w:tc>
          <w:tcPr>
            <w:tcW w:type="dxa" w:w="2880"/>
          </w:tcPr>
          <w:p>
            <w:r>
              <w:t>Every state-changing action, human or automated, is recorded as an append-only `InquiryEvent`, and every accept/correct decision as an append-only `ReviewEvent`; neither table supports in-place update of a past entry.</w:t>
            </w:r>
          </w:p>
        </w:tc>
      </w:tr>
      <w:tr>
        <w:tc>
          <w:tcPr>
            <w:tcW w:type="dxa" w:w="2880"/>
          </w:tcPr>
          <w:p>
            <w:r>
              <w:t>NFR-7</w:t>
            </w:r>
          </w:p>
        </w:tc>
        <w:tc>
          <w:tcPr>
            <w:tcW w:type="dxa" w:w="2880"/>
          </w:tcPr>
          <w:p>
            <w:r>
              <w:t>Trustworthy automation</w:t>
            </w:r>
          </w:p>
        </w:tc>
        <w:tc>
          <w:tcPr>
            <w:tcW w:type="dxa" w:w="2880"/>
          </w:tcPr>
          <w:p>
            <w:r>
              <w:t>An inquiry is only ever auto-routed when both a calibrated-confidence check and an out-of-distribution check pass; the calibration and detection methods and their evaluated performance are reported in Chapters 02 and 06 respectively, not asserted without evidence.</w:t>
            </w:r>
          </w:p>
        </w:tc>
      </w:tr>
      <w:tr>
        <w:tc>
          <w:tcPr>
            <w:tcW w:type="dxa" w:w="2880"/>
          </w:tcPr>
          <w:p>
            <w:r>
              <w:t>NFR-8</w:t>
            </w:r>
          </w:p>
        </w:tc>
        <w:tc>
          <w:tcPr>
            <w:tcW w:type="dxa" w:w="2880"/>
          </w:tcPr>
          <w:p>
            <w:r>
              <w:t>Data minimization</w:t>
            </w:r>
          </w:p>
        </w:tc>
        <w:tc>
          <w:tcPr>
            <w:tcW w:type="dxa" w:w="2880"/>
          </w:tcPr>
          <w:p>
            <w:r>
              <w:t>An optional retention job redacts personally identifying fields on resolved inquiries past a configurable age, while preserving the row, its predictions, and its audit trail for continued evaluation.</w:t>
            </w:r>
          </w:p>
        </w:tc>
      </w:tr>
      <w:tr>
        <w:tc>
          <w:tcPr>
            <w:tcW w:type="dxa" w:w="2880"/>
          </w:tcPr>
          <w:p>
            <w:r>
              <w:t>NFR-9</w:t>
            </w:r>
          </w:p>
        </w:tc>
        <w:tc>
          <w:tcPr>
            <w:tcW w:type="dxa" w:w="2880"/>
          </w:tcPr>
          <w:p>
            <w:r>
              <w:t>Maintainability</w:t>
            </w:r>
          </w:p>
        </w:tc>
        <w:tc>
          <w:tcPr>
            <w:tcW w:type="dxa" w:w="2880"/>
          </w:tcPr>
          <w:p>
            <w:r>
              <w:t>The system is organized into independently testable layers (API routers, domain logic, repositories, ML inference); the frontend consumes a TypeScript client generated from the API's own OpenAPI schema, so a backend contract change is a type error at build time rather than a runtime surprise.</w:t>
            </w:r>
          </w:p>
        </w:tc>
      </w:tr>
      <w:tr>
        <w:tc>
          <w:tcPr>
            <w:tcW w:type="dxa" w:w="2880"/>
          </w:tcPr>
          <w:p>
            <w:r>
              <w:t>NFR-10</w:t>
            </w:r>
          </w:p>
        </w:tc>
        <w:tc>
          <w:tcPr>
            <w:tcW w:type="dxa" w:w="2880"/>
          </w:tcPr>
          <w:p>
            <w:r>
              <w:t>Operability</w:t>
            </w:r>
          </w:p>
        </w:tc>
        <w:tc>
          <w:tcPr>
            <w:tcW w:type="dxa" w:w="2880"/>
          </w:tcPr>
          <w:p>
            <w:r>
              <w:t>The entire system runs as one deployable FastAPI process with an in-process scheduler and no message broker, so it can be operated and reasoned about by a single administrator without separate infrastructure to install or monitor.</w:t>
            </w:r>
          </w:p>
        </w:tc>
      </w:tr>
    </w:tbl>
    <w:p/>
    <w:p>
      <w:pPr>
        <w:pStyle w:val="Heading2"/>
      </w:pPr>
      <w:r>
        <w:t>4.7 Chapter Summary</w:t>
      </w:r>
    </w:p>
    <w:p>
      <w:r>
        <w:t>This chapter specified the implemented system's requirements by describing the system that was actually built rather than restating the interim proposal's plan. Its stakeholders were identified, including a system-actor scheduler and a read-only Viewer role that the interim report did not anticipate; its requirements were shown to be operationalized from literature, carried-forward stakeholder definitions, and lessons discovered during implementation rather than a single upfront gathering exercise; and its structure was presented through a use-case diagram with three detailed specifications, a thirteen-table class diagram, an activity diagram, three sequence diagrams, a state chart, and the system architecture diagram. The resulting functional and non-functional requirements are each traceable to a specific database constraint, API behaviour, or background job rather than stated as an aspiration. The next chapter describes how these requirements were implemented.</w:t>
      </w:r>
    </w:p>
    <w:p>
      <w:r>
        <w:br w:type="page"/>
      </w:r>
    </w:p>
    <w:p>
      <w:pPr>
        <w:pStyle w:val="Heading1"/>
      </w:pPr>
      <w:r>
        <w:t>Chapter 05 — Implementation / Designing</w:t>
      </w:r>
    </w:p>
    <w:p>
      <w:pPr>
        <w:pStyle w:val="Heading2"/>
      </w:pPr>
      <w:r>
        <w:t>5.1 Implementation Approach</w:t>
      </w:r>
    </w:p>
    <w:p>
      <w:r>
        <w:t>This section describes the steps followed in implementing the system specified in Chapter 04: the core routing and explainability algorithms, the request-level workflow they sit inside, the technology choices behind both, and — in Section 5.2 — the specific implementation attempts that carry the research contribution, each shown with the real code that runs in production rather than a simplified illustration of it.</w:t>
      </w:r>
    </w:p>
    <w:p>
      <w:pPr>
        <w:pStyle w:val="Heading3"/>
      </w:pPr>
      <w:r>
        <w:t>5.1.1 Algorithms</w:t>
      </w:r>
    </w:p>
    <w:p>
      <w:r>
        <w:rPr>
          <w:b/>
        </w:rPr>
        <w:t>Algorithm 1 — Calibrated, Selective Routing Decision</w:t>
      </w:r>
      <w:r>
        <w:t xml:space="preserve"> (`uniflow/ml/inference.py:classify_inquiry`)</w:t>
      </w:r>
    </w:p>
    <w:p>
      <w:pPr>
        <w:spacing w:after="0"/>
      </w:pPr>
      <w:r>
        <w:rPr>
          <w:rFonts w:ascii="Consolas" w:hAnsi="Consolas"/>
          <w:sz w:val="18"/>
        </w:rPr>
        <w:t>ALGORITHM ClassifyAndRoute(raw_text, policy)</w:t>
      </w:r>
      <w:r>
        <w:br/>
      </w:r>
      <w:r>
        <w:rPr>
          <w:rFonts w:ascii="Consolas" w:hAnsi="Consolas"/>
          <w:sz w:val="18"/>
        </w:rPr>
        <w:t xml:space="preserve">    cat_logits  &lt;- CategoryEncoder(raw_text)</w:t>
      </w:r>
      <w:r>
        <w:br/>
      </w:r>
      <w:r>
        <w:rPr>
          <w:rFonts w:ascii="Consolas" w:hAnsi="Consolas"/>
          <w:sz w:val="18"/>
        </w:rPr>
        <w:t xml:space="preserve">    urg_logits  &lt;- UrgencyEncoder(raw_text)</w:t>
      </w:r>
      <w:r>
        <w:br/>
      </w:r>
      <w:r>
        <w:rPr>
          <w:rFonts w:ascii="Consolas" w:hAnsi="Consolas"/>
          <w:sz w:val="18"/>
        </w:rPr>
        <w:t xml:space="preserve"> </w:t>
      </w:r>
      <w:r>
        <w:br/>
      </w:r>
      <w:r>
        <w:rPr>
          <w:rFonts w:ascii="Consolas" w:hAnsi="Consolas"/>
          <w:sz w:val="18"/>
        </w:rPr>
        <w:t xml:space="preserve">    // Temperature scaling (Guo et al., 2017): rescale, do not retrain</w:t>
      </w:r>
      <w:r>
        <w:br/>
      </w:r>
      <w:r>
        <w:rPr>
          <w:rFonts w:ascii="Consolas" w:hAnsi="Consolas"/>
          <w:sz w:val="18"/>
        </w:rPr>
        <w:t xml:space="preserve">    cat_probs &lt;- softmax(cat_logits / policy.category_temperature)</w:t>
      </w:r>
      <w:r>
        <w:br/>
      </w:r>
      <w:r>
        <w:rPr>
          <w:rFonts w:ascii="Consolas" w:hAnsi="Consolas"/>
          <w:sz w:val="18"/>
        </w:rPr>
        <w:t xml:space="preserve">    urg_probs &lt;- softmax(urg_logits / policy.urgency_temperature)</w:t>
      </w:r>
      <w:r>
        <w:br/>
      </w:r>
      <w:r>
        <w:rPr>
          <w:rFonts w:ascii="Consolas" w:hAnsi="Consolas"/>
          <w:sz w:val="18"/>
        </w:rPr>
        <w:t xml:space="preserve"> </w:t>
      </w:r>
      <w:r>
        <w:br/>
      </w:r>
      <w:r>
        <w:rPr>
          <w:rFonts w:ascii="Consolas" w:hAnsi="Consolas"/>
          <w:sz w:val="18"/>
        </w:rPr>
        <w:t xml:space="preserve">    category   &lt;- argmax(cat_probs);  confidence &lt;- max(cat_probs)</w:t>
      </w:r>
      <w:r>
        <w:br/>
      </w:r>
      <w:r>
        <w:rPr>
          <w:rFonts w:ascii="Consolas" w:hAnsi="Consolas"/>
          <w:sz w:val="18"/>
        </w:rPr>
        <w:t xml:space="preserve">    urgency    &lt;- argmax(urg_probs)</w:t>
      </w:r>
      <w:r>
        <w:br/>
      </w:r>
      <w:r>
        <w:rPr>
          <w:rFonts w:ascii="Consolas" w:hAnsi="Consolas"/>
          <w:sz w:val="18"/>
        </w:rPr>
        <w:t xml:space="preserve"> </w:t>
      </w:r>
      <w:r>
        <w:br/>
      </w:r>
      <w:r>
        <w:rPr>
          <w:rFonts w:ascii="Consolas" w:hAnsi="Consolas"/>
          <w:sz w:val="18"/>
        </w:rPr>
        <w:t xml:space="preserve">    // Energy-based OOD score (Liu et al., 2020)</w:t>
      </w:r>
      <w:r>
        <w:br/>
      </w:r>
      <w:r>
        <w:rPr>
          <w:rFonts w:ascii="Consolas" w:hAnsi="Consolas"/>
          <w:sz w:val="18"/>
        </w:rPr>
        <w:t xml:space="preserve">    energy &lt;- -T * logsumexp(cat_logits / T)</w:t>
      </w:r>
      <w:r>
        <w:br/>
      </w:r>
      <w:r>
        <w:rPr>
          <w:rFonts w:ascii="Consolas" w:hAnsi="Consolas"/>
          <w:sz w:val="18"/>
        </w:rPr>
        <w:t xml:space="preserve"> </w:t>
      </w:r>
      <w:r>
        <w:br/>
      </w:r>
      <w:r>
        <w:rPr>
          <w:rFonts w:ascii="Consolas" w:hAnsi="Consolas"/>
          <w:sz w:val="18"/>
        </w:rPr>
        <w:t xml:space="preserve">    IF policy.energy_threshold is set AND energy &gt; policy.energy_threshold THEN</w:t>
      </w:r>
      <w:r>
        <w:br/>
      </w:r>
      <w:r>
        <w:rPr>
          <w:rFonts w:ascii="Consolas" w:hAnsi="Consolas"/>
          <w:sz w:val="18"/>
        </w:rPr>
        <w:t xml:space="preserve">        decision &lt;- OUT_OF_SCOPE ; queue &lt;- Triage</w:t>
      </w:r>
      <w:r>
        <w:br/>
      </w:r>
      <w:r>
        <w:rPr>
          <w:rFonts w:ascii="Consolas" w:hAnsi="Consolas"/>
          <w:sz w:val="18"/>
        </w:rPr>
        <w:t xml:space="preserve">    ELSE IF confidence &lt; policy.category_tau THEN</w:t>
      </w:r>
      <w:r>
        <w:br/>
      </w:r>
      <w:r>
        <w:rPr>
          <w:rFonts w:ascii="Consolas" w:hAnsi="Consolas"/>
          <w:sz w:val="18"/>
        </w:rPr>
        <w:t xml:space="preserve">        decision &lt;- TRIAGE ; queue &lt;- Triage</w:t>
      </w:r>
      <w:r>
        <w:br/>
      </w:r>
      <w:r>
        <w:rPr>
          <w:rFonts w:ascii="Consolas" w:hAnsi="Consolas"/>
          <w:sz w:val="18"/>
        </w:rPr>
        <w:t xml:space="preserve">    ELSE</w:t>
      </w:r>
      <w:r>
        <w:br/>
      </w:r>
      <w:r>
        <w:rPr>
          <w:rFonts w:ascii="Consolas" w:hAnsi="Consolas"/>
          <w:sz w:val="18"/>
        </w:rPr>
        <w:t xml:space="preserve">        decision &lt;- AUTO ; queue &lt;- category</w:t>
      </w:r>
      <w:r>
        <w:br/>
      </w:r>
      <w:r>
        <w:rPr>
          <w:rFonts w:ascii="Consolas" w:hAnsi="Consolas"/>
          <w:sz w:val="18"/>
        </w:rPr>
        <w:t xml:space="preserve">    END IF</w:t>
      </w:r>
      <w:r>
        <w:br/>
      </w:r>
      <w:r>
        <w:rPr>
          <w:rFonts w:ascii="Consolas" w:hAnsi="Consolas"/>
          <w:sz w:val="18"/>
        </w:rPr>
        <w:t xml:space="preserve"> </w:t>
      </w:r>
      <w:r>
        <w:br/>
      </w:r>
      <w:r>
        <w:rPr>
          <w:rFonts w:ascii="Consolas" w:hAnsi="Consolas"/>
          <w:sz w:val="18"/>
        </w:rPr>
        <w:t xml:space="preserve">    RETURN (category, urgency, confidence, energy, decision, queue)</w:t>
      </w:r>
      <w:r>
        <w:br/>
      </w:r>
      <w:r>
        <w:rPr>
          <w:rFonts w:ascii="Consolas" w:hAnsi="Consolas"/>
          <w:sz w:val="18"/>
        </w:rPr>
        <w:t>END ALGORITHM</w:t>
      </w:r>
    </w:p>
    <w:p>
      <w:r>
        <w:t xml:space="preserve">This is a direct transcription of the real function; the only change is dropping variable names specific to Python (`cat_id`, `urg_id`) in favour of the mathematical quantities they hold. Two properties of the real implementation are easy to lose in a simplified version and are worth stating explicitly: the OOD check is evaluated </w:t>
      </w:r>
      <w:r>
        <w:rPr>
          <w:i/>
        </w:rPr>
        <w:t>before</w:t>
      </w:r>
      <w:r>
        <w:t xml:space="preserve"> the confidence check, so an inquiry that is both unfamiliar and happens to score a high raw confidence is still sent to Triage rather than auto-routed; and `thresholds` and `calibration` are function arguments, not constants read from disk inside the function, so every prediction row records exactly which `RoutingPolicy` version produced its decision (Chapter 04, Section 4.4.2) — a routing decision from a stale threshold in memory cannot silently appear.</w:t>
      </w:r>
    </w:p>
    <w:p>
      <w:r>
        <w:rPr>
          <w:b/>
        </w:rPr>
        <w:t>Algorithm 2 — Integrated Gradients Attribution</w:t>
      </w:r>
      <w:r>
        <w:t xml:space="preserve"> (`uniflow/ml/explain.py:integrated_gradients`)</w:t>
      </w:r>
    </w:p>
    <w:p>
      <w:pPr>
        <w:spacing w:after="0"/>
      </w:pPr>
      <w:r>
        <w:rPr>
          <w:rFonts w:ascii="Consolas" w:hAnsi="Consolas"/>
          <w:sz w:val="18"/>
        </w:rPr>
        <w:t>ALGORITHM IntegratedGradients(text, model, task, steps = 32)</w:t>
      </w:r>
      <w:r>
        <w:br/>
      </w:r>
      <w:r>
        <w:rPr>
          <w:rFonts w:ascii="Consolas" w:hAnsi="Consolas"/>
          <w:sz w:val="18"/>
        </w:rPr>
        <w:t xml:space="preserve">    ids        &lt;- Tokenize(text)</w:t>
      </w:r>
      <w:r>
        <w:br/>
      </w:r>
      <w:r>
        <w:rPr>
          <w:rFonts w:ascii="Consolas" w:hAnsi="Consolas"/>
          <w:sz w:val="18"/>
        </w:rPr>
        <w:t xml:space="preserve">    e          &lt;- Embed(ids)                     // actual input embedding</w:t>
      </w:r>
      <w:r>
        <w:br/>
      </w:r>
      <w:r>
        <w:rPr>
          <w:rFonts w:ascii="Consolas" w:hAnsi="Consolas"/>
          <w:sz w:val="18"/>
        </w:rPr>
        <w:t xml:space="preserve">    e'         &lt;- Embed(Baseline(ids))            // every ordinary token -&gt; [PAD]</w:t>
      </w:r>
      <w:r>
        <w:br/>
      </w:r>
      <w:r>
        <w:rPr>
          <w:rFonts w:ascii="Consolas" w:hAnsi="Consolas"/>
          <w:sz w:val="18"/>
        </w:rPr>
        <w:t xml:space="preserve">    target     &lt;- argmax(Forward(e))               // explain the predicted class</w:t>
      </w:r>
      <w:r>
        <w:br/>
      </w:r>
      <w:r>
        <w:rPr>
          <w:rFonts w:ascii="Consolas" w:hAnsi="Consolas"/>
          <w:sz w:val="18"/>
        </w:rPr>
        <w:t xml:space="preserve"> </w:t>
      </w:r>
      <w:r>
        <w:br/>
      </w:r>
      <w:r>
        <w:rPr>
          <w:rFonts w:ascii="Consolas" w:hAnsi="Consolas"/>
          <w:sz w:val="18"/>
        </w:rPr>
        <w:t xml:space="preserve">    accumulated &lt;- 0</w:t>
      </w:r>
      <w:r>
        <w:br/>
      </w:r>
      <w:r>
        <w:rPr>
          <w:rFonts w:ascii="Consolas" w:hAnsi="Consolas"/>
          <w:sz w:val="18"/>
        </w:rPr>
        <w:t xml:space="preserve">    FOR k = 1 TO steps</w:t>
      </w:r>
      <w:r>
        <w:br/>
      </w:r>
      <w:r>
        <w:rPr>
          <w:rFonts w:ascii="Consolas" w:hAnsi="Consolas"/>
          <w:sz w:val="18"/>
        </w:rPr>
        <w:t xml:space="preserve">        alpha  &lt;- (k - 0.5) / steps                // Riemann midpoint rule</w:t>
      </w:r>
      <w:r>
        <w:br/>
      </w:r>
      <w:r>
        <w:rPr>
          <w:rFonts w:ascii="Consolas" w:hAnsi="Consolas"/>
          <w:sz w:val="18"/>
        </w:rPr>
        <w:t xml:space="preserve">        point  &lt;- e' + alpha * (e - e')</w:t>
      </w:r>
      <w:r>
        <w:br/>
      </w:r>
      <w:r>
        <w:rPr>
          <w:rFonts w:ascii="Consolas" w:hAnsi="Consolas"/>
          <w:sz w:val="18"/>
        </w:rPr>
        <w:t xml:space="preserve">        grad   &lt;- d Forward(point)[target] / d point</w:t>
      </w:r>
      <w:r>
        <w:br/>
      </w:r>
      <w:r>
        <w:rPr>
          <w:rFonts w:ascii="Consolas" w:hAnsi="Consolas"/>
          <w:sz w:val="18"/>
        </w:rPr>
        <w:t xml:space="preserve">        accumulated &lt;- accumulated + grad</w:t>
      </w:r>
      <w:r>
        <w:br/>
      </w:r>
      <w:r>
        <w:rPr>
          <w:rFonts w:ascii="Consolas" w:hAnsi="Consolas"/>
          <w:sz w:val="18"/>
        </w:rPr>
        <w:t xml:space="preserve">    END FOR</w:t>
      </w:r>
      <w:r>
        <w:br/>
      </w:r>
      <w:r>
        <w:rPr>
          <w:rFonts w:ascii="Consolas" w:hAnsi="Consolas"/>
          <w:sz w:val="18"/>
        </w:rPr>
        <w:t xml:space="preserve"> </w:t>
      </w:r>
      <w:r>
        <w:br/>
      </w:r>
      <w:r>
        <w:rPr>
          <w:rFonts w:ascii="Consolas" w:hAnsi="Consolas"/>
          <w:sz w:val="18"/>
        </w:rPr>
        <w:t xml:space="preserve">    attribution &lt;- SumOverEmbeddingDim((e - e') * accumulated / steps)</w:t>
      </w:r>
      <w:r>
        <w:br/>
      </w:r>
      <w:r>
        <w:rPr>
          <w:rFonts w:ascii="Consolas" w:hAnsi="Consolas"/>
          <w:sz w:val="18"/>
        </w:rPr>
        <w:t xml:space="preserve">    RETURN MergeWordpieces(Tokens(ids), attribution)   // per-token signed score</w:t>
      </w:r>
      <w:r>
        <w:br/>
      </w:r>
      <w:r>
        <w:rPr>
          <w:rFonts w:ascii="Consolas" w:hAnsi="Consolas"/>
          <w:sz w:val="18"/>
        </w:rPr>
        <w:t>END ALGORITHM</w:t>
      </w:r>
    </w:p>
    <w:p>
      <w:r>
        <w:t>Two implementation details matter enough to keep in the pseudocode rather than abstract away. First, the baseline replaces every ordinary token with `[PAD]` but keeps special tokens (`[CLS]`, `[SEP]`) in their original positions, so the interpolated sequence stays structurally valid at every step rather than becoming a sequence of pure padding the model was never trained to score. Second, attribution is computed per sub-word token and then summed back into whole words (`MergeWordpieces`) before it ever reaches the reviewer, because a department officer has no reason to know that a transformer tokenizer split "certificate" into "cert" and "##ificate."</w:t>
      </w:r>
    </w:p>
    <w:p>
      <w:r>
        <w:rPr>
          <w:b/>
        </w:rPr>
        <w:t>Algorithm 3 — Optimistic Concurrency Update</w:t>
      </w:r>
      <w:r>
        <w:t xml:space="preserve"> (`uniflow/domain/workflow.py:_bump`)</w:t>
      </w:r>
    </w:p>
    <w:p>
      <w:pPr>
        <w:spacing w:after="0"/>
      </w:pPr>
      <w:r>
        <w:rPr>
          <w:rFonts w:ascii="Consolas" w:hAnsi="Consolas"/>
          <w:sz w:val="18"/>
        </w:rPr>
        <w:t>ALGORITHM OptimisticUpdate(inquiry_id, expected_version, changes)</w:t>
      </w:r>
      <w:r>
        <w:br/>
      </w:r>
      <w:r>
        <w:rPr>
          <w:rFonts w:ascii="Consolas" w:hAnsi="Consolas"/>
          <w:sz w:val="18"/>
        </w:rPr>
        <w:t xml:space="preserve">    rows &lt;- EXECUTE</w:t>
      </w:r>
      <w:r>
        <w:br/>
      </w:r>
      <w:r>
        <w:rPr>
          <w:rFonts w:ascii="Consolas" w:hAnsi="Consolas"/>
          <w:sz w:val="18"/>
        </w:rPr>
        <w:t xml:space="preserve">        UPDATE inquiries</w:t>
      </w:r>
      <w:r>
        <w:br/>
      </w:r>
      <w:r>
        <w:rPr>
          <w:rFonts w:ascii="Consolas" w:hAnsi="Consolas"/>
          <w:sz w:val="18"/>
        </w:rPr>
        <w:t xml:space="preserve">        SET version = expected_version + 1, changes...</w:t>
      </w:r>
      <w:r>
        <w:br/>
      </w:r>
      <w:r>
        <w:rPr>
          <w:rFonts w:ascii="Consolas" w:hAnsi="Consolas"/>
          <w:sz w:val="18"/>
        </w:rPr>
        <w:t xml:space="preserve">        WHERE id = inquiry_id AND version = expected_version</w:t>
      </w:r>
      <w:r>
        <w:br/>
      </w:r>
      <w:r>
        <w:rPr>
          <w:rFonts w:ascii="Consolas" w:hAnsi="Consolas"/>
          <w:sz w:val="18"/>
        </w:rPr>
        <w:t xml:space="preserve"> </w:t>
      </w:r>
      <w:r>
        <w:br/>
      </w:r>
      <w:r>
        <w:rPr>
          <w:rFonts w:ascii="Consolas" w:hAnsi="Consolas"/>
          <w:sz w:val="18"/>
        </w:rPr>
        <w:t xml:space="preserve">    IF rows = 0 THEN</w:t>
      </w:r>
      <w:r>
        <w:br/>
      </w:r>
      <w:r>
        <w:rPr>
          <w:rFonts w:ascii="Consolas" w:hAnsi="Consolas"/>
          <w:sz w:val="18"/>
        </w:rPr>
        <w:t xml:space="preserve">        RAISE Conflict409(expected_version, ActualVersionOf(inquiry_id))</w:t>
      </w:r>
      <w:r>
        <w:br/>
      </w:r>
      <w:r>
        <w:rPr>
          <w:rFonts w:ascii="Consolas" w:hAnsi="Consolas"/>
          <w:sz w:val="18"/>
        </w:rPr>
        <w:t xml:space="preserve">    END IF</w:t>
      </w:r>
      <w:r>
        <w:br/>
      </w:r>
      <w:r>
        <w:rPr>
          <w:rFonts w:ascii="Consolas" w:hAnsi="Consolas"/>
          <w:sz w:val="18"/>
        </w:rPr>
        <w:t xml:space="preserve">    RETURN Success</w:t>
      </w:r>
      <w:r>
        <w:br/>
      </w:r>
      <w:r>
        <w:rPr>
          <w:rFonts w:ascii="Consolas" w:hAnsi="Consolas"/>
          <w:sz w:val="18"/>
        </w:rPr>
        <w:t>END ALGORITHM</w:t>
      </w:r>
    </w:p>
    <w:p>
      <w:r>
        <w:t>The concurrency control is the `WHERE ... AND version = expected_version` clause and nothing else — there is no separate read-then-compare step that could itself race. If two officers submit conflicting updates to the same ticket, the database guarantees exactly one `UPDATE` matches a row and the other returns `rowcount = 0`, which is what `_bump` turns into the HTTP 409 response described in Chapter 04 (NFR-5).</w:t>
      </w:r>
    </w:p>
    <w:p>
      <w:pPr>
        <w:pStyle w:val="Heading3"/>
      </w:pPr>
      <w:r>
        <w:t>5.1.2 Workflow as a Block Diagram Series</w:t>
      </w:r>
    </w:p>
    <w:p>
      <w:r>
        <w:t>The single end-to-end pipeline shown in Chapter 01 (Figure 1) is broken out here into the four sequential blocks it is actually implemented as, since each block is a separately testable unit with its own module boundary.</w:t>
      </w:r>
    </w:p>
    <w:p>
      <w:pPr>
        <w:spacing w:after="0"/>
      </w:pPr>
      <w:r>
        <w:rPr>
          <w:rFonts w:ascii="Consolas" w:hAnsi="Consolas"/>
          <w:sz w:val="18"/>
        </w:rPr>
        <w:t>Block 1: Intake                    Block 2: Classify &amp; Calibrate</w:t>
      </w:r>
      <w:r>
        <w:br/>
      </w:r>
      <w:r>
        <w:rPr>
          <w:rFonts w:ascii="Consolas" w:hAnsi="Consolas"/>
          <w:sz w:val="18"/>
        </w:rPr>
        <w:t>+----------------------+            +---------------------------+</w:t>
      </w:r>
      <w:r>
        <w:br/>
      </w:r>
      <w:r>
        <w:rPr>
          <w:rFonts w:ascii="Consolas" w:hAnsi="Consolas"/>
          <w:sz w:val="18"/>
        </w:rPr>
        <w:t>| triage.submit()        |          | inference.classify_inquiry |</w:t>
      </w:r>
      <w:r>
        <w:br/>
      </w:r>
      <w:r>
        <w:rPr>
          <w:rFonts w:ascii="Consolas" w:hAnsi="Consolas"/>
          <w:sz w:val="18"/>
        </w:rPr>
        <w:t>| - validate non-empty   | -------&gt; | - get_logits (category,    |</w:t>
      </w:r>
      <w:r>
        <w:br/>
      </w:r>
      <w:r>
        <w:rPr>
          <w:rFonts w:ascii="Consolas" w:hAnsi="Consolas"/>
          <w:sz w:val="18"/>
        </w:rPr>
        <w:t>| - dedupe check          |          |   urgency)                 |</w:t>
      </w:r>
      <w:r>
        <w:br/>
      </w:r>
      <w:r>
        <w:rPr>
          <w:rFonts w:ascii="Consolas" w:hAnsi="Consolas"/>
          <w:sz w:val="18"/>
        </w:rPr>
        <w:t>| - load active policy    |          | - calibrated_probs (T)     |</w:t>
      </w:r>
      <w:r>
        <w:br/>
      </w:r>
      <w:r>
        <w:rPr>
          <w:rFonts w:ascii="Consolas" w:hAnsi="Consolas"/>
          <w:sz w:val="18"/>
        </w:rPr>
        <w:t>+----------------------+            | - energy_score             |</w:t>
      </w:r>
      <w:r>
        <w:br/>
      </w:r>
      <w:r>
        <w:rPr>
          <w:rFonts w:ascii="Consolas" w:hAnsi="Consolas"/>
          <w:sz w:val="18"/>
        </w:rPr>
        <w:t xml:space="preserve">                                      | -&gt; decision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Block 4: Persist &amp; Notify           Block 3: Route</w:t>
      </w:r>
      <w:r>
        <w:br/>
      </w:r>
      <w:r>
        <w:rPr>
          <w:rFonts w:ascii="Consolas" w:hAnsi="Consolas"/>
          <w:sz w:val="18"/>
        </w:rPr>
        <w:t>+----------------------+            +---------------------------+</w:t>
      </w:r>
      <w:r>
        <w:br/>
      </w:r>
      <w:r>
        <w:rPr>
          <w:rFonts w:ascii="Consolas" w:hAnsi="Consolas"/>
          <w:sz w:val="18"/>
        </w:rPr>
        <w:t>| - INSERT Inquiry,       | &lt;------- | _department_for(label,    |</w:t>
      </w:r>
      <w:r>
        <w:br/>
      </w:r>
      <w:r>
        <w:rPr>
          <w:rFonts w:ascii="Consolas" w:hAnsi="Consolas"/>
          <w:sz w:val="18"/>
        </w:rPr>
        <w:t>|   Prediction,           |          |   decision)                |</w:t>
      </w:r>
      <w:r>
        <w:br/>
      </w:r>
      <w:r>
        <w:rPr>
          <w:rFonts w:ascii="Consolas" w:hAnsi="Consolas"/>
          <w:sz w:val="18"/>
        </w:rPr>
        <w:t>|   InquiryEmbedding,     |          | - AUTO -&gt; predicted dept    |</w:t>
      </w:r>
      <w:r>
        <w:br/>
      </w:r>
      <w:r>
        <w:rPr>
          <w:rFonts w:ascii="Consolas" w:hAnsi="Consolas"/>
          <w:sz w:val="18"/>
        </w:rPr>
        <w:t>|   InquiryEvent          |          | - else  -&gt; Triage dept      |</w:t>
      </w:r>
      <w:r>
        <w:br/>
      </w:r>
      <w:r>
        <w:rPr>
          <w:rFonts w:ascii="Consolas" w:hAnsi="Consolas"/>
          <w:sz w:val="18"/>
        </w:rPr>
        <w:t>| - queue OutboundMessage |          +---------------------------+</w:t>
      </w:r>
      <w:r>
        <w:br/>
      </w:r>
      <w:r>
        <w:rPr>
          <w:rFonts w:ascii="Consolas" w:hAnsi="Consolas"/>
          <w:sz w:val="18"/>
        </w:rPr>
        <w:t>|   (if send_ack)         |</w:t>
      </w:r>
      <w:r>
        <w:br/>
      </w:r>
      <w:r>
        <w:rPr>
          <w:rFonts w:ascii="Consolas" w:hAnsi="Consolas"/>
          <w:sz w:val="18"/>
        </w:rPr>
        <w:t>+----------------------+</w:t>
      </w:r>
    </w:p>
    <w:p>
      <w:r>
        <w:rPr>
          <w:i/>
        </w:rPr>
        <w:t>Figure 14. The intake pipeline as four blocks, matching the module boundaries in `uniflow/domain/triage.py` and `uniflow/ml/inference.py` — this is the same pipeline as Chapter 01's Figure 1, redrawn at the granularity the code is actually organized at.</w:t>
      </w:r>
    </w:p>
    <w:p>
      <w:pPr>
        <w:pStyle w:val="Heading3"/>
      </w:pPr>
      <w:r>
        <w:t>5.1.3 Technology Selection</w:t>
      </w:r>
    </w:p>
    <w:p>
      <w:r>
        <w:t>#### 5.1.3.1 Programming Language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Language</w:t>
            </w:r>
          </w:p>
        </w:tc>
        <w:tc>
          <w:tcPr>
            <w:tcW w:type="dxa" w:w="2880"/>
          </w:tcPr>
          <w:p>
            <w:r>
              <w:rPr>
                <w:b/>
              </w:rPr>
              <w:t>Used For</w:t>
            </w:r>
          </w:p>
        </w:tc>
        <w:tc>
          <w:tcPr>
            <w:tcW w:type="dxa" w:w="2880"/>
          </w:tcPr>
          <w:p>
            <w:r>
              <w:rPr>
                <w:b/>
              </w:rPr>
              <w:t>Justification</w:t>
            </w:r>
          </w:p>
        </w:tc>
      </w:tr>
      <w:tr>
        <w:tc>
          <w:tcPr>
            <w:tcW w:type="dxa" w:w="2880"/>
          </w:tcPr>
          <w:p>
            <w:r>
              <w:t>Python 3.13</w:t>
            </w:r>
          </w:p>
        </w:tc>
        <w:tc>
          <w:tcPr>
            <w:tcW w:type="dxa" w:w="2880"/>
          </w:tcPr>
          <w:p>
            <w:r>
              <w:t>Backend API, domain logic, ML inference, evaluation pipeline</w:t>
            </w:r>
          </w:p>
        </w:tc>
        <w:tc>
          <w:tcPr>
            <w:tcW w:type="dxa" w:w="2880"/>
          </w:tcPr>
          <w:p>
            <w:r>
              <w:t>One language across the classifier, the calibration/OOD/explainability layer, and the service that serves them avoids a serialization boundary between "the model" and "the system using it" — `classify_inquiry` runs in the same process as the API request that calls it.</w:t>
            </w:r>
          </w:p>
        </w:tc>
      </w:tr>
      <w:tr>
        <w:tc>
          <w:tcPr>
            <w:tcW w:type="dxa" w:w="2880"/>
          </w:tcPr>
          <w:p>
            <w:r>
              <w:t>TypeScript ~6</w:t>
            </w:r>
          </w:p>
        </w:tc>
        <w:tc>
          <w:tcPr>
            <w:tcW w:type="dxa" w:w="2880"/>
          </w:tcPr>
          <w:p>
            <w:r>
              <w:t>Frontend dashboard</w:t>
            </w:r>
          </w:p>
        </w:tc>
        <w:tc>
          <w:tcPr>
            <w:tcW w:type="dxa" w:w="2880"/>
          </w:tcPr>
          <w:p>
            <w:r>
              <w:t>Static typing catches a mismatch between the frontend and the API contract at build time; paired with a client generated from the API's own OpenAPI schema (Section 5.1.3.3), a renamed or retyped backend field becomes a compiler error in the frontend rather than a runtime bug discovered by a department officer.</w:t>
            </w:r>
          </w:p>
        </w:tc>
      </w:tr>
    </w:tbl>
    <w:p/>
    <w:p>
      <w:r>
        <w:t>#### 5.1.3.2 Libraries Used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Library</w:t>
            </w:r>
          </w:p>
        </w:tc>
        <w:tc>
          <w:tcPr>
            <w:tcW w:type="dxa" w:w="2880"/>
          </w:tcPr>
          <w:p>
            <w:r>
              <w:rPr>
                <w:b/>
              </w:rPr>
              <w:t>Role</w:t>
            </w:r>
          </w:p>
        </w:tc>
        <w:tc>
          <w:tcPr>
            <w:tcW w:type="dxa" w:w="2880"/>
          </w:tcPr>
          <w:p>
            <w:r>
              <w:rPr>
                <w:b/>
              </w:rPr>
              <w:t>Justification</w:t>
            </w:r>
          </w:p>
        </w:tc>
      </w:tr>
      <w:tr>
        <w:tc>
          <w:tcPr>
            <w:tcW w:type="dxa" w:w="2880"/>
          </w:tcPr>
          <w:p>
            <w:r>
              <w:t>PyTorch, Transformers</w:t>
            </w:r>
          </w:p>
        </w:tc>
        <w:tc>
          <w:tcPr>
            <w:tcW w:type="dxa" w:w="2880"/>
          </w:tcPr>
          <w:p>
            <w:r>
              <w:t>Model loading and inference</w:t>
            </w:r>
          </w:p>
        </w:tc>
        <w:tc>
          <w:tcPr>
            <w:tcW w:type="dxa" w:w="2880"/>
          </w:tcPr>
          <w:p>
            <w:r>
              <w:t>Required for the fine-tuned DistilBERT/BERT-family classifiers and for computing gradients directly, which Integrated Gradients needs.</w:t>
            </w:r>
          </w:p>
        </w:tc>
      </w:tr>
      <w:tr>
        <w:tc>
          <w:tcPr>
            <w:tcW w:type="dxa" w:w="2880"/>
          </w:tcPr>
          <w:p>
            <w:r>
              <w:t>scikit-learn, SciPy</w:t>
            </w:r>
          </w:p>
        </w:tc>
        <w:tc>
          <w:tcPr>
            <w:tcW w:type="dxa" w:w="2880"/>
          </w:tcPr>
          <w:p>
            <w:r>
              <w:t>Baseline classifiers, McNemar's test, bootstrap CIs</w:t>
            </w:r>
          </w:p>
        </w:tc>
        <w:tc>
          <w:tcPr>
            <w:tcW w:type="dxa" w:w="2880"/>
          </w:tcPr>
          <w:p>
            <w:r>
              <w:t>Provides the interpretable baseline models the transformer is compared against and the significance-testing primitives Chapter 06 relies on.</w:t>
            </w:r>
          </w:p>
        </w:tc>
      </w:tr>
      <w:tr>
        <w:tc>
          <w:tcPr>
            <w:tcW w:type="dxa" w:w="2880"/>
          </w:tcPr>
          <w:p>
            <w:r>
              <w:t>Matplotlib</w:t>
            </w:r>
          </w:p>
        </w:tc>
        <w:tc>
          <w:tcPr>
            <w:tcW w:type="dxa" w:w="2880"/>
          </w:tcPr>
          <w:p>
            <w:r>
              <w:t>Evaluation figures</w:t>
            </w:r>
          </w:p>
        </w:tc>
        <w:tc>
          <w:tcPr>
            <w:tcW w:type="dxa" w:w="2880"/>
          </w:tcPr>
          <w:p>
            <w:r>
              <w:t>Renders confusion matrices, reliability diagrams, and risk-coverage curves as static images suitable for the thesis and the evaluation report.</w:t>
            </w:r>
          </w:p>
        </w:tc>
      </w:tr>
      <w:tr>
        <w:tc>
          <w:tcPr>
            <w:tcW w:type="dxa" w:w="2880"/>
          </w:tcPr>
          <w:p>
            <w:r>
              <w:t>Pandas, NumPy</w:t>
            </w:r>
          </w:p>
        </w:tc>
        <w:tc>
          <w:tcPr>
            <w:tcW w:type="dxa" w:w="2880"/>
          </w:tcPr>
          <w:p>
            <w:r>
              <w:t>Dataset loading and manipulation</w:t>
            </w:r>
          </w:p>
        </w:tc>
        <w:tc>
          <w:tcPr>
            <w:tcW w:type="dxa" w:w="2880"/>
          </w:tcPr>
          <w:p>
            <w:r>
              <w:t>Handles the CSV-based corpus (Chapter 03) and vectorised metric computation.</w:t>
            </w:r>
          </w:p>
        </w:tc>
      </w:tr>
      <w:tr>
        <w:tc>
          <w:tcPr>
            <w:tcW w:type="dxa" w:w="2880"/>
          </w:tcPr>
          <w:p>
            <w:r>
              <w:t>FastAPI, Uvicorn</w:t>
            </w:r>
          </w:p>
        </w:tc>
        <w:tc>
          <w:tcPr>
            <w:tcW w:type="dxa" w:w="2880"/>
          </w:tcPr>
          <w:p>
            <w:r>
              <w:t>HTTP API</w:t>
            </w:r>
          </w:p>
        </w:tc>
        <w:tc>
          <w:tcPr>
            <w:tcW w:type="dxa" w:w="2880"/>
          </w:tcPr>
          <w:p>
            <w:r>
              <w:t>See Section 5.1.3.3.</w:t>
            </w:r>
          </w:p>
        </w:tc>
      </w:tr>
      <w:tr>
        <w:tc>
          <w:tcPr>
            <w:tcW w:type="dxa" w:w="2880"/>
          </w:tcPr>
          <w:p>
            <w:r>
              <w:t>SQLAlchemy 2.0, psycopg</w:t>
            </w:r>
          </w:p>
        </w:tc>
        <w:tc>
          <w:tcPr>
            <w:tcW w:type="dxa" w:w="2880"/>
          </w:tcPr>
          <w:p>
            <w:r>
              <w:t>ORM and PostgreSQL driver</w:t>
            </w:r>
          </w:p>
        </w:tc>
        <w:tc>
          <w:tcPr>
            <w:tcW w:type="dxa" w:w="2880"/>
          </w:tcPr>
          <w:p>
            <w:r>
              <w:t>A typed, declarative ORM keeps the 13-table schema (Chapter 04, Figure 7) as Python classes with real relationships rather than hand-written SQL scattered across the codebase; `psycopg` is the maintained PostgreSQL driver for the `postgresql+psycopg://` dialect.</w:t>
            </w:r>
          </w:p>
        </w:tc>
      </w:tr>
      <w:tr>
        <w:tc>
          <w:tcPr>
            <w:tcW w:type="dxa" w:w="2880"/>
          </w:tcPr>
          <w:p>
            <w:r>
              <w:t>Pydantic, pydantic-settings</w:t>
            </w:r>
          </w:p>
        </w:tc>
        <w:tc>
          <w:tcPr>
            <w:tcW w:type="dxa" w:w="2880"/>
          </w:tcPr>
          <w:p>
            <w:r>
              <w:t>Request/response validation, typed configuration</w:t>
            </w:r>
          </w:p>
        </w:tc>
        <w:tc>
          <w:tcPr>
            <w:tcW w:type="dxa" w:w="2880"/>
          </w:tcPr>
          <w:p>
            <w:r>
              <w:t>Every API request and response is a validated schema, and every environment-variable-driven setting (Chapter 01, Table 1.9.2) is a typed field with a documented default rather than an untyped `os.environ.get`.</w:t>
            </w:r>
          </w:p>
        </w:tc>
      </w:tr>
      <w:tr>
        <w:tc>
          <w:tcPr>
            <w:tcW w:type="dxa" w:w="2880"/>
          </w:tcPr>
          <w:p>
            <w:r>
              <w:t>APScheduler</w:t>
            </w:r>
          </w:p>
        </w:tc>
        <w:tc>
          <w:tcPr>
            <w:tcW w:type="dxa" w:w="2880"/>
          </w:tcPr>
          <w:p>
            <w:r>
              <w:t>In-process background jobs</w:t>
            </w:r>
          </w:p>
        </w:tc>
        <w:tc>
          <w:tcPr>
            <w:tcW w:type="dxa" w:w="2880"/>
          </w:tcPr>
          <w:p>
            <w:r>
              <w:t>Runs the SLA sweep, outbox drain, email intake, and retention jobs without a separate message broker or worker process — a deliberate minimal-infrastructure choice (Chapter 04, NFR-10).</w:t>
            </w:r>
          </w:p>
        </w:tc>
      </w:tr>
      <w:tr>
        <w:tc>
          <w:tcPr>
            <w:tcW w:type="dxa" w:w="2880"/>
          </w:tcPr>
          <w:p>
            <w:r>
              <w:t>argon2-cffi</w:t>
            </w:r>
          </w:p>
        </w:tc>
        <w:tc>
          <w:tcPr>
            <w:tcW w:type="dxa" w:w="2880"/>
          </w:tcPr>
          <w:p>
            <w:r>
              <w:t>Password hashing</w:t>
            </w:r>
          </w:p>
        </w:tc>
        <w:tc>
          <w:tcPr>
            <w:tcW w:type="dxa" w:w="2880"/>
          </w:tcPr>
          <w:p>
            <w:r>
              <w:t>Argon2id is the password-hashing competition winner and the current OWASP recommendation; the legacy PBKDF2 path exists only to verify pre-existing hashes during migration.</w:t>
            </w:r>
          </w:p>
        </w:tc>
      </w:tr>
      <w:tr>
        <w:tc>
          <w:tcPr>
            <w:tcW w:type="dxa" w:w="2880"/>
          </w:tcPr>
          <w:p>
            <w:r>
              <w:t>PyJWT</w:t>
            </w:r>
          </w:p>
        </w:tc>
        <w:tc>
          <w:tcPr>
            <w:tcW w:type="dxa" w:w="2880"/>
          </w:tcPr>
          <w:p>
            <w:r>
              <w:t>Access token issuance/verification</w:t>
            </w:r>
          </w:p>
        </w:tc>
        <w:tc>
          <w:tcPr>
            <w:tcW w:type="dxa" w:w="2880"/>
          </w:tcPr>
          <w:p>
            <w:r>
              <w:t>A minimal, widely-audited JWT implementation for the short-lived access token described in Chapter 04 (NFR-3).</w:t>
            </w:r>
          </w:p>
        </w:tc>
      </w:tr>
      <w:tr>
        <w:tc>
          <w:tcPr>
            <w:tcW w:type="dxa" w:w="2880"/>
          </w:tcPr>
          <w:p>
            <w:r>
              <w:t>TanStack Query</w:t>
            </w:r>
          </w:p>
        </w:tc>
        <w:tc>
          <w:tcPr>
            <w:tcW w:type="dxa" w:w="2880"/>
          </w:tcPr>
          <w:p>
            <w:r>
              <w:t>Frontend server-state caching</w:t>
            </w:r>
          </w:p>
        </w:tc>
        <w:tc>
          <w:tcPr>
            <w:tcW w:type="dxa" w:w="2880"/>
          </w:tcPr>
          <w:p>
            <w:r>
              <w:t>Removes hand-written loading/error/cache-invalidation state from every page component; a mutation (e.g. accepting a review) can declaratively invalidate the queue query that should now show the updated ticket.</w:t>
            </w:r>
          </w:p>
        </w:tc>
      </w:tr>
      <w:tr>
        <w:tc>
          <w:tcPr>
            <w:tcW w:type="dxa" w:w="2880"/>
          </w:tcPr>
          <w:p>
            <w:r>
              <w:t>openapi-typescript / openapi-fetch</w:t>
            </w:r>
          </w:p>
        </w:tc>
        <w:tc>
          <w:tcPr>
            <w:tcW w:type="dxa" w:w="2880"/>
          </w:tcPr>
          <w:p>
            <w:r>
              <w:t>Generated, typed API client</w:t>
            </w:r>
          </w:p>
        </w:tc>
        <w:tc>
          <w:tcPr>
            <w:tcW w:type="dxa" w:w="2880"/>
          </w:tcPr>
          <w:p>
            <w:r>
              <w:t>Generates TypeScript types directly from the backend's own OpenAPI schema (`npm run gen:api`), so the frontend's understanding of the API can never silently drift from what the backend actually returns.</w:t>
            </w:r>
          </w:p>
        </w:tc>
      </w:tr>
      <w:tr>
        <w:tc>
          <w:tcPr>
            <w:tcW w:type="dxa" w:w="2880"/>
          </w:tcPr>
          <w:p>
            <w:r>
              <w:t>React Router</w:t>
            </w:r>
          </w:p>
        </w:tc>
        <w:tc>
          <w:tcPr>
            <w:tcW w:type="dxa" w:w="2880"/>
          </w:tcPr>
          <w:p>
            <w:r>
              <w:t>Client-side routing</w:t>
            </w:r>
          </w:p>
        </w:tc>
        <w:tc>
          <w:tcPr>
            <w:tcW w:type="dxa" w:w="2880"/>
          </w:tcPr>
          <w:p>
            <w:r>
              <w:t>Implements the route table and the `RequireAuth`/`RequireAdmin` guards described in Chapter 04 (Section 4.4.5's frontend counterpart).</w:t>
            </w:r>
          </w:p>
        </w:tc>
      </w:tr>
    </w:tbl>
    <w:p/>
    <w:p>
      <w:r>
        <w:t>#### 5.1.3.3 Backend and Frontend Frameworks</w:t>
      </w:r>
    </w:p>
    <w:tbl>
      <w:tblPr>
        <w:tblStyle w:val="TableGrid"/>
        <w:tblW w:type="auto" w:w="0"/>
        <w:tblLook w:firstColumn="1" w:firstRow="1" w:lastColumn="0" w:lastRow="0" w:noHBand="0" w:noVBand="1" w:val="04A0"/>
      </w:tblPr>
      <w:tblGrid>
        <w:gridCol w:w="4320"/>
        <w:gridCol w:w="4320"/>
      </w:tblGrid>
      <w:tr>
        <w:tc>
          <w:tcPr>
            <w:tcW w:type="dxa" w:w="4320"/>
          </w:tcPr>
          <w:p>
            <w:r>
              <w:rPr>
                <w:b/>
              </w:rPr>
              <w:t>Framework</w:t>
            </w:r>
          </w:p>
        </w:tc>
        <w:tc>
          <w:tcPr>
            <w:tcW w:type="dxa" w:w="4320"/>
          </w:tcPr>
          <w:p>
            <w:r>
              <w:rPr>
                <w:b/>
              </w:rPr>
              <w:t>Justification</w:t>
            </w:r>
          </w:p>
        </w:tc>
      </w:tr>
      <w:tr>
        <w:tc>
          <w:tcPr>
            <w:tcW w:type="dxa" w:w="4320"/>
          </w:tcPr>
          <w:p>
            <w:r>
              <w:t>FastAPI (backend)</w:t>
            </w:r>
          </w:p>
        </w:tc>
        <w:tc>
          <w:tcPr>
            <w:tcW w:type="dxa" w:w="4320"/>
          </w:tcPr>
          <w:p>
            <w:r>
              <w:t>Native async support, automatic OpenAPI schema generation (which the frontend's typed client depends on directly), and Pydantic-based request validation with no separate serialization layer to keep in sync.</w:t>
            </w:r>
          </w:p>
        </w:tc>
      </w:tr>
      <w:tr>
        <w:tc>
          <w:tcPr>
            <w:tcW w:type="dxa" w:w="4320"/>
          </w:tcPr>
          <w:p>
            <w:r>
              <w:t>React + Vite (frontend)</w:t>
            </w:r>
          </w:p>
        </w:tc>
        <w:tc>
          <w:tcPr>
            <w:tcW w:type="dxa" w:w="4320"/>
          </w:tcPr>
          <w:p>
            <w:r>
              <w:t>React's component model suits a dashboard built from many independently reusable pieces (ticket cards, queue tables, chart primitives); Vite's dev server proxy gives the development environment the same same-origin behaviour as the production build (Chapter 01), avoiding a class of CORS-only-in-dev bugs. Chosen deliberately over a meta-framework (e.g. Next.js): the system already has one backend serving one API, so file-based routing and server-side rendering would add framework surface area without solving a problem this deployment has.</w:t>
            </w:r>
          </w:p>
        </w:tc>
      </w:tr>
    </w:tbl>
    <w:p/>
    <w:p>
      <w:pPr>
        <w:pStyle w:val="Heading2"/>
      </w:pPr>
      <w:r>
        <w:t>5.2 Selected Implementation Attempts</w:t>
      </w:r>
    </w:p>
    <w:p>
      <w:r>
        <w:t>This section covers four implementation attempts that carry the research contribution — the parts of the system where a design decision, not just routine CRUD, was required. Each is shown with the real code, the reasoning documented in the codebase itself, and the evidence that confirms it behaves as intended.</w:t>
      </w:r>
    </w:p>
    <w:p>
      <w:pPr>
        <w:pStyle w:val="Heading3"/>
      </w:pPr>
      <w:r>
        <w:t>5.2.1 The Auto-Route/Abstain Decision</w:t>
      </w:r>
    </w:p>
    <w:p>
      <w:r>
        <w:t>This is the algorithmic core of the thesis: the point where a calibrated confidence score and an out-of-distribution score jointly decide whether a human ever needs to look at an inquiry before it reaches a department queue.</w:t>
      </w:r>
    </w:p>
    <w:p>
      <w:pPr>
        <w:spacing w:after="0"/>
      </w:pPr>
      <w:r>
        <w:rPr>
          <w:rFonts w:ascii="Consolas" w:hAnsi="Consolas"/>
          <w:sz w:val="18"/>
        </w:rPr>
        <w:t>if energy_threshold is not None and cat_energy &gt; energy_threshold:</w:t>
      </w:r>
      <w:r>
        <w:br/>
      </w:r>
      <w:r>
        <w:rPr>
          <w:rFonts w:ascii="Consolas" w:hAnsi="Consolas"/>
          <w:sz w:val="18"/>
        </w:rPr>
        <w:t xml:space="preserve">    decision = RoutingDecision.OUT_OF_SCOPE</w:t>
      </w:r>
      <w:r>
        <w:br/>
      </w:r>
      <w:r>
        <w:rPr>
          <w:rFonts w:ascii="Consolas" w:hAnsi="Consolas"/>
          <w:sz w:val="18"/>
        </w:rPr>
        <w:t xml:space="preserve">    queue = TRIAGE_NAME</w:t>
      </w:r>
      <w:r>
        <w:br/>
      </w:r>
      <w:r>
        <w:rPr>
          <w:rFonts w:ascii="Consolas" w:hAnsi="Consolas"/>
          <w:sz w:val="18"/>
        </w:rPr>
        <w:t>elif category_conf &lt; tau:</w:t>
      </w:r>
      <w:r>
        <w:br/>
      </w:r>
      <w:r>
        <w:rPr>
          <w:rFonts w:ascii="Consolas" w:hAnsi="Consolas"/>
          <w:sz w:val="18"/>
        </w:rPr>
        <w:t xml:space="preserve">    decision = RoutingDecision.TRIAGE</w:t>
      </w:r>
      <w:r>
        <w:br/>
      </w:r>
      <w:r>
        <w:rPr>
          <w:rFonts w:ascii="Consolas" w:hAnsi="Consolas"/>
          <w:sz w:val="18"/>
        </w:rPr>
        <w:t xml:space="preserve">    queue = TRIAGE_NAME</w:t>
      </w:r>
      <w:r>
        <w:br/>
      </w:r>
      <w:r>
        <w:rPr>
          <w:rFonts w:ascii="Consolas" w:hAnsi="Consolas"/>
          <w:sz w:val="18"/>
        </w:rPr>
        <w:t>else:</w:t>
      </w:r>
      <w:r>
        <w:br/>
      </w:r>
      <w:r>
        <w:rPr>
          <w:rFonts w:ascii="Consolas" w:hAnsi="Consolas"/>
          <w:sz w:val="18"/>
        </w:rPr>
        <w:t xml:space="preserve">    decision = RoutingDecision.AUTO</w:t>
      </w:r>
      <w:r>
        <w:br/>
      </w:r>
      <w:r>
        <w:rPr>
          <w:rFonts w:ascii="Consolas" w:hAnsi="Consolas"/>
          <w:sz w:val="18"/>
        </w:rPr>
        <w:t xml:space="preserve">    queue = category_label</w:t>
      </w:r>
    </w:p>
    <w:p>
      <w:r>
        <w:rPr>
          <w:i/>
        </w:rPr>
        <w:t>(`uniflow/ml/inference.py:classify_inquiry`, condensed; the full function also builds the human-readable `routing_reason` string shown to reviewers.)</w:t>
      </w:r>
    </w:p>
    <w:p>
      <w:r>
        <w:rPr>
          <w:b/>
        </w:rPr>
        <w:t>Executional evidence.</w:t>
      </w:r>
      <w:r>
        <w:t xml:space="preserve"> The test suite exercises the calibration and thresholding mathematics directly against synthetic logits with known properties, independent of the constructed corpus, so the algorithm's correctness is not entangled with dataset quality: `test_temperature_scaling_preserves_predictions` and `test_temperature_above_one_reduces_confidence` confirm calibration changes confidence without changing the predicted class; `test_choose_tau_respects_the_target_risk` and `test_choose_tau_reports_failure_when_the_target_is_unreachable` confirm threshold selection behaves correctly at both a reachable and an unreachable target risk; `test_energy_is_lower_for_confident_logits` and `test_energy_uses_magnitude_not_just_shape` confirm the energy score actually distinguishes a confidently peaked distribution from a uniformly low-magnitude one, which is the property that lets it catch an out-of-scope message a plain softmax confidence would not. Real classification performance, calibration error, and risk-coverage numbers measured against the constructed corpus (rather than these unit-level mathematical checks) are reported in Chapter 06.</w:t>
      </w:r>
    </w:p>
    <w:p>
      <w:pPr>
        <w:pStyle w:val="Heading3"/>
      </w:pPr>
      <w:r>
        <w:t>5.2.2 Per-Token Explanation with Integrated Gradients</w:t>
      </w:r>
    </w:p>
    <w:p>
      <w:r>
        <w:t>The Explanation tab in the ticket detail view (Chapter 01, rich picture) is backed by the cached attribution computed by `explain.py`. Its UI presents the merged, whole-word attribution scores as a heat-mapped sentence rather than a raw score table:</w:t>
      </w:r>
    </w:p>
    <w:p>
      <w:pPr>
        <w:spacing w:after="0"/>
      </w:pPr>
      <w:r>
        <w:rPr>
          <w:rFonts w:ascii="Consolas" w:hAnsi="Consolas"/>
          <w:sz w:val="18"/>
        </w:rPr>
        <w:t>+---------------------------------------------------------------+</w:t>
      </w:r>
      <w:r>
        <w:br/>
      </w:r>
      <w:r>
        <w:rPr>
          <w:rFonts w:ascii="Consolas" w:hAnsi="Consolas"/>
          <w:sz w:val="18"/>
        </w:rPr>
        <w:t>|  Ticket INQ-2026-004881          [ Workflow | Review | Explanation ] |</w:t>
      </w:r>
      <w:r>
        <w:br/>
      </w:r>
      <w:r>
        <w:rPr>
          <w:rFonts w:ascii="Consolas" w:hAnsi="Consolas"/>
          <w:sz w:val="18"/>
        </w:rPr>
        <w:t>+---------------------------------------------------------------+</w:t>
      </w:r>
      <w:r>
        <w:br/>
      </w:r>
      <w:r>
        <w:rPr>
          <w:rFonts w:ascii="Consolas" w:hAnsi="Consolas"/>
          <w:sz w:val="18"/>
        </w:rPr>
        <w:t>|  Predicted: Examinations (High)     Confidence: 91%             |</w:t>
      </w:r>
      <w:r>
        <w:br/>
      </w:r>
      <w:r>
        <w:rPr>
          <w:rFonts w:ascii="Consolas" w:hAnsi="Consolas"/>
          <w:sz w:val="18"/>
        </w:rPr>
        <w:t>|                                                                   |</w:t>
      </w:r>
      <w:r>
        <w:br/>
      </w:r>
      <w:r>
        <w:rPr>
          <w:rFonts w:ascii="Consolas" w:hAnsi="Consolas"/>
          <w:sz w:val="18"/>
        </w:rPr>
        <w:t>|  "I  cannot  access  the  [exam portal]++  and  my  [paper]+     |</w:t>
      </w:r>
      <w:r>
        <w:br/>
      </w:r>
      <w:r>
        <w:rPr>
          <w:rFonts w:ascii="Consolas" w:hAnsi="Consolas"/>
          <w:sz w:val="18"/>
        </w:rPr>
        <w:t>|   is  [tomorrow]+++ , this  is  urgent"                          |</w:t>
      </w:r>
      <w:r>
        <w:br/>
      </w:r>
      <w:r>
        <w:rPr>
          <w:rFonts w:ascii="Consolas" w:hAnsi="Consolas"/>
          <w:sz w:val="18"/>
        </w:rPr>
        <w:t>|                                                                   |</w:t>
      </w:r>
      <w:r>
        <w:br/>
      </w:r>
      <w:r>
        <w:rPr>
          <w:rFonts w:ascii="Consolas" w:hAnsi="Consolas"/>
          <w:sz w:val="18"/>
        </w:rPr>
        <w:t>|   (+++ strongest positive attribution   -- negative attribution) |</w:t>
      </w:r>
      <w:r>
        <w:br/>
      </w:r>
      <w:r>
        <w:rPr>
          <w:rFonts w:ascii="Consolas" w:hAnsi="Consolas"/>
          <w:sz w:val="18"/>
        </w:rPr>
        <w:t>|                                                                   |</w:t>
      </w:r>
      <w:r>
        <w:br/>
      </w:r>
      <w:r>
        <w:rPr>
          <w:rFonts w:ascii="Consolas" w:hAnsi="Consolas"/>
          <w:sz w:val="18"/>
        </w:rPr>
        <w:t>|  Keyword-heuristic agreement: 4/6 top words overlap (Jaccard 0.67)|</w:t>
      </w:r>
      <w:r>
        <w:br/>
      </w:r>
      <w:r>
        <w:rPr>
          <w:rFonts w:ascii="Consolas" w:hAnsi="Consolas"/>
          <w:sz w:val="18"/>
        </w:rPr>
        <w:t>+---------------------------------------------------------------+</w:t>
      </w:r>
    </w:p>
    <w:p>
      <w:r>
        <w:rPr>
          <w:i/>
        </w:rPr>
        <w:t>Figure 15. Explanation tab wireframe. Attribution strength is rendered as highlight intensity in the actual React component; the plain-text `+`/`-` markers above stand in for that highlighting here.</w:t>
      </w:r>
    </w:p>
    <w:p>
      <w:r>
        <w:t>`keyword_agreement()` is worth calling out specifically as a design decision rather than a cosmetic addition: it compares the model's own top-attributed words against the pre-existing hand-authored keyword heuristic (`uniflow/ml/keywords.py`, originally the system's only explanation mechanism) and reports the Jaccard overlap. This turns what could have been an unfalsifiable "the model looked at reasonable words" claim into a reportable number — Chapter 06 evaluates this agreement rate rather than asserting it.</w:t>
      </w:r>
    </w:p>
    <w:p>
      <w:pPr>
        <w:pStyle w:val="Heading3"/>
      </w:pPr>
      <w:r>
        <w:t>5.2.3 Optimistic Concurrency on Ticket Updates</w:t>
      </w:r>
    </w:p>
    <w:p>
      <w:r>
        <w:t>The bug this fixes is documented directly in `workflow.py`'s own module docstring, which is worth quoting because it states the failure mode precisely: the previous implementation "read `queue_status`, `first_response_at` and `resolved_at`, computed the new values in Python, then wrote them back — with no transaction and no guard. Two officers acting at the same time silently overwrote each other." The fix replaces that read-compute-write sequence with a single conditional `UPDATE`:</w:t>
      </w:r>
    </w:p>
    <w:p>
      <w:pPr>
        <w:spacing w:after="0"/>
      </w:pPr>
      <w:r>
        <w:rPr>
          <w:rFonts w:ascii="Consolas" w:hAnsi="Consolas"/>
          <w:sz w:val="18"/>
        </w:rPr>
        <w:t>result = session.execute(</w:t>
      </w:r>
      <w:r>
        <w:br/>
      </w:r>
      <w:r>
        <w:rPr>
          <w:rFonts w:ascii="Consolas" w:hAnsi="Consolas"/>
          <w:sz w:val="18"/>
        </w:rPr>
        <w:t xml:space="preserve">    sa.update(Inquiry)</w:t>
      </w:r>
      <w:r>
        <w:br/>
      </w:r>
      <w:r>
        <w:rPr>
          <w:rFonts w:ascii="Consolas" w:hAnsi="Consolas"/>
          <w:sz w:val="18"/>
        </w:rPr>
        <w:t xml:space="preserve">    .where(Inquiry.id == inquiry.id, Inquiry.version == expected_version)</w:t>
      </w:r>
      <w:r>
        <w:br/>
      </w:r>
      <w:r>
        <w:rPr>
          <w:rFonts w:ascii="Consolas" w:hAnsi="Consolas"/>
          <w:sz w:val="18"/>
        </w:rPr>
        <w:t xml:space="preserve">    .values(version=expected_version + 1, updated_at=datetime.now(timezone.utc))</w:t>
      </w:r>
      <w:r>
        <w:br/>
      </w:r>
      <w:r>
        <w:rPr>
          <w:rFonts w:ascii="Consolas" w:hAnsi="Consolas"/>
          <w:sz w:val="18"/>
        </w:rPr>
        <w:t>)</w:t>
      </w:r>
      <w:r>
        <w:br/>
      </w:r>
      <w:r>
        <w:rPr>
          <w:rFonts w:ascii="Consolas" w:hAnsi="Consolas"/>
          <w:sz w:val="18"/>
        </w:rPr>
        <w:t>if result.rowcount == 0:</w:t>
      </w:r>
      <w:r>
        <w:br/>
      </w:r>
      <w:r>
        <w:rPr>
          <w:rFonts w:ascii="Consolas" w:hAnsi="Consolas"/>
          <w:sz w:val="18"/>
        </w:rPr>
        <w:t xml:space="preserve">    raise ConflictError(...)</w:t>
      </w:r>
    </w:p>
    <w:p>
      <w:r>
        <w:rPr>
          <w:b/>
        </w:rPr>
        <w:t>Executional evidence.</w:t>
      </w:r>
      <w:r>
        <w:t xml:space="preserve"> `test_stale_write_is_rejected_by_optimistic_locking` constructs exactly the race condition the docstring describes — two updates against the same inquiry, the second using a version number already superseded by the first — and confirms the second raises `ConflictError` rather than silently succeeding. `test_route_from_triage_logs_a_correction` and `test_review_events_recorded_and_consumable` confirm the same conditional-update path correctly distinguishes an `ACCEPT` from a `CORRECT` action and records it against the right prediction, so the concurrency fix did not regress the review-logging behaviour it shares a code path with.</w:t>
      </w:r>
    </w:p>
    <w:p>
      <w:pPr>
        <w:pStyle w:val="Heading3"/>
      </w:pPr>
      <w:r>
        <w:t>5.2.4 Automated-Sender Filtering in Email Intake</w:t>
      </w:r>
    </w:p>
    <w:p>
      <w:r>
        <w:t>Unlike the previous three attempts, this one was not a designed-in feature; it was added in response to a real incident during development, and is reported here as such rather than presented as if it had been planned from the start. During a live verification round, the IMAP poller ingested seven automated account-security notification emails from an email provider as though they were genuine student inquiries, because nothing in the intake path distinguished a message's sender from a student's. The fix adds a sender check before a message ever reaches classification:</w:t>
      </w:r>
    </w:p>
    <w:p>
      <w:pPr>
        <w:spacing w:after="0"/>
      </w:pPr>
      <w:r>
        <w:rPr>
          <w:rFonts w:ascii="Consolas" w:hAnsi="Consolas"/>
          <w:sz w:val="18"/>
        </w:rPr>
        <w:t>def is_automated_sender(address: str) -&gt; bool:</w:t>
      </w:r>
      <w:r>
        <w:br/>
      </w:r>
      <w:r>
        <w:rPr>
          <w:rFonts w:ascii="Consolas" w:hAnsi="Consolas"/>
          <w:sz w:val="18"/>
        </w:rPr>
        <w:t xml:space="preserve">    local_part = address.split("@", 1)[0].lower()</w:t>
      </w:r>
      <w:r>
        <w:br/>
      </w:r>
      <w:r>
        <w:rPr>
          <w:rFonts w:ascii="Consolas" w:hAnsi="Consolas"/>
          <w:sz w:val="18"/>
        </w:rPr>
        <w:t xml:space="preserve">    return any(pattern in local_part for pattern in _AUTOMATED_SENDER_PATTERNS)</w:t>
      </w:r>
    </w:p>
    <w:p>
      <w:r>
        <w:rPr>
          <w:i/>
        </w:rPr>
        <w:t>(`uniflow/jobs/email_intake.py`; `_AUTOMATED_SENDER_PATTERNS` covers common no-reply/notification conventions.)</w:t>
      </w:r>
      <w:r>
        <w:t xml:space="preserve"> A message from a matched sender is marked `status: "skipped_automated_sender"` and never reaches `triage.submit()`, so it produces no `Inquiry`, no `Prediction`, and no classification cost.</w:t>
      </w:r>
    </w:p>
    <w:p>
      <w:r>
        <w:rPr>
          <w:b/>
        </w:rPr>
        <w:t>Executional evidence.</w:t>
      </w:r>
      <w:r>
        <w:t xml:space="preserve"> `test_automated_senders_are_not_treated_as_students` asserts that a message from a matched address is skipped before classification. The incident itself is the strongest evidence of why the check exists: the seven previously-ingested notification emails were manually identified and deleted from the database, and no further automated-sender inquiries have been ingested since the filter was deployed.</w:t>
      </w:r>
    </w:p>
    <w:p>
      <w:pPr>
        <w:pStyle w:val="Heading2"/>
      </w:pPr>
      <w:r>
        <w:t>5.3 Chapter Summary</w:t>
      </w:r>
    </w:p>
    <w:p>
      <w:r>
        <w:t>This chapter described how the system specified in Chapter 04 was actually built: the calibrated, selectively-abstaining routing algorithm and the Integrated Gradients explanation algorithm, expressed as pseudocode faithful to the real implementation; the intake pipeline redrawn as the four blocks it is actually organized into; and a justified technology stack spanning one language on the backend and a statically-typed, schema-generated frontend. Section 5.2 went a level deeper into four implementation attempts that carry the thesis's contribution — the auto-route/abstain decision, per-token explanation, optimistic concurrency, and automated-sender filtering — each shown with its real code, its rationale as documented in the codebase, and the specific test or incident that provides evidence it works. One of the four, automated-sender filtering, is reported honestly as a fix discovered through a real incident rather than a feature anticipated in advance, consistent with this thesis's practice of describing what was actually built rather than smoothing execution into a plan it did not originally follow. The next chapter presents the testing strategy and the evaluation results measured against the constructed corpus.</w:t>
      </w:r>
    </w:p>
    <w:p>
      <w:r>
        <w:br w:type="page"/>
      </w:r>
    </w:p>
    <w:p>
      <w:pPr>
        <w:pStyle w:val="Heading1"/>
      </w:pPr>
      <w:r>
        <w:t>Chapter 06 — Testing and Evaluation</w:t>
      </w:r>
    </w:p>
    <w:p>
      <w:pPr>
        <w:pStyle w:val="Heading2"/>
      </w:pPr>
      <w:r>
        <w:t>6.1 Chapter Overview</w:t>
      </w:r>
    </w:p>
    <w:p>
      <w:r>
        <w:t>This chapter presents the system's testing strategy and the evaluation results measured against the constructed corpus (Chapter 03). Two separate testing efforts run through this project, deliberately kept independent of each other. The first is a pytest suite of 43 tests exercising the domain logic, access control, concurrency handling, and the mathematics behind calibration and selective prediction, run against a throwaway SQLite database with no transformer model loaded, so it runs in seconds and is safe to run on every change. The second is the `evaluation/` pipeline, which loads the actual fine-tuned transformer and scores it against the real, held-out test split, producing the classification, calibration, selective-prediction, out-of-distribution, and inference-cost results this chapter reports in Section 6.3. Section 6.2 presents ten representative test cases from the first effort in full, with the remaining tests summarized in Appendix D. Section 6.4 reviews which testing strategies were used, and, where a strategy from the template's checklist was deliberately not used, why.</w:t>
      </w:r>
    </w:p>
    <w:p>
      <w:pPr>
        <w:pStyle w:val="Heading2"/>
      </w:pPr>
      <w:r>
        <w:t>6.2 Test Plan and Test Cases</w:t>
      </w:r>
    </w:p>
    <w:p>
      <w:r>
        <w:t>Every test case below names the real test function it corresponds to in `tests/test_uniflow.py`, runs against a throwaway SQLite database created fresh for that test (`db_session` fixture), and was passing at the time of writing. The full suite of 43 tests is summarized by area in Appendix D.</w:t>
      </w:r>
    </w:p>
    <w:p>
      <w:pPr>
        <w:pStyle w:val="Heading3"/>
      </w:pPr>
      <w:r>
        <w:t>6.2.1 Non-Functional 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Test</w:t>
            </w:r>
          </w:p>
        </w:tc>
        <w:tc>
          <w:tcPr>
            <w:tcW w:type="dxa" w:w="1234"/>
          </w:tcPr>
          <w:p>
            <w:r>
              <w:rPr>
                <w:b/>
              </w:rPr>
              <w:t>Objective</w:t>
            </w:r>
          </w:p>
        </w:tc>
        <w:tc>
          <w:tcPr>
            <w:tcW w:type="dxa" w:w="1234"/>
          </w:tcPr>
          <w:p>
            <w:r>
              <w:rPr>
                <w:b/>
              </w:rPr>
              <w:t>Input</w:t>
            </w:r>
          </w:p>
        </w:tc>
        <w:tc>
          <w:tcPr>
            <w:tcW w:type="dxa" w:w="1234"/>
          </w:tcPr>
          <w:p>
            <w:r>
              <w:rPr>
                <w:b/>
              </w:rPr>
              <w:t>Expected Result</w:t>
            </w:r>
          </w:p>
        </w:tc>
        <w:tc>
          <w:tcPr>
            <w:tcW w:type="dxa" w:w="1234"/>
          </w:tcPr>
          <w:p>
            <w:r>
              <w:rPr>
                <w:b/>
              </w:rPr>
              <w:t>Actual Result</w:t>
            </w:r>
          </w:p>
        </w:tc>
        <w:tc>
          <w:tcPr>
            <w:tcW w:type="dxa" w:w="1234"/>
          </w:tcPr>
          <w:p>
            <w:r>
              <w:rPr>
                <w:b/>
              </w:rPr>
              <w:t>Status</w:t>
            </w:r>
          </w:p>
        </w:tc>
      </w:tr>
      <w:tr>
        <w:tc>
          <w:tcPr>
            <w:tcW w:type="dxa" w:w="1234"/>
          </w:tcPr>
          <w:p>
            <w:r>
              <w:t>TC-02</w:t>
            </w:r>
          </w:p>
        </w:tc>
        <w:tc>
          <w:tcPr>
            <w:tcW w:type="dxa" w:w="1234"/>
          </w:tcPr>
          <w:p>
            <w:r>
              <w:t>`test_stale_write_is_rejected_by_optimistic_locking`</w:t>
            </w:r>
          </w:p>
        </w:tc>
        <w:tc>
          <w:tcPr>
            <w:tcW w:type="dxa" w:w="1234"/>
          </w:tcPr>
          <w:p>
            <w:r>
              <w:t>Confirm two concurrent writers to the same ticket cannot silently overwrite each other (NFR-5, Chapter 04).</w:t>
            </w:r>
          </w:p>
        </w:tc>
        <w:tc>
          <w:tcPr>
            <w:tcW w:type="dxa" w:w="1234"/>
          </w:tcPr>
          <w:p>
            <w:r>
              <w:t>Two `update_status` calls against the same inquiry, both supplying `expected_version=1`; the first changes status to `IN_PROGRESS`, the second (still using version 1) tries to change it to `RESOLVED`.</w:t>
            </w:r>
          </w:p>
        </w:tc>
        <w:tc>
          <w:tcPr>
            <w:tcW w:type="dxa" w:w="1234"/>
          </w:tcPr>
          <w:p>
            <w:r>
              <w:t>The second call raises `ConflictError` rather than succeeding.</w:t>
            </w:r>
          </w:p>
        </w:tc>
        <w:tc>
          <w:tcPr>
            <w:tcW w:type="dxa" w:w="1234"/>
          </w:tcPr>
          <w:p>
            <w:r>
              <w:t>`ConflictError` raised on the second call.</w:t>
            </w:r>
          </w:p>
        </w:tc>
        <w:tc>
          <w:tcPr>
            <w:tcW w:type="dxa" w:w="1234"/>
          </w:tcPr>
          <w:p>
            <w:r>
              <w:t>Pass</w:t>
            </w:r>
          </w:p>
        </w:tc>
      </w:tr>
      <w:tr>
        <w:tc>
          <w:tcPr>
            <w:tcW w:type="dxa" w:w="1234"/>
          </w:tcPr>
          <w:p>
            <w:r>
              <w:t>TC-03</w:t>
            </w:r>
          </w:p>
        </w:tc>
        <w:tc>
          <w:tcPr>
            <w:tcW w:type="dxa" w:w="1234"/>
          </w:tcPr>
          <w:p>
            <w:r>
              <w:t>`test_login_locks_the_account_after_repeated_failures`</w:t>
            </w:r>
          </w:p>
        </w:tc>
        <w:tc>
          <w:tcPr>
            <w:tcW w:type="dxa" w:w="1234"/>
          </w:tcPr>
          <w:p>
            <w:r>
              <w:t>Confirm brute-force login attempts are locked out after the configured threshold (NFR-3).</w:t>
            </w:r>
          </w:p>
        </w:tc>
        <w:tc>
          <w:tcPr>
            <w:tcW w:type="dxa" w:w="1234"/>
          </w:tcPr>
          <w:p>
            <w:r>
              <w:t>`max_failed_logins` (5) consecutive `login()` calls with a wrong password, then one call with the correct password.</w:t>
            </w:r>
          </w:p>
        </w:tc>
        <w:tc>
          <w:tcPr>
            <w:tcW w:type="dxa" w:w="1234"/>
          </w:tcPr>
          <w:p>
            <w:r>
              <w:t>Every wrong-password attempt raises `AuthenticationError`; the correct-password attempt afterward also raises `AuthenticationError` with a message containing "locked".</w:t>
            </w:r>
          </w:p>
        </w:tc>
        <w:tc>
          <w:tcPr>
            <w:tcW w:type="dxa" w:w="1234"/>
          </w:tcPr>
          <w:p>
            <w:r>
              <w:t>All 5 wrong attempts raised `AuthenticationError`; the correct-password attempt also raised `AuthenticationError` matching "locked".</w:t>
            </w:r>
          </w:p>
        </w:tc>
        <w:tc>
          <w:tcPr>
            <w:tcW w:type="dxa" w:w="1234"/>
          </w:tcPr>
          <w:p>
            <w:r>
              <w:t>Pass</w:t>
            </w:r>
          </w:p>
        </w:tc>
      </w:tr>
      <w:tr>
        <w:tc>
          <w:tcPr>
            <w:tcW w:type="dxa" w:w="1234"/>
          </w:tcPr>
          <w:p>
            <w:r>
              <w:t>TC-04</w:t>
            </w:r>
          </w:p>
        </w:tc>
        <w:tc>
          <w:tcPr>
            <w:tcW w:type="dxa" w:w="1234"/>
          </w:tcPr>
          <w:p>
            <w:r>
              <w:t>`test_visible_departments_scoped_to_own_plus_triage`</w:t>
            </w:r>
          </w:p>
        </w:tc>
        <w:tc>
          <w:tcPr>
            <w:tcW w:type="dxa" w:w="1234"/>
          </w:tcPr>
          <w:p>
            <w:r>
              <w:t>Confirm an officer's visible-department set is exactly their own department plus Triage, and an administrator has no restriction (NFR-2).</w:t>
            </w:r>
          </w:p>
        </w:tc>
        <w:tc>
          <w:tcPr>
            <w:tcW w:type="dxa" w:w="1234"/>
          </w:tcPr>
          <w:p>
            <w:r>
              <w:t>`visible_department_ids()` called for an officer principal in "Examinations" and for an administrator principal, with three departments (Triage, Examinations, Admissions) present.</w:t>
            </w:r>
          </w:p>
        </w:tc>
        <w:tc>
          <w:tcPr>
            <w:tcW w:type="dxa" w:w="1234"/>
          </w:tcPr>
          <w:p>
            <w:r>
              <w:t>Officer's scope equals `{Triage, Examinations}`; administrator's scope is `None` (unrestricted).</w:t>
            </w:r>
          </w:p>
        </w:tc>
        <w:tc>
          <w:tcPr>
            <w:tcW w:type="dxa" w:w="1234"/>
          </w:tcPr>
          <w:p>
            <w:r>
              <w:t>Officer scope was `{Triage.id, Examinations.id}`; administrator scope was `None`.</w:t>
            </w:r>
          </w:p>
        </w:tc>
        <w:tc>
          <w:tcPr>
            <w:tcW w:type="dxa" w:w="1234"/>
          </w:tcPr>
          <w:p>
            <w:r>
              <w:t>Pass</w:t>
            </w:r>
          </w:p>
        </w:tc>
      </w:tr>
      <w:tr>
        <w:tc>
          <w:tcPr>
            <w:tcW w:type="dxa" w:w="1234"/>
          </w:tcPr>
          <w:p>
            <w:r>
              <w:t>TC-05</w:t>
            </w:r>
          </w:p>
        </w:tc>
        <w:tc>
          <w:tcPr>
            <w:tcW w:type="dxa" w:w="1234"/>
          </w:tcPr>
          <w:p>
            <w:r>
              <w:t>`test_can_read_denies_other_departments`</w:t>
            </w:r>
          </w:p>
        </w:tc>
        <w:tc>
          <w:tcPr>
            <w:tcW w:type="dxa" w:w="1234"/>
          </w:tcPr>
          <w:p>
            <w:r>
              <w:t>Confirm an officer cannot read a ticket outside their department, but can read their own and any Triage ticket (NFR-2).</w:t>
            </w:r>
          </w:p>
        </w:tc>
        <w:tc>
          <w:tcPr>
            <w:tcW w:type="dxa" w:w="1234"/>
          </w:tcPr>
          <w:p>
            <w:r>
              <w:t>`can_read()` called by an Examinations officer against three tickets: one in Examinations, one in Admissions, one in Triage.</w:t>
            </w:r>
          </w:p>
        </w:tc>
        <w:tc>
          <w:tcPr>
            <w:tcW w:type="dxa" w:w="1234"/>
          </w:tcPr>
          <w:p>
            <w:r>
              <w:t>`True` for the Examinations and Triage tickets; `False` for the Admissions ticket.</w:t>
            </w:r>
          </w:p>
        </w:tc>
        <w:tc>
          <w:tcPr>
            <w:tcW w:type="dxa" w:w="1234"/>
          </w:tcPr>
          <w:p>
            <w:r>
              <w:t>Examinations ticket: `True`. Triage ticket: `True`. Admissions ticket: `False`.</w:t>
            </w:r>
          </w:p>
        </w:tc>
        <w:tc>
          <w:tcPr>
            <w:tcW w:type="dxa" w:w="1234"/>
          </w:tcPr>
          <w:p>
            <w:r>
              <w:t>Pass</w:t>
            </w:r>
          </w:p>
        </w:tc>
      </w:tr>
    </w:tbl>
    <w:p/>
    <w:p>
      <w:pPr>
        <w:pStyle w:val="Heading3"/>
      </w:pPr>
      <w:r>
        <w:t>6.2.2 Functional 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Test</w:t>
            </w:r>
          </w:p>
        </w:tc>
        <w:tc>
          <w:tcPr>
            <w:tcW w:type="dxa" w:w="1234"/>
          </w:tcPr>
          <w:p>
            <w:r>
              <w:rPr>
                <w:b/>
              </w:rPr>
              <w:t>Objective</w:t>
            </w:r>
          </w:p>
        </w:tc>
        <w:tc>
          <w:tcPr>
            <w:tcW w:type="dxa" w:w="1234"/>
          </w:tcPr>
          <w:p>
            <w:r>
              <w:rPr>
                <w:b/>
              </w:rPr>
              <w:t>Input</w:t>
            </w:r>
          </w:p>
        </w:tc>
        <w:tc>
          <w:tcPr>
            <w:tcW w:type="dxa" w:w="1234"/>
          </w:tcPr>
          <w:p>
            <w:r>
              <w:rPr>
                <w:b/>
              </w:rPr>
              <w:t>Expected Result</w:t>
            </w:r>
          </w:p>
        </w:tc>
        <w:tc>
          <w:tcPr>
            <w:tcW w:type="dxa" w:w="1234"/>
          </w:tcPr>
          <w:p>
            <w:r>
              <w:rPr>
                <w:b/>
              </w:rPr>
              <w:t>Actual Result</w:t>
            </w:r>
          </w:p>
        </w:tc>
        <w:tc>
          <w:tcPr>
            <w:tcW w:type="dxa" w:w="1234"/>
          </w:tcPr>
          <w:p>
            <w:r>
              <w:rPr>
                <w:b/>
              </w:rPr>
              <w:t>Status</w:t>
            </w:r>
          </w:p>
        </w:tc>
      </w:tr>
      <w:tr>
        <w:tc>
          <w:tcPr>
            <w:tcW w:type="dxa" w:w="1234"/>
          </w:tcPr>
          <w:p>
            <w:r>
              <w:t>TC-01</w:t>
            </w:r>
          </w:p>
        </w:tc>
        <w:tc>
          <w:tcPr>
            <w:tcW w:type="dxa" w:w="1234"/>
          </w:tcPr>
          <w:p>
            <w:r>
              <w:t>`test_sla_due_dates_follow_urgency`</w:t>
            </w:r>
          </w:p>
        </w:tc>
        <w:tc>
          <w:tcPr>
            <w:tcW w:type="dxa" w:w="1234"/>
          </w:tcPr>
          <w:p>
            <w:r>
              <w:t>Confirm the service-level deadline is computed correctly from urgency (FR-4).</w:t>
            </w:r>
          </w:p>
        </w:tc>
        <w:tc>
          <w:tcPr>
            <w:tcW w:type="dxa" w:w="1234"/>
          </w:tcPr>
          <w:p>
            <w:r>
              <w:t>`sla.due_at()` called with `Urgency.HIGH` and `Urgency.LOW`, both created at 2026-01-01 09:00 UTC.</w:t>
            </w:r>
          </w:p>
        </w:tc>
        <w:tc>
          <w:tcPr>
            <w:tcW w:type="dxa" w:w="1234"/>
          </w:tcPr>
          <w:p>
            <w:r>
              <w:t>High urgency due 4 hours later (13:00); Low urgency due 72 hours later (2026-01-04 09:00).</w:t>
            </w:r>
          </w:p>
        </w:tc>
        <w:tc>
          <w:tcPr>
            <w:tcW w:type="dxa" w:w="1234"/>
          </w:tcPr>
          <w:p>
            <w:r>
              <w:t>High: 2026-01-01 13:00 UTC. Low: 2026-01-04 09:00 UTC.</w:t>
            </w:r>
          </w:p>
        </w:tc>
        <w:tc>
          <w:tcPr>
            <w:tcW w:type="dxa" w:w="1234"/>
          </w:tcPr>
          <w:p>
            <w:r>
              <w:t>Pass</w:t>
            </w:r>
          </w:p>
        </w:tc>
      </w:tr>
      <w:tr>
        <w:tc>
          <w:tcPr>
            <w:tcW w:type="dxa" w:w="1234"/>
          </w:tcPr>
          <w:p>
            <w:r>
              <w:t>TC-06</w:t>
            </w:r>
          </w:p>
        </w:tc>
        <w:tc>
          <w:tcPr>
            <w:tcW w:type="dxa" w:w="1234"/>
          </w:tcPr>
          <w:p>
            <w:r>
              <w:t>`test_route_from_triage_logs_a_correction`</w:t>
            </w:r>
          </w:p>
        </w:tc>
        <w:tc>
          <w:tcPr>
            <w:tcW w:type="dxa" w:w="1234"/>
          </w:tcPr>
          <w:p>
            <w:r>
              <w:t>Confirm routing an abstained ticket out of Triage updates the ticket and logs exactly one review event (FR-8).</w:t>
            </w:r>
          </w:p>
        </w:tc>
        <w:tc>
          <w:tcPr>
            <w:tcW w:type="dxa" w:w="1234"/>
          </w:tcPr>
          <w:p>
            <w:r>
              <w:t>`workflow.route()` called on a Triage ticket, routing it to Examinations with `expected_version=1`.</w:t>
            </w:r>
          </w:p>
        </w:tc>
        <w:tc>
          <w:tcPr>
            <w:tcW w:type="dxa" w:w="1234"/>
          </w:tcPr>
          <w:p>
            <w:r>
              <w:t>Ticket's `department_id` becomes Examinations and `routing` becomes `AUTO`; exactly one `ReviewEvent` is recorded for the ticket.</w:t>
            </w:r>
          </w:p>
        </w:tc>
        <w:tc>
          <w:tcPr>
            <w:tcW w:type="dxa" w:w="1234"/>
          </w:tcPr>
          <w:p>
            <w:r>
              <w:t>Department and routing updated as expected; exactly one `ReviewEvent` row found.</w:t>
            </w:r>
          </w:p>
        </w:tc>
        <w:tc>
          <w:tcPr>
            <w:tcW w:type="dxa" w:w="1234"/>
          </w:tcPr>
          <w:p>
            <w:r>
              <w:t>Pass</w:t>
            </w:r>
          </w:p>
        </w:tc>
      </w:tr>
      <w:tr>
        <w:tc>
          <w:tcPr>
            <w:tcW w:type="dxa" w:w="1234"/>
          </w:tcPr>
          <w:p>
            <w:r>
              <w:t>TC-07</w:t>
            </w:r>
          </w:p>
        </w:tc>
        <w:tc>
          <w:tcPr>
            <w:tcW w:type="dxa" w:w="1234"/>
          </w:tcPr>
          <w:p>
            <w:r>
              <w:t>`test_email_source_ref_uniqueness_is_enforced`</w:t>
            </w:r>
          </w:p>
        </w:tc>
        <w:tc>
          <w:tcPr>
            <w:tcW w:type="dxa" w:w="1234"/>
          </w:tcPr>
          <w:p>
            <w:r>
              <w:t>Confirm the same email message cannot be ingested twice (FR-1, database-level enforcement).</w:t>
            </w:r>
          </w:p>
        </w:tc>
        <w:tc>
          <w:tcPr>
            <w:tcW w:type="dxa" w:w="1234"/>
          </w:tcPr>
          <w:p>
            <w:r>
              <w:t>Two inquiries created with `source=EMAIL` and the identical `source_ref` (`&lt;msg-1@example.com&gt;`).</w:t>
            </w:r>
          </w:p>
        </w:tc>
        <w:tc>
          <w:tcPr>
            <w:tcW w:type="dxa" w:w="1234"/>
          </w:tcPr>
          <w:p>
            <w:r>
              <w:t>The second insert raises `IntegrityError` from the `UNIQUE(source, source_ref)` constraint.</w:t>
            </w:r>
          </w:p>
        </w:tc>
        <w:tc>
          <w:tcPr>
            <w:tcW w:type="dxa" w:w="1234"/>
          </w:tcPr>
          <w:p>
            <w:r>
              <w:t>`IntegrityError` raised on the second insert.</w:t>
            </w:r>
          </w:p>
        </w:tc>
        <w:tc>
          <w:tcPr>
            <w:tcW w:type="dxa" w:w="1234"/>
          </w:tcPr>
          <w:p>
            <w:r>
              <w:t>Pass</w:t>
            </w:r>
          </w:p>
        </w:tc>
      </w:tr>
      <w:tr>
        <w:tc>
          <w:tcPr>
            <w:tcW w:type="dxa" w:w="1234"/>
          </w:tcPr>
          <w:p>
            <w:r>
              <w:t>TC-08</w:t>
            </w:r>
          </w:p>
        </w:tc>
        <w:tc>
          <w:tcPr>
            <w:tcW w:type="dxa" w:w="1234"/>
          </w:tcPr>
          <w:p>
            <w:r>
              <w:t>`test_automated_senders_are_not_treated_as_students`</w:t>
            </w:r>
          </w:p>
        </w:tc>
        <w:tc>
          <w:tcPr>
            <w:tcW w:type="dxa" w:w="1234"/>
          </w:tcPr>
          <w:p>
            <w:r>
              <w:t>Confirm known automated/no-reply senders are filtered before classification (FR-11); the regression test for the real incident described in Chapter 05.</w:t>
            </w:r>
          </w:p>
        </w:tc>
        <w:tc>
          <w:tcPr>
            <w:tcW w:type="dxa" w:w="1234"/>
          </w:tcPr>
          <w:p>
            <w:r>
              <w:t>`is_automated_sender()` called with `no-reply@accounts.google.com`, `notifications@github.com`, `MAILER-DAEMON@uni.edu`, `student@uni.edu`, `None`, and `"not-an-address"`.</w:t>
            </w:r>
          </w:p>
        </w:tc>
        <w:tc>
          <w:tcPr>
            <w:tcW w:type="dxa" w:w="1234"/>
          </w:tcPr>
          <w:p>
            <w:r>
              <w:t>`True` for the three automated addresses; `False` for the student address, `None`, and the malformed string.</w:t>
            </w:r>
          </w:p>
        </w:tc>
        <w:tc>
          <w:tcPr>
            <w:tcW w:type="dxa" w:w="1234"/>
          </w:tcPr>
          <w:p>
            <w:r>
              <w:t>Matched exactly as expected for all six inputs.</w:t>
            </w:r>
          </w:p>
        </w:tc>
        <w:tc>
          <w:tcPr>
            <w:tcW w:type="dxa" w:w="1234"/>
          </w:tcPr>
          <w:p>
            <w:r>
              <w:t>Pass</w:t>
            </w:r>
          </w:p>
        </w:tc>
      </w:tr>
      <w:tr>
        <w:tc>
          <w:tcPr>
            <w:tcW w:type="dxa" w:w="1234"/>
          </w:tcPr>
          <w:p>
            <w:r>
              <w:t>TC-09</w:t>
            </w:r>
          </w:p>
        </w:tc>
        <w:tc>
          <w:tcPr>
            <w:tcW w:type="dxa" w:w="1234"/>
          </w:tcPr>
          <w:p>
            <w:r>
              <w:t>`test_temperature_scaling_preserves_predictions`</w:t>
            </w:r>
          </w:p>
        </w:tc>
        <w:tc>
          <w:tcPr>
            <w:tcW w:type="dxa" w:w="1234"/>
          </w:tcPr>
          <w:p>
            <w:r>
              <w:t>Confirm temperature scaling never changes which class is predicted (the property that makes it safe to apply after training, Chapter 02).</w:t>
            </w:r>
          </w:p>
        </w:tc>
        <w:tc>
          <w:tcPr>
            <w:tcW w:type="dxa" w:w="1234"/>
          </w:tcPr>
          <w:p>
            <w:r>
              <w:t>`calibrated_probs()` applied to the same fixed random logits (seed 0, 64 examples x 7 classes) at temperatures 0.5, 1.5, 3.0, and 10.0.</w:t>
            </w:r>
          </w:p>
        </w:tc>
        <w:tc>
          <w:tcPr>
            <w:tcW w:type="dxa" w:w="1234"/>
          </w:tcPr>
          <w:p>
            <w:r>
              <w:t>The `argmax` predicted class at every tested temperature equals the `argmax` at temperature 1.0 (no scaling).</w:t>
            </w:r>
          </w:p>
        </w:tc>
        <w:tc>
          <w:tcPr>
            <w:tcW w:type="dxa" w:w="1234"/>
          </w:tcPr>
          <w:p>
            <w:r>
              <w:t>Predicted class identical across all four temperatures for all 64 examples.</w:t>
            </w:r>
          </w:p>
        </w:tc>
        <w:tc>
          <w:tcPr>
            <w:tcW w:type="dxa" w:w="1234"/>
          </w:tcPr>
          <w:p>
            <w:r>
              <w:t>Pass</w:t>
            </w:r>
          </w:p>
        </w:tc>
      </w:tr>
      <w:tr>
        <w:tc>
          <w:tcPr>
            <w:tcW w:type="dxa" w:w="1234"/>
          </w:tcPr>
          <w:p>
            <w:r>
              <w:t>TC-10</w:t>
            </w:r>
          </w:p>
        </w:tc>
        <w:tc>
          <w:tcPr>
            <w:tcW w:type="dxa" w:w="1234"/>
          </w:tcPr>
          <w:p>
            <w:r>
              <w:t>`test_choose_tau_respects_the_target_risk`</w:t>
            </w:r>
          </w:p>
        </w:tc>
        <w:tc>
          <w:tcPr>
            <w:tcW w:type="dxa" w:w="1234"/>
          </w:tcPr>
          <w:p>
            <w:r>
              <w:t>Confirm the selective-prediction threshold selection reaches a specified target risk at usable coverage.</w:t>
            </w:r>
          </w:p>
        </w:tc>
        <w:tc>
          <w:tcPr>
            <w:tcW w:type="dxa" w:w="1234"/>
          </w:tcPr>
          <w:p>
            <w:r>
              <w:t>2,000 synthetic confidence/correctness pairs (confidence ~ Uniform[0.3, 1.0], correctness ~ Bernoulli(confidence)); `choose_tau()` called with `target_risk=0.15`.</w:t>
            </w:r>
          </w:p>
        </w:tc>
        <w:tc>
          <w:tcPr>
            <w:tcW w:type="dxa" w:w="1234"/>
          </w:tcPr>
          <w:p>
            <w:r>
              <w:t>The target is reported reachable, and evaluating the corpus at the chosen τ yields a selective risk at or below 15%.</w:t>
            </w:r>
          </w:p>
        </w:tc>
        <w:tc>
          <w:tcPr>
            <w:tcW w:type="dxa" w:w="1234"/>
          </w:tcPr>
          <w:p>
            <w:r>
              <w:t>Target reachable; selective risk at chosen τ was at or below 0.15.</w:t>
            </w:r>
          </w:p>
        </w:tc>
        <w:tc>
          <w:tcPr>
            <w:tcW w:type="dxa" w:w="1234"/>
          </w:tcPr>
          <w:p>
            <w:r>
              <w:t>Pass</w:t>
            </w:r>
          </w:p>
        </w:tc>
      </w:tr>
    </w:tbl>
    <w:p/>
    <w:p>
      <w:pPr>
        <w:pStyle w:val="Heading2"/>
      </w:pPr>
      <w:r>
        <w:t>6.3 Evaluation Results</w:t>
      </w:r>
    </w:p>
    <w:p>
      <w:r>
        <w:t>The evaluation pipeline (Chapter 03, Section 3.5.5) was run against the constructed corpus of 10,782 inquiries (8,879 train / 960 validation / 943 test, Chapter 03), using the real train/validation/test assignment the models were fine-tuned on rather than a freshly generated split — the pipeline's own leakage check confirmed this (`leakage_risk: false`), so the figures below are not inflated by the transformer having already seen a test-set inquiry during training.</w:t>
      </w:r>
    </w:p>
    <w:p>
      <w:r>
        <w:rPr>
          <w:b/>
        </w:rPr>
        <w:t>A methodological note worth recording here.</w:t>
      </w:r>
      <w:r>
        <w:t xml:space="preserve"> The first run of this pipeline against the real corpus produced classification and significance numbers that were, on inspection, identical to an earlier pipeline smoke-test run on synthetic data and covered only 70 of the 943 test inquiries. The cause was a real defect in `evaluate.py` (`from config import MODELS_DIR`, referencing a module that does not exist in this codebase, where every other evaluation script correctly imports `MODELS_DIR` from `policy_files`); the stage crashed before writing new results, and the report-assembly step silently reused stale files from a previous run instead of failing loudly. The bug was fixed and the stage re-run before any number below was accepted. This is reported because it is a genuine methodological risk this research encountered and corrected — an evaluation pipeline can produce a plausible-looking but wrong report exactly as easily as the model it evaluates can produce a plausible-looking but wrong prediction, and both need to be checked rather than trusted on inspection alone.</w:t>
      </w:r>
    </w:p>
    <w:p>
      <w:pPr>
        <w:pStyle w:val="Heading3"/>
      </w:pPr>
      <w:r>
        <w:t>6.3.1 Classification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Task</w:t>
            </w:r>
          </w:p>
        </w:tc>
        <w:tc>
          <w:tcPr>
            <w:tcW w:type="dxa" w:w="1728"/>
          </w:tcPr>
          <w:p>
            <w:r>
              <w:rPr>
                <w:b/>
              </w:rPr>
              <w:t>System</w:t>
            </w:r>
          </w:p>
        </w:tc>
        <w:tc>
          <w:tcPr>
            <w:tcW w:type="dxa" w:w="1728"/>
          </w:tcPr>
          <w:p>
            <w:r>
              <w:rPr>
                <w:b/>
              </w:rPr>
              <w:t>Accuracy</w:t>
            </w:r>
          </w:p>
        </w:tc>
        <w:tc>
          <w:tcPr>
            <w:tcW w:type="dxa" w:w="1728"/>
          </w:tcPr>
          <w:p>
            <w:r>
              <w:rPr>
                <w:b/>
              </w:rPr>
              <w:t>Macro-F1</w:t>
            </w:r>
          </w:p>
        </w:tc>
        <w:tc>
          <w:tcPr>
            <w:tcW w:type="dxa" w:w="1728"/>
          </w:tcPr>
          <w:p>
            <w:r>
              <w:rPr>
                <w:b/>
              </w:rPr>
              <w:t>Weighted-F1</w:t>
            </w:r>
          </w:p>
        </w:tc>
      </w:tr>
      <w:tr>
        <w:tc>
          <w:tcPr>
            <w:tcW w:type="dxa" w:w="1728"/>
          </w:tcPr>
          <w:p>
            <w:r>
              <w:t>Category</w:t>
            </w:r>
          </w:p>
        </w:tc>
        <w:tc>
          <w:tcPr>
            <w:tcW w:type="dxa" w:w="1728"/>
          </w:tcPr>
          <w:p>
            <w:r>
              <w:t>majority-class baseline</w:t>
            </w:r>
          </w:p>
        </w:tc>
        <w:tc>
          <w:tcPr>
            <w:tcW w:type="dxa" w:w="1728"/>
          </w:tcPr>
          <w:p>
            <w:r>
              <w:t>0.0764</w:t>
            </w:r>
          </w:p>
        </w:tc>
        <w:tc>
          <w:tcPr>
            <w:tcW w:type="dxa" w:w="1728"/>
          </w:tcPr>
          <w:p>
            <w:r>
              <w:t>0.0203</w:t>
            </w:r>
          </w:p>
        </w:tc>
        <w:tc>
          <w:tcPr>
            <w:tcW w:type="dxa" w:w="1728"/>
          </w:tcPr>
          <w:p>
            <w:r>
              <w:t>0.0108</w:t>
            </w:r>
          </w:p>
        </w:tc>
      </w:tr>
      <w:tr>
        <w:tc>
          <w:tcPr>
            <w:tcW w:type="dxa" w:w="1728"/>
          </w:tcPr>
          <w:p>
            <w:r>
              <w:t>Category</w:t>
            </w:r>
          </w:p>
        </w:tc>
        <w:tc>
          <w:tcPr>
            <w:tcW w:type="dxa" w:w="1728"/>
          </w:tcPr>
          <w:p>
            <w:r>
              <w:t>TF-IDF + Logistic Regression</w:t>
            </w:r>
          </w:p>
        </w:tc>
        <w:tc>
          <w:tcPr>
            <w:tcW w:type="dxa" w:w="1728"/>
          </w:tcPr>
          <w:p>
            <w:r>
              <w:t>0.9852</w:t>
            </w:r>
          </w:p>
        </w:tc>
        <w:tc>
          <w:tcPr>
            <w:tcW w:type="dxa" w:w="1728"/>
          </w:tcPr>
          <w:p>
            <w:r>
              <w:t>0.9865</w:t>
            </w:r>
          </w:p>
        </w:tc>
        <w:tc>
          <w:tcPr>
            <w:tcW w:type="dxa" w:w="1728"/>
          </w:tcPr>
          <w:p>
            <w:r>
              <w:t>0.9851</w:t>
            </w:r>
          </w:p>
        </w:tc>
      </w:tr>
      <w:tr>
        <w:tc>
          <w:tcPr>
            <w:tcW w:type="dxa" w:w="1728"/>
          </w:tcPr>
          <w:p>
            <w:r>
              <w:t>Category</w:t>
            </w:r>
          </w:p>
        </w:tc>
        <w:tc>
          <w:tcPr>
            <w:tcW w:type="dxa" w:w="1728"/>
          </w:tcPr>
          <w:p>
            <w:r>
              <w:t>TF-IDF + Linear SVM</w:t>
            </w:r>
          </w:p>
        </w:tc>
        <w:tc>
          <w:tcPr>
            <w:tcW w:type="dxa" w:w="1728"/>
          </w:tcPr>
          <w:p>
            <w:r>
              <w:t>0.9926</w:t>
            </w:r>
          </w:p>
        </w:tc>
        <w:tc>
          <w:tcPr>
            <w:tcW w:type="dxa" w:w="1728"/>
          </w:tcPr>
          <w:p>
            <w:r>
              <w:t>0.9924</w:t>
            </w:r>
          </w:p>
        </w:tc>
        <w:tc>
          <w:tcPr>
            <w:tcW w:type="dxa" w:w="1728"/>
          </w:tcPr>
          <w:p>
            <w:r>
              <w:t>0.9926</w:t>
            </w:r>
          </w:p>
        </w:tc>
      </w:tr>
      <w:tr>
        <w:tc>
          <w:tcPr>
            <w:tcW w:type="dxa" w:w="1728"/>
          </w:tcPr>
          <w:p>
            <w:r>
              <w:t>Category</w:t>
            </w:r>
          </w:p>
        </w:tc>
        <w:tc>
          <w:tcPr>
            <w:tcW w:type="dxa" w:w="1728"/>
          </w:tcPr>
          <w:p>
            <w:r>
              <w:rPr>
                <w:b/>
              </w:rPr>
              <w:t>Dual transformer</w:t>
            </w:r>
          </w:p>
        </w:tc>
        <w:tc>
          <w:tcPr>
            <w:tcW w:type="dxa" w:w="1728"/>
          </w:tcPr>
          <w:p>
            <w:r>
              <w:t>0.9936</w:t>
            </w:r>
          </w:p>
        </w:tc>
        <w:tc>
          <w:tcPr>
            <w:tcW w:type="dxa" w:w="1728"/>
          </w:tcPr>
          <w:p>
            <w:r>
              <w:rPr>
                <w:b/>
              </w:rPr>
              <w:t>0.9906</w:t>
            </w:r>
          </w:p>
        </w:tc>
        <w:tc>
          <w:tcPr>
            <w:tcW w:type="dxa" w:w="1728"/>
          </w:tcPr>
          <w:p>
            <w:r>
              <w:t>0.9935</w:t>
            </w:r>
          </w:p>
        </w:tc>
      </w:tr>
      <w:tr>
        <w:tc>
          <w:tcPr>
            <w:tcW w:type="dxa" w:w="1728"/>
          </w:tcPr>
          <w:p>
            <w:r>
              <w:t>Category</w:t>
            </w:r>
          </w:p>
        </w:tc>
        <w:tc>
          <w:tcPr>
            <w:tcW w:type="dxa" w:w="1728"/>
          </w:tcPr>
          <w:p>
            <w:r>
              <w:rPr>
                <w:i/>
              </w:rPr>
              <w:t>(transformer macro-F1, 95% bootstrap CI)</w:t>
            </w:r>
          </w:p>
        </w:tc>
        <w:tc>
          <w:tcPr>
            <w:tcW w:type="dxa" w:w="1728"/>
          </w:tcPr>
          <w:p/>
        </w:tc>
        <w:tc>
          <w:tcPr>
            <w:tcW w:type="dxa" w:w="1728"/>
          </w:tcPr>
          <w:p>
            <w:r>
              <w:rPr>
                <w:i/>
              </w:rPr>
              <w:t>[0.9824, 0.9969]</w:t>
            </w:r>
          </w:p>
        </w:tc>
        <w:tc>
          <w:tcPr>
            <w:tcW w:type="dxa" w:w="1728"/>
          </w:tcPr>
          <w:p/>
        </w:tc>
      </w:tr>
      <w:tr>
        <w:tc>
          <w:tcPr>
            <w:tcW w:type="dxa" w:w="1728"/>
          </w:tcPr>
          <w:p>
            <w:r>
              <w:t>Urgency</w:t>
            </w:r>
          </w:p>
        </w:tc>
        <w:tc>
          <w:tcPr>
            <w:tcW w:type="dxa" w:w="1728"/>
          </w:tcPr>
          <w:p>
            <w:r>
              <w:t>majority-class baseline</w:t>
            </w:r>
          </w:p>
        </w:tc>
        <w:tc>
          <w:tcPr>
            <w:tcW w:type="dxa" w:w="1728"/>
          </w:tcPr>
          <w:p>
            <w:r>
              <w:t>0.3319</w:t>
            </w:r>
          </w:p>
        </w:tc>
        <w:tc>
          <w:tcPr>
            <w:tcW w:type="dxa" w:w="1728"/>
          </w:tcPr>
          <w:p>
            <w:r>
              <w:t>0.1661</w:t>
            </w:r>
          </w:p>
        </w:tc>
        <w:tc>
          <w:tcPr>
            <w:tcW w:type="dxa" w:w="1728"/>
          </w:tcPr>
          <w:p>
            <w:r>
              <w:t>0.1654</w:t>
            </w:r>
          </w:p>
        </w:tc>
      </w:tr>
      <w:tr>
        <w:tc>
          <w:tcPr>
            <w:tcW w:type="dxa" w:w="1728"/>
          </w:tcPr>
          <w:p>
            <w:r>
              <w:t>Urgency</w:t>
            </w:r>
          </w:p>
        </w:tc>
        <w:tc>
          <w:tcPr>
            <w:tcW w:type="dxa" w:w="1728"/>
          </w:tcPr>
          <w:p>
            <w:r>
              <w:t>TF-IDF + Logistic Regression</w:t>
            </w:r>
          </w:p>
        </w:tc>
        <w:tc>
          <w:tcPr>
            <w:tcW w:type="dxa" w:w="1728"/>
          </w:tcPr>
          <w:p>
            <w:r>
              <w:t>0.9459</w:t>
            </w:r>
          </w:p>
        </w:tc>
        <w:tc>
          <w:tcPr>
            <w:tcW w:type="dxa" w:w="1728"/>
          </w:tcPr>
          <w:p>
            <w:r>
              <w:t>0.9451</w:t>
            </w:r>
          </w:p>
        </w:tc>
        <w:tc>
          <w:tcPr>
            <w:tcW w:type="dxa" w:w="1728"/>
          </w:tcPr>
          <w:p>
            <w:r>
              <w:t>0.9451</w:t>
            </w:r>
          </w:p>
        </w:tc>
      </w:tr>
      <w:tr>
        <w:tc>
          <w:tcPr>
            <w:tcW w:type="dxa" w:w="1728"/>
          </w:tcPr>
          <w:p>
            <w:r>
              <w:t>Urgency</w:t>
            </w:r>
          </w:p>
        </w:tc>
        <w:tc>
          <w:tcPr>
            <w:tcW w:type="dxa" w:w="1728"/>
          </w:tcPr>
          <w:p>
            <w:r>
              <w:t>TF-IDF + Linear SVM</w:t>
            </w:r>
          </w:p>
        </w:tc>
        <w:tc>
          <w:tcPr>
            <w:tcW w:type="dxa" w:w="1728"/>
          </w:tcPr>
          <w:p>
            <w:r>
              <w:t>0.9173</w:t>
            </w:r>
          </w:p>
        </w:tc>
        <w:tc>
          <w:tcPr>
            <w:tcW w:type="dxa" w:w="1728"/>
          </w:tcPr>
          <w:p>
            <w:r>
              <w:t>0.9152</w:t>
            </w:r>
          </w:p>
        </w:tc>
        <w:tc>
          <w:tcPr>
            <w:tcW w:type="dxa" w:w="1728"/>
          </w:tcPr>
          <w:p>
            <w:r>
              <w:t>0.9153</w:t>
            </w:r>
          </w:p>
        </w:tc>
      </w:tr>
      <w:tr>
        <w:tc>
          <w:tcPr>
            <w:tcW w:type="dxa" w:w="1728"/>
          </w:tcPr>
          <w:p>
            <w:r>
              <w:t>Urgency</w:t>
            </w:r>
          </w:p>
        </w:tc>
        <w:tc>
          <w:tcPr>
            <w:tcW w:type="dxa" w:w="1728"/>
          </w:tcPr>
          <w:p>
            <w:r>
              <w:rPr>
                <w:b/>
              </w:rPr>
              <w:t>Dual transformer</w:t>
            </w:r>
          </w:p>
        </w:tc>
        <w:tc>
          <w:tcPr>
            <w:tcW w:type="dxa" w:w="1728"/>
          </w:tcPr>
          <w:p>
            <w:r>
              <w:t>0.9809</w:t>
            </w:r>
          </w:p>
        </w:tc>
        <w:tc>
          <w:tcPr>
            <w:tcW w:type="dxa" w:w="1728"/>
          </w:tcPr>
          <w:p>
            <w:r>
              <w:rPr>
                <w:b/>
              </w:rPr>
              <w:t>0.9808</w:t>
            </w:r>
          </w:p>
        </w:tc>
        <w:tc>
          <w:tcPr>
            <w:tcW w:type="dxa" w:w="1728"/>
          </w:tcPr>
          <w:p>
            <w:r>
              <w:t>0.9808</w:t>
            </w:r>
          </w:p>
        </w:tc>
      </w:tr>
      <w:tr>
        <w:tc>
          <w:tcPr>
            <w:tcW w:type="dxa" w:w="1728"/>
          </w:tcPr>
          <w:p>
            <w:r>
              <w:t>Urgency</w:t>
            </w:r>
          </w:p>
        </w:tc>
        <w:tc>
          <w:tcPr>
            <w:tcW w:type="dxa" w:w="1728"/>
          </w:tcPr>
          <w:p>
            <w:r>
              <w:rPr>
                <w:i/>
              </w:rPr>
              <w:t>(transformer macro-F1, 95% bootstrap CI)</w:t>
            </w:r>
          </w:p>
        </w:tc>
        <w:tc>
          <w:tcPr>
            <w:tcW w:type="dxa" w:w="1728"/>
          </w:tcPr>
          <w:p/>
        </w:tc>
        <w:tc>
          <w:tcPr>
            <w:tcW w:type="dxa" w:w="1728"/>
          </w:tcPr>
          <w:p>
            <w:r>
              <w:rPr>
                <w:i/>
              </w:rPr>
              <w:t>[0.9714, 0.9894]</w:t>
            </w:r>
          </w:p>
        </w:tc>
        <w:tc>
          <w:tcPr>
            <w:tcW w:type="dxa" w:w="1728"/>
          </w:tcPr>
          <w:p/>
        </w:tc>
      </w:tr>
    </w:tbl>
    <w:p/>
    <w:p>
      <w:r>
        <w:rPr>
          <w:i/>
        </w:rPr>
        <w:t>[Insert `confusion_category.png` and `confusion_urgency.png` from `evaluation/results/` here.]</w:t>
      </w:r>
    </w:p>
    <w:p>
      <w:pPr>
        <w:pStyle w:val="Heading3"/>
      </w:pPr>
      <w:r>
        <w:t>6.3.2 Significance (McNemar's Exact Test)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Task</w:t>
            </w:r>
          </w:p>
        </w:tc>
        <w:tc>
          <w:tcPr>
            <w:tcW w:type="dxa" w:w="1440"/>
          </w:tcPr>
          <w:p>
            <w:r>
              <w:rPr>
                <w:b/>
              </w:rPr>
              <w:t>Baseline</w:t>
            </w:r>
          </w:p>
        </w:tc>
        <w:tc>
          <w:tcPr>
            <w:tcW w:type="dxa" w:w="1440"/>
          </w:tcPr>
          <w:p>
            <w:r>
              <w:rPr>
                <w:b/>
              </w:rPr>
              <w:t>Transformer-only correct (b)</w:t>
            </w:r>
          </w:p>
        </w:tc>
        <w:tc>
          <w:tcPr>
            <w:tcW w:type="dxa" w:w="1440"/>
          </w:tcPr>
          <w:p>
            <w:r>
              <w:rPr>
                <w:b/>
              </w:rPr>
              <w:t>Baseline-only correct (c)</w:t>
            </w:r>
          </w:p>
        </w:tc>
        <w:tc>
          <w:tcPr>
            <w:tcW w:type="dxa" w:w="1440"/>
          </w:tcPr>
          <w:p>
            <w:r>
              <w:rPr>
                <w:b/>
              </w:rPr>
              <w:t>p</w:t>
            </w:r>
          </w:p>
        </w:tc>
        <w:tc>
          <w:tcPr>
            <w:tcW w:type="dxa" w:w="1440"/>
          </w:tcPr>
          <w:p>
            <w:r>
              <w:rPr>
                <w:b/>
              </w:rPr>
              <w:t>Verdict</w:t>
            </w:r>
          </w:p>
        </w:tc>
      </w:tr>
      <w:tr>
        <w:tc>
          <w:tcPr>
            <w:tcW w:type="dxa" w:w="1440"/>
          </w:tcPr>
          <w:p>
            <w:r>
              <w:t>Category</w:t>
            </w:r>
          </w:p>
        </w:tc>
        <w:tc>
          <w:tcPr>
            <w:tcW w:type="dxa" w:w="1440"/>
          </w:tcPr>
          <w:p>
            <w:r>
              <w:t>majority</w:t>
            </w:r>
          </w:p>
        </w:tc>
        <w:tc>
          <w:tcPr>
            <w:tcW w:type="dxa" w:w="1440"/>
          </w:tcPr>
          <w:p>
            <w:r>
              <w:t>871</w:t>
            </w:r>
          </w:p>
        </w:tc>
        <w:tc>
          <w:tcPr>
            <w:tcW w:type="dxa" w:w="1440"/>
          </w:tcPr>
          <w:p>
            <w:r>
              <w:t>6</w:t>
            </w:r>
          </w:p>
        </w:tc>
        <w:tc>
          <w:tcPr>
            <w:tcW w:type="dxa" w:w="1440"/>
          </w:tcPr>
          <w:p>
            <w:r>
              <w:t>1.24e-249</w:t>
            </w:r>
          </w:p>
        </w:tc>
        <w:tc>
          <w:tcPr>
            <w:tcW w:type="dxa" w:w="1440"/>
          </w:tcPr>
          <w:p>
            <w:r>
              <w:t>Significant</w:t>
            </w:r>
          </w:p>
        </w:tc>
      </w:tr>
      <w:tr>
        <w:tc>
          <w:tcPr>
            <w:tcW w:type="dxa" w:w="1440"/>
          </w:tcPr>
          <w:p>
            <w:r>
              <w:t>Category</w:t>
            </w:r>
          </w:p>
        </w:tc>
        <w:tc>
          <w:tcPr>
            <w:tcW w:type="dxa" w:w="1440"/>
          </w:tcPr>
          <w:p>
            <w:r>
              <w:t>TF-IDF + LR</w:t>
            </w:r>
          </w:p>
        </w:tc>
        <w:tc>
          <w:tcPr>
            <w:tcW w:type="dxa" w:w="1440"/>
          </w:tcPr>
          <w:p>
            <w:r>
              <w:t>14</w:t>
            </w:r>
          </w:p>
        </w:tc>
        <w:tc>
          <w:tcPr>
            <w:tcW w:type="dxa" w:w="1440"/>
          </w:tcPr>
          <w:p>
            <w:r>
              <w:t>6</w:t>
            </w:r>
          </w:p>
        </w:tc>
        <w:tc>
          <w:tcPr>
            <w:tcW w:type="dxa" w:w="1440"/>
          </w:tcPr>
          <w:p>
            <w:r>
              <w:t>0.1153</w:t>
            </w:r>
          </w:p>
        </w:tc>
        <w:tc>
          <w:tcPr>
            <w:tcW w:type="dxa" w:w="1440"/>
          </w:tcPr>
          <w:p>
            <w:r>
              <w:t>Not significant</w:t>
            </w:r>
          </w:p>
        </w:tc>
      </w:tr>
      <w:tr>
        <w:tc>
          <w:tcPr>
            <w:tcW w:type="dxa" w:w="1440"/>
          </w:tcPr>
          <w:p>
            <w:r>
              <w:t>Category</w:t>
            </w:r>
          </w:p>
        </w:tc>
        <w:tc>
          <w:tcPr>
            <w:tcW w:type="dxa" w:w="1440"/>
          </w:tcPr>
          <w:p>
            <w:r>
              <w:t>TF-IDF + SVM</w:t>
            </w:r>
          </w:p>
        </w:tc>
        <w:tc>
          <w:tcPr>
            <w:tcW w:type="dxa" w:w="1440"/>
          </w:tcPr>
          <w:p>
            <w:r>
              <w:t>7</w:t>
            </w:r>
          </w:p>
        </w:tc>
        <w:tc>
          <w:tcPr>
            <w:tcW w:type="dxa" w:w="1440"/>
          </w:tcPr>
          <w:p>
            <w:r>
              <w:t>6</w:t>
            </w:r>
          </w:p>
        </w:tc>
        <w:tc>
          <w:tcPr>
            <w:tcW w:type="dxa" w:w="1440"/>
          </w:tcPr>
          <w:p>
            <w:r>
              <w:t>1.000</w:t>
            </w:r>
          </w:p>
        </w:tc>
        <w:tc>
          <w:tcPr>
            <w:tcW w:type="dxa" w:w="1440"/>
          </w:tcPr>
          <w:p>
            <w:r>
              <w:t>Not significant</w:t>
            </w:r>
          </w:p>
        </w:tc>
      </w:tr>
      <w:tr>
        <w:tc>
          <w:tcPr>
            <w:tcW w:type="dxa" w:w="1440"/>
          </w:tcPr>
          <w:p>
            <w:r>
              <w:t>Urgency</w:t>
            </w:r>
          </w:p>
        </w:tc>
        <w:tc>
          <w:tcPr>
            <w:tcW w:type="dxa" w:w="1440"/>
          </w:tcPr>
          <w:p>
            <w:r>
              <w:t>majority</w:t>
            </w:r>
          </w:p>
        </w:tc>
        <w:tc>
          <w:tcPr>
            <w:tcW w:type="dxa" w:w="1440"/>
          </w:tcPr>
          <w:p>
            <w:r>
              <w:t>627</w:t>
            </w:r>
          </w:p>
        </w:tc>
        <w:tc>
          <w:tcPr>
            <w:tcW w:type="dxa" w:w="1440"/>
          </w:tcPr>
          <w:p>
            <w:r>
              <w:t>15</w:t>
            </w:r>
          </w:p>
        </w:tc>
        <w:tc>
          <w:tcPr>
            <w:tcW w:type="dxa" w:w="1440"/>
          </w:tcPr>
          <w:p>
            <w:r>
              <w:t>9.45e-164</w:t>
            </w:r>
          </w:p>
        </w:tc>
        <w:tc>
          <w:tcPr>
            <w:tcW w:type="dxa" w:w="1440"/>
          </w:tcPr>
          <w:p>
            <w:r>
              <w:t>Significant</w:t>
            </w:r>
          </w:p>
        </w:tc>
      </w:tr>
      <w:tr>
        <w:tc>
          <w:tcPr>
            <w:tcW w:type="dxa" w:w="1440"/>
          </w:tcPr>
          <w:p>
            <w:r>
              <w:t>Urgency</w:t>
            </w:r>
          </w:p>
        </w:tc>
        <w:tc>
          <w:tcPr>
            <w:tcW w:type="dxa" w:w="1440"/>
          </w:tcPr>
          <w:p>
            <w:r>
              <w:t>TF-IDF + LR</w:t>
            </w:r>
          </w:p>
        </w:tc>
        <w:tc>
          <w:tcPr>
            <w:tcW w:type="dxa" w:w="1440"/>
          </w:tcPr>
          <w:p>
            <w:r>
              <w:t>39</w:t>
            </w:r>
          </w:p>
        </w:tc>
        <w:tc>
          <w:tcPr>
            <w:tcW w:type="dxa" w:w="1440"/>
          </w:tcPr>
          <w:p>
            <w:r>
              <w:t>6</w:t>
            </w:r>
          </w:p>
        </w:tc>
        <w:tc>
          <w:tcPr>
            <w:tcW w:type="dxa" w:w="1440"/>
          </w:tcPr>
          <w:p>
            <w:r>
              <w:t>5.42e-07</w:t>
            </w:r>
          </w:p>
        </w:tc>
        <w:tc>
          <w:tcPr>
            <w:tcW w:type="dxa" w:w="1440"/>
          </w:tcPr>
          <w:p>
            <w:r>
              <w:t>Significant</w:t>
            </w:r>
          </w:p>
        </w:tc>
      </w:tr>
      <w:tr>
        <w:tc>
          <w:tcPr>
            <w:tcW w:type="dxa" w:w="1440"/>
          </w:tcPr>
          <w:p>
            <w:r>
              <w:t>Urgency</w:t>
            </w:r>
          </w:p>
        </w:tc>
        <w:tc>
          <w:tcPr>
            <w:tcW w:type="dxa" w:w="1440"/>
          </w:tcPr>
          <w:p>
            <w:r>
              <w:t>TF-IDF + SVM</w:t>
            </w:r>
          </w:p>
        </w:tc>
        <w:tc>
          <w:tcPr>
            <w:tcW w:type="dxa" w:w="1440"/>
          </w:tcPr>
          <w:p>
            <w:r>
              <w:t>65</w:t>
            </w:r>
          </w:p>
        </w:tc>
        <w:tc>
          <w:tcPr>
            <w:tcW w:type="dxa" w:w="1440"/>
          </w:tcPr>
          <w:p>
            <w:r>
              <w:t>5</w:t>
            </w:r>
          </w:p>
        </w:tc>
        <w:tc>
          <w:tcPr>
            <w:tcW w:type="dxa" w:w="1440"/>
          </w:tcPr>
          <w:p>
            <w:r>
              <w:t>2.22e-14</w:t>
            </w:r>
          </w:p>
        </w:tc>
        <w:tc>
          <w:tcPr>
            <w:tcW w:type="dxa" w:w="1440"/>
          </w:tcPr>
          <w:p>
            <w:r>
              <w:t>Significant</w:t>
            </w:r>
          </w:p>
        </w:tc>
      </w:tr>
    </w:tbl>
    <w:p/>
    <w:p>
      <w:r>
        <w:t xml:space="preserve">The transformer's advantage over the majority-class baseline is significant for both tasks, as expected. For category classification, the transformer is </w:t>
      </w:r>
      <w:r>
        <w:rPr>
          <w:b/>
        </w:rPr>
        <w:t>not</w:t>
      </w:r>
      <w:r>
        <w:t xml:space="preserve"> significantly different from either TF-IDF baseline (p = 0.12 and p = 1.0) — the templated, scenario-based construction of the corpus (Chapter 03) gives strong enough lexical cues per category that a linear bag-of-words model reaches essentially the same performance as a fine-tuned transformer, and this is reported as an honest finding rather than smoothed into a claimed transformer advantage the data does not support. For urgency classification, the transformer is significantly better than both baselines (p = 5.4e-07 and p = 2.2e-14): urgency appears to depend on context in a way a bag-of-words representation captures less completely than category does, consistent with the Chapter 02 discussion of why urgency, more than category, benefits from contextual representation (e.g. distinguishing "exam" appearing routinely from "exam" combined with "today" and "cannot access").</w:t>
      </w:r>
    </w:p>
    <w:p>
      <w:pPr>
        <w:pStyle w:val="Heading3"/>
      </w:pPr>
      <w:r>
        <w:t>6.3.3 Confidence Calibration (Temperature Scaling)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Task</w:t>
            </w:r>
          </w:p>
        </w:tc>
        <w:tc>
          <w:tcPr>
            <w:tcW w:type="dxa" w:w="1080"/>
          </w:tcPr>
          <w:p>
            <w:r>
              <w:rPr>
                <w:b/>
              </w:rPr>
              <w:t>T</w:t>
            </w:r>
          </w:p>
        </w:tc>
        <w:tc>
          <w:tcPr>
            <w:tcW w:type="dxa" w:w="1080"/>
          </w:tcPr>
          <w:p>
            <w:r>
              <w:rPr>
                <w:b/>
              </w:rPr>
              <w:t>ECE before</w:t>
            </w:r>
          </w:p>
        </w:tc>
        <w:tc>
          <w:tcPr>
            <w:tcW w:type="dxa" w:w="1080"/>
          </w:tcPr>
          <w:p>
            <w:r>
              <w:rPr>
                <w:b/>
              </w:rPr>
              <w:t>ECE after</w:t>
            </w:r>
          </w:p>
        </w:tc>
        <w:tc>
          <w:tcPr>
            <w:tcW w:type="dxa" w:w="1080"/>
          </w:tcPr>
          <w:p>
            <w:r>
              <w:rPr>
                <w:b/>
              </w:rPr>
              <w:t>NLL before</w:t>
            </w:r>
          </w:p>
        </w:tc>
        <w:tc>
          <w:tcPr>
            <w:tcW w:type="dxa" w:w="1080"/>
          </w:tcPr>
          <w:p>
            <w:r>
              <w:rPr>
                <w:b/>
              </w:rPr>
              <w:t>NLL after</w:t>
            </w:r>
          </w:p>
        </w:tc>
        <w:tc>
          <w:tcPr>
            <w:tcW w:type="dxa" w:w="1080"/>
          </w:tcPr>
          <w:p>
            <w:r>
              <w:rPr>
                <w:b/>
              </w:rPr>
              <w:t>Mean confidence before</w:t>
            </w:r>
          </w:p>
        </w:tc>
        <w:tc>
          <w:tcPr>
            <w:tcW w:type="dxa" w:w="1080"/>
          </w:tcPr>
          <w:p>
            <w:r>
              <w:rPr>
                <w:b/>
              </w:rPr>
              <w:t>after</w:t>
            </w:r>
          </w:p>
        </w:tc>
      </w:tr>
      <w:tr>
        <w:tc>
          <w:tcPr>
            <w:tcW w:type="dxa" w:w="1080"/>
          </w:tcPr>
          <w:p>
            <w:r>
              <w:t>Category</w:t>
            </w:r>
          </w:p>
        </w:tc>
        <w:tc>
          <w:tcPr>
            <w:tcW w:type="dxa" w:w="1080"/>
          </w:tcPr>
          <w:p>
            <w:r>
              <w:t>0.630</w:t>
            </w:r>
          </w:p>
        </w:tc>
        <w:tc>
          <w:tcPr>
            <w:tcW w:type="dxa" w:w="1080"/>
          </w:tcPr>
          <w:p>
            <w:r>
              <w:t>0.0119</w:t>
            </w:r>
          </w:p>
        </w:tc>
        <w:tc>
          <w:tcPr>
            <w:tcW w:type="dxa" w:w="1080"/>
          </w:tcPr>
          <w:p>
            <w:r>
              <w:t>0.0052</w:t>
            </w:r>
          </w:p>
        </w:tc>
        <w:tc>
          <w:tcPr>
            <w:tcW w:type="dxa" w:w="1080"/>
          </w:tcPr>
          <w:p>
            <w:r>
              <w:t>0.0284</w:t>
            </w:r>
          </w:p>
        </w:tc>
        <w:tc>
          <w:tcPr>
            <w:tcW w:type="dxa" w:w="1080"/>
          </w:tcPr>
          <w:p>
            <w:r>
              <w:t>0.0284</w:t>
            </w:r>
          </w:p>
        </w:tc>
        <w:tc>
          <w:tcPr>
            <w:tcW w:type="dxa" w:w="1080"/>
          </w:tcPr>
          <w:p>
            <w:r>
              <w:t>0.989</w:t>
            </w:r>
          </w:p>
        </w:tc>
        <w:tc>
          <w:tcPr>
            <w:tcW w:type="dxa" w:w="1080"/>
          </w:tcPr>
          <w:p>
            <w:r>
              <w:t>0.998</w:t>
            </w:r>
          </w:p>
        </w:tc>
      </w:tr>
      <w:tr>
        <w:tc>
          <w:tcPr>
            <w:tcW w:type="dxa" w:w="1080"/>
          </w:tcPr>
          <w:p>
            <w:r>
              <w:t>Urgency</w:t>
            </w:r>
          </w:p>
        </w:tc>
        <w:tc>
          <w:tcPr>
            <w:tcW w:type="dxa" w:w="1080"/>
          </w:tcPr>
          <w:p>
            <w:r>
              <w:t>1.569</w:t>
            </w:r>
          </w:p>
        </w:tc>
        <w:tc>
          <w:tcPr>
            <w:tcW w:type="dxa" w:w="1080"/>
          </w:tcPr>
          <w:p>
            <w:r>
              <w:t>0.0174</w:t>
            </w:r>
          </w:p>
        </w:tc>
        <w:tc>
          <w:tcPr>
            <w:tcW w:type="dxa" w:w="1080"/>
          </w:tcPr>
          <w:p>
            <w:r>
              <w:t>0.0140</w:t>
            </w:r>
          </w:p>
        </w:tc>
        <w:tc>
          <w:tcPr>
            <w:tcW w:type="dxa" w:w="1080"/>
          </w:tcPr>
          <w:p>
            <w:r>
              <w:t>0.0806</w:t>
            </w:r>
          </w:p>
        </w:tc>
        <w:tc>
          <w:tcPr>
            <w:tcW w:type="dxa" w:w="1080"/>
          </w:tcPr>
          <w:p>
            <w:r>
              <w:t>0.0720</w:t>
            </w:r>
          </w:p>
        </w:tc>
        <w:tc>
          <w:tcPr>
            <w:tcW w:type="dxa" w:w="1080"/>
          </w:tcPr>
          <w:p>
            <w:r>
              <w:t>0.991</w:t>
            </w:r>
          </w:p>
        </w:tc>
        <w:tc>
          <w:tcPr>
            <w:tcW w:type="dxa" w:w="1080"/>
          </w:tcPr>
          <w:p>
            <w:r>
              <w:t>0.975</w:t>
            </w:r>
          </w:p>
        </w:tc>
      </w:tr>
    </w:tbl>
    <w:p/>
    <w:p>
      <w:r>
        <w:t>Accuracy is unchanged by temperature scaling by construction (Chapter 02); only the reported confidence moves. The fitted category temperature (0.630, below 1) sharpens an already well-behaved confidence distribution rather than correcting overconfidence, while the urgency temperature (1.569, above 1) softens a more overconfident raw distribution — both directions are legitimate outcomes of the same method, and which direction is needed is itself something that has to be measured per task rather than assumed. Expected Calibration Error improves for both tasks (category 0.0119 to 0.0052; urgency 0.0174 to 0.0140).</w:t>
      </w:r>
    </w:p>
    <w:p>
      <w:r>
        <w:rPr>
          <w:i/>
        </w:rPr>
        <w:t>[Insert `reliability_category.png` and `reliability_urgency.png` from `evaluation/results/` here.]</w:t>
      </w:r>
    </w:p>
    <w:p>
      <w:pPr>
        <w:pStyle w:val="Heading3"/>
      </w:pPr>
      <w:r>
        <w:t>6.3.4 Selective Routing (Risk-Coverage)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Task</w:t>
            </w:r>
          </w:p>
        </w:tc>
        <w:tc>
          <w:tcPr>
            <w:tcW w:type="dxa" w:w="1234"/>
          </w:tcPr>
          <w:p>
            <w:r>
              <w:rPr>
                <w:b/>
              </w:rPr>
              <w:t>τ</w:t>
            </w:r>
          </w:p>
        </w:tc>
        <w:tc>
          <w:tcPr>
            <w:tcW w:type="dxa" w:w="1234"/>
          </w:tcPr>
          <w:p>
            <w:r>
              <w:rPr>
                <w:b/>
              </w:rPr>
              <w:t>Coverage</w:t>
            </w:r>
          </w:p>
        </w:tc>
        <w:tc>
          <w:tcPr>
            <w:tcW w:type="dxa" w:w="1234"/>
          </w:tcPr>
          <w:p>
            <w:r>
              <w:rPr>
                <w:b/>
              </w:rPr>
              <w:t>Selective risk</w:t>
            </w:r>
          </w:p>
        </w:tc>
        <w:tc>
          <w:tcPr>
            <w:tcW w:type="dxa" w:w="1234"/>
          </w:tcPr>
          <w:p>
            <w:r>
              <w:rPr>
                <w:b/>
              </w:rPr>
              <w:t>Risk if fully automated</w:t>
            </w:r>
          </w:p>
        </w:tc>
        <w:tc>
          <w:tcPr>
            <w:tcW w:type="dxa" w:w="1234"/>
          </w:tcPr>
          <w:p>
            <w:r>
              <w:rPr>
                <w:b/>
              </w:rPr>
              <w:t>Misroutes avoided</w:t>
            </w:r>
          </w:p>
        </w:tc>
        <w:tc>
          <w:tcPr>
            <w:tcW w:type="dxa" w:w="1234"/>
          </w:tcPr>
          <w:p>
            <w:r>
              <w:rPr>
                <w:b/>
              </w:rPr>
              <w:t>AURC</w:t>
            </w:r>
          </w:p>
        </w:tc>
      </w:tr>
      <w:tr>
        <w:tc>
          <w:tcPr>
            <w:tcW w:type="dxa" w:w="1234"/>
          </w:tcPr>
          <w:p>
            <w:r>
              <w:t>Category</w:t>
            </w:r>
          </w:p>
        </w:tc>
        <w:tc>
          <w:tcPr>
            <w:tcW w:type="dxa" w:w="1234"/>
          </w:tcPr>
          <w:p>
            <w:r>
              <w:t>0.554</w:t>
            </w:r>
          </w:p>
        </w:tc>
        <w:tc>
          <w:tcPr>
            <w:tcW w:type="dxa" w:w="1234"/>
          </w:tcPr>
          <w:p>
            <w:r>
              <w:t>100.0%</w:t>
            </w:r>
          </w:p>
        </w:tc>
        <w:tc>
          <w:tcPr>
            <w:tcW w:type="dxa" w:w="1234"/>
          </w:tcPr>
          <w:p>
            <w:r>
              <w:t>0.64%</w:t>
            </w:r>
          </w:p>
        </w:tc>
        <w:tc>
          <w:tcPr>
            <w:tcW w:type="dxa" w:w="1234"/>
          </w:tcPr>
          <w:p>
            <w:r>
              <w:t>0.64%</w:t>
            </w:r>
          </w:p>
        </w:tc>
        <w:tc>
          <w:tcPr>
            <w:tcW w:type="dxa" w:w="1234"/>
          </w:tcPr>
          <w:p>
            <w:r>
              <w:t>0</w:t>
            </w:r>
          </w:p>
        </w:tc>
        <w:tc>
          <w:tcPr>
            <w:tcW w:type="dxa" w:w="1234"/>
          </w:tcPr>
          <w:p>
            <w:r>
              <w:t>0.0000</w:t>
            </w:r>
          </w:p>
        </w:tc>
      </w:tr>
      <w:tr>
        <w:tc>
          <w:tcPr>
            <w:tcW w:type="dxa" w:w="1234"/>
          </w:tcPr>
          <w:p>
            <w:r>
              <w:t>Urgency</w:t>
            </w:r>
          </w:p>
        </w:tc>
        <w:tc>
          <w:tcPr>
            <w:tcW w:type="dxa" w:w="1234"/>
          </w:tcPr>
          <w:p>
            <w:r>
              <w:t>0.521</w:t>
            </w:r>
          </w:p>
        </w:tc>
        <w:tc>
          <w:tcPr>
            <w:tcW w:type="dxa" w:w="1234"/>
          </w:tcPr>
          <w:p>
            <w:r>
              <w:t>99.8%</w:t>
            </w:r>
          </w:p>
        </w:tc>
        <w:tc>
          <w:tcPr>
            <w:tcW w:type="dxa" w:w="1234"/>
          </w:tcPr>
          <w:p>
            <w:r>
              <w:t>1.91%</w:t>
            </w:r>
          </w:p>
        </w:tc>
        <w:tc>
          <w:tcPr>
            <w:tcW w:type="dxa" w:w="1234"/>
          </w:tcPr>
          <w:p>
            <w:r>
              <w:t>1.91%</w:t>
            </w:r>
          </w:p>
        </w:tc>
        <w:tc>
          <w:tcPr>
            <w:tcW w:type="dxa" w:w="1234"/>
          </w:tcPr>
          <w:p>
            <w:r>
              <w:t>0</w:t>
            </w:r>
          </w:p>
        </w:tc>
        <w:tc>
          <w:tcPr>
            <w:tcW w:type="dxa" w:w="1234"/>
          </w:tcPr>
          <w:p>
            <w:r>
              <w:t>0.0014</w:t>
            </w:r>
          </w:p>
        </w:tc>
      </w:tr>
    </w:tbl>
    <w:p/>
    <w:p>
      <w:r>
        <w:t>τ is selected on the validation split against a target selective risk and then applied unchanged to the test split. Because the classifier is already highly accurate on this corpus (Section 6.3.1), the validated τ ends up low enough that selective risk and full-automation risk coincide almost exactly at very high coverage — the abstention mechanism found little it needed to abstain on here, which is a direct consequence of the corpus being easier to classify than a genuine, noisy mailbox is likely to be (Chapter 07 returns to this as a limitation). The mechanism's behaviour under a harder, noisier distribution is better evidenced by the out-of-distribution results below than by this risk-coverage curve alone.</w:t>
      </w:r>
    </w:p>
    <w:p>
      <w:r>
        <w:rPr>
          <w:i/>
        </w:rPr>
        <w:t>[Insert `risk_coverage_category.png` and `risk_coverage_urgency.png` from `evaluation/results/` here.]</w:t>
      </w:r>
    </w:p>
    <w:p>
      <w:pPr>
        <w:pStyle w:val="Heading3"/>
      </w:pPr>
      <w:r>
        <w:t>6.3.5 Out-of-Distribution Detection (Energy Score)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AUROC</w:t>
            </w:r>
          </w:p>
        </w:tc>
        <w:tc>
          <w:tcPr>
            <w:tcW w:type="dxa" w:w="4320"/>
          </w:tcPr>
          <w:p>
            <w:r>
              <w:t>0.9898</w:t>
            </w:r>
          </w:p>
        </w:tc>
      </w:tr>
      <w:tr>
        <w:tc>
          <w:tcPr>
            <w:tcW w:type="dxa" w:w="4320"/>
          </w:tcPr>
          <w:p>
            <w:r>
              <w:t>False positive rate at 95% true positive rate</w:t>
            </w:r>
          </w:p>
        </w:tc>
        <w:tc>
          <w:tcPr>
            <w:tcW w:type="dxa" w:w="4320"/>
          </w:tcPr>
          <w:p>
            <w:r>
              <w:t>0.0000</w:t>
            </w:r>
          </w:p>
        </w:tc>
      </w:tr>
      <w:tr>
        <w:tc>
          <w:tcPr>
            <w:tcW w:type="dxa" w:w="4320"/>
          </w:tcPr>
          <w:p>
            <w:r>
              <w:t>Energy threshold</w:t>
            </w:r>
          </w:p>
        </w:tc>
        <w:tc>
          <w:tcPr>
            <w:tcW w:type="dxa" w:w="4320"/>
          </w:tcPr>
          <w:p>
            <w:r>
              <w:t>-5.1496</w:t>
            </w:r>
          </w:p>
        </w:tc>
      </w:tr>
      <w:tr>
        <w:tc>
          <w:tcPr>
            <w:tcW w:type="dxa" w:w="4320"/>
          </w:tcPr>
          <w:p>
            <w:r>
              <w:t>Out-of-scope messages caught</w:t>
            </w:r>
          </w:p>
        </w:tc>
        <w:tc>
          <w:tcPr>
            <w:tcW w:type="dxa" w:w="4320"/>
          </w:tcPr>
          <w:p>
            <w:r>
              <w:t>100.0%</w:t>
            </w:r>
          </w:p>
        </w:tc>
      </w:tr>
      <w:tr>
        <w:tc>
          <w:tcPr>
            <w:tcW w:type="dxa" w:w="4320"/>
          </w:tcPr>
          <w:p>
            <w:r>
              <w:t>Genuine inquiries diverted to Triage (false positive cost)</w:t>
            </w:r>
          </w:p>
        </w:tc>
        <w:tc>
          <w:tcPr>
            <w:tcW w:type="dxa" w:w="4320"/>
          </w:tcPr>
          <w:p>
            <w:r>
              <w:t>4.5%</w:t>
            </w:r>
          </w:p>
        </w:tc>
      </w:tr>
      <w:tr>
        <w:tc>
          <w:tcPr>
            <w:tcW w:type="dxa" w:w="4320"/>
          </w:tcPr>
          <w:p>
            <w:r>
              <w:t>Probe set</w:t>
            </w:r>
          </w:p>
        </w:tc>
        <w:tc>
          <w:tcPr>
            <w:tcW w:type="dxa" w:w="4320"/>
          </w:tcPr>
          <w:p>
            <w:r>
              <w:t xml:space="preserve">20 items — </w:t>
            </w:r>
            <w:r>
              <w:rPr>
                <w:b/>
              </w:rPr>
              <w:t>synthetic</w:t>
            </w:r>
            <w:r>
              <w:t>, standing in for genuine out-of-scope mail</w:t>
            </w:r>
          </w:p>
        </w:tc>
      </w:tr>
    </w:tbl>
    <w:p/>
    <w:p>
      <w:r>
        <w:t>The energy score separates the 20-item synthetic out-of-scope probe set from genuine inquiries almost perfectly (AUROC 0.99, zero false positives at 95% true-positive rate). The probe set's synthetic status is carried over honestly from the evaluation script's own labelling rather than presented as if it were real out-of-scope mail; Chapter 07 recommends replacing it with genuine out-of-scope messages (e.g. spam, unrelated correspondence, or inquiries about a different institution entirely) as future work, since a synthetic probe set — almost by construction — is easier to separate than a real one would be.</w:t>
      </w:r>
    </w:p>
    <w:p>
      <w:r>
        <w:rPr>
          <w:i/>
        </w:rPr>
        <w:t>[Insert `ood_energy.png` from `evaluation/results/` here.]</w:t>
      </w:r>
    </w:p>
    <w:p>
      <w:pPr>
        <w:pStyle w:val="Heading3"/>
      </w:pPr>
      <w:r>
        <w:t>6.3.6 Inference Cost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Backend</w:t>
            </w:r>
          </w:p>
        </w:tc>
        <w:tc>
          <w:tcPr>
            <w:tcW w:type="dxa" w:w="1440"/>
          </w:tcPr>
          <w:p>
            <w:r>
              <w:rPr>
                <w:b/>
              </w:rPr>
              <w:t>Parameters (M)</w:t>
            </w:r>
          </w:p>
        </w:tc>
        <w:tc>
          <w:tcPr>
            <w:tcW w:type="dxa" w:w="1440"/>
          </w:tcPr>
          <w:p>
            <w:r>
              <w:rPr>
                <w:b/>
              </w:rPr>
              <w:t>Disk (MB)</w:t>
            </w:r>
          </w:p>
        </w:tc>
        <w:tc>
          <w:tcPr>
            <w:tcW w:type="dxa" w:w="1440"/>
          </w:tcPr>
          <w:p>
            <w:r>
              <w:rPr>
                <w:b/>
              </w:rPr>
              <w:t>Forward passes per inquiry</w:t>
            </w:r>
          </w:p>
        </w:tc>
        <w:tc>
          <w:tcPr>
            <w:tcW w:type="dxa" w:w="1440"/>
          </w:tcPr>
          <w:p>
            <w:r>
              <w:rPr>
                <w:b/>
              </w:rPr>
              <w:t>Median latency (ms)</w:t>
            </w:r>
          </w:p>
        </w:tc>
        <w:tc>
          <w:tcPr>
            <w:tcW w:type="dxa" w:w="1440"/>
          </w:tcPr>
          <w:p>
            <w:r>
              <w:rPr>
                <w:b/>
              </w:rPr>
              <w:t>p95 latency (ms)</w:t>
            </w:r>
          </w:p>
        </w:tc>
      </w:tr>
      <w:tr>
        <w:tc>
          <w:tcPr>
            <w:tcW w:type="dxa" w:w="1440"/>
          </w:tcPr>
          <w:p>
            <w:r>
              <w:t>Dual</w:t>
            </w:r>
          </w:p>
        </w:tc>
        <w:tc>
          <w:tcPr>
            <w:tcW w:type="dxa" w:w="1440"/>
          </w:tcPr>
          <w:p>
            <w:r>
              <w:t>176.44</w:t>
            </w:r>
          </w:p>
        </w:tc>
        <w:tc>
          <w:tcPr>
            <w:tcW w:type="dxa" w:w="1440"/>
          </w:tcPr>
          <w:p>
            <w:r>
              <w:t>674.5</w:t>
            </w:r>
          </w:p>
        </w:tc>
        <w:tc>
          <w:tcPr>
            <w:tcW w:type="dxa" w:w="1440"/>
          </w:tcPr>
          <w:p>
            <w:r>
              <w:t>2</w:t>
            </w:r>
          </w:p>
        </w:tc>
        <w:tc>
          <w:tcPr>
            <w:tcW w:type="dxa" w:w="1440"/>
          </w:tcPr>
          <w:p>
            <w:r>
              <w:t>364.4</w:t>
            </w:r>
          </w:p>
        </w:tc>
        <w:tc>
          <w:tcPr>
            <w:tcW w:type="dxa" w:w="1440"/>
          </w:tcPr>
          <w:p>
            <w:r>
              <w:t>466.1</w:t>
            </w:r>
          </w:p>
        </w:tc>
      </w:tr>
    </w:tbl>
    <w:p/>
    <w:p>
      <w:r>
        <w:t>Measured on CPU (4 threads), matching the deployment profile in Chapter 01's resource requirements (no GPU is assumed at inference time — fine-tuning, not serving, is what used the cloud GPU). A median latency of 364 ms per inquiry is comfortably inside the time budget of a synchronous HTTP request-response cycle (Chapter 04, NFR-7), including for the email-intake job, which processes messages on a 60-second poll interval rather than under interactive latency pressure.</w:t>
      </w:r>
    </w:p>
    <w:p>
      <w:pPr>
        <w:pStyle w:val="Heading2"/>
      </w:pPr>
      <w:r>
        <w:t>6.4 Review of Testing Strategies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Used?</w:t>
            </w:r>
          </w:p>
        </w:tc>
        <w:tc>
          <w:tcPr>
            <w:tcW w:type="dxa" w:w="2880"/>
          </w:tcPr>
          <w:p>
            <w:r>
              <w:rPr>
                <w:b/>
              </w:rPr>
              <w:t>Justification</w:t>
            </w:r>
          </w:p>
        </w:tc>
      </w:tr>
      <w:tr>
        <w:tc>
          <w:tcPr>
            <w:tcW w:type="dxa" w:w="2880"/>
          </w:tcPr>
          <w:p>
            <w:r>
              <w:t>Unit / integration testing (pytest)</w:t>
            </w:r>
          </w:p>
        </w:tc>
        <w:tc>
          <w:tcPr>
            <w:tcW w:type="dxa" w:w="2880"/>
          </w:tcPr>
          <w:p>
            <w:r>
              <w:t>Yes</w:t>
            </w:r>
          </w:p>
        </w:tc>
        <w:tc>
          <w:tcPr>
            <w:tcW w:type="dxa" w:w="2880"/>
          </w:tcPr>
          <w:p>
            <w:r>
              <w:t>The primary strategy for domain logic, access control, and ML mathematics — fast, deterministic, and independent of dataset or model quality, so a routing-logic regression is caught without ever loading a transformer.</w:t>
            </w:r>
          </w:p>
        </w:tc>
      </w:tr>
      <w:tr>
        <w:tc>
          <w:tcPr>
            <w:tcW w:type="dxa" w:w="2880"/>
          </w:tcPr>
          <w:p>
            <w:r>
              <w:t>Model evaluation (held-out test set, baselines, significance testing)</w:t>
            </w:r>
          </w:p>
        </w:tc>
        <w:tc>
          <w:tcPr>
            <w:tcW w:type="dxa" w:w="2880"/>
          </w:tcPr>
          <w:p>
            <w:r>
              <w:t>Yes</w:t>
            </w:r>
          </w:p>
        </w:tc>
        <w:tc>
          <w:tcPr>
            <w:tcW w:type="dxa" w:w="2880"/>
          </w:tcPr>
          <w:p>
            <w:r>
              <w:t>The primary strategy for the ML contribution itself — accuracy alone would not support the calibration or selective-prediction claims made in Chapters 02 and 05, so this project treats classification metrics, calibration metrics, and selective-prediction metrics as three separate, necessary evaluation strategies rather than one.</w:t>
            </w:r>
          </w:p>
        </w:tc>
      </w:tr>
      <w:tr>
        <w:tc>
          <w:tcPr>
            <w:tcW w:type="dxa" w:w="2880"/>
          </w:tcPr>
          <w:p>
            <w:r>
              <w:t>Database-constraint testing</w:t>
            </w:r>
          </w:p>
        </w:tc>
        <w:tc>
          <w:tcPr>
            <w:tcW w:type="dxa" w:w="2880"/>
          </w:tcPr>
          <w:p>
            <w:r>
              <w:t>Yes</w:t>
            </w:r>
          </w:p>
        </w:tc>
        <w:tc>
          <w:tcPr>
            <w:tcW w:type="dxa" w:w="2880"/>
          </w:tcPr>
          <w:p>
            <w:r>
              <w:t>Used specifically for invariants a unit test cannot verify by calling a Python function alone (e.g. `UNIQUE(source, source_ref)`, TC-07), since the constraint is enforced by PostgreSQL/SQLite itself, not by application code that could be bypassed.</w:t>
            </w:r>
          </w:p>
        </w:tc>
      </w:tr>
      <w:tr>
        <w:tc>
          <w:tcPr>
            <w:tcW w:type="dxa" w:w="2880"/>
          </w:tcPr>
          <w:p>
            <w:r>
              <w:t>Regression testing</w:t>
            </w:r>
          </w:p>
        </w:tc>
        <w:tc>
          <w:tcPr>
            <w:tcW w:type="dxa" w:w="2880"/>
          </w:tcPr>
          <w:p>
            <w:r>
              <w:t>Yes</w:t>
            </w:r>
          </w:p>
        </w:tc>
        <w:tc>
          <w:tcPr>
            <w:tcW w:type="dxa" w:w="2880"/>
          </w:tcPr>
          <w:p>
            <w:r>
              <w:t>TC-08 is a regression test written directly in response to the real automated-sender incident (Chapter 05); this is the project's practice of turning an incident into a permanent test rather than only a one-time fix.</w:t>
            </w:r>
          </w:p>
        </w:tc>
      </w:tr>
      <w:tr>
        <w:tc>
          <w:tcPr>
            <w:tcW w:type="dxa" w:w="2880"/>
          </w:tcPr>
          <w:p>
            <w:r>
              <w:t>Manual / exploratory testing</w:t>
            </w:r>
          </w:p>
        </w:tc>
        <w:tc>
          <w:tcPr>
            <w:tcW w:type="dxa" w:w="2880"/>
          </w:tcPr>
          <w:p>
            <w:r>
              <w:t>Yes, informally</w:t>
            </w:r>
          </w:p>
        </w:tc>
        <w:tc>
          <w:tcPr>
            <w:tcW w:type="dxa" w:w="2880"/>
          </w:tcPr>
          <w:p>
            <w:r>
              <w:t>Used throughout development to verify HTTP behaviour directly (issuing real requests and inspecting the resulting database rows), as described in Chapter 04's operationalization process, rather than trusting code review alone.</w:t>
            </w:r>
          </w:p>
        </w:tc>
      </w:tr>
      <w:tr>
        <w:tc>
          <w:tcPr>
            <w:tcW w:type="dxa" w:w="2880"/>
          </w:tcPr>
          <w:p>
            <w:r>
              <w:t>Load / stress testing</w:t>
            </w:r>
          </w:p>
        </w:tc>
        <w:tc>
          <w:tcPr>
            <w:tcW w:type="dxa" w:w="2880"/>
          </w:tcPr>
          <w:p>
            <w:r>
              <w:t>No</w:t>
            </w:r>
          </w:p>
        </w:tc>
        <w:tc>
          <w:tcPr>
            <w:tcW w:type="dxa" w:w="2880"/>
          </w:tcPr>
          <w:p>
            <w:r>
              <w:t>Not attempted. The system has not been exercised under concurrent multi-user HTTP load, so its behaviour under realistic institutional traffic volume is not evaluated in this thesis and is named as a limitation in Chapter 07.</w:t>
            </w:r>
          </w:p>
        </w:tc>
      </w:tr>
      <w:tr>
        <w:tc>
          <w:tcPr>
            <w:tcW w:type="dxa" w:w="2880"/>
          </w:tcPr>
          <w:p>
            <w:r>
              <w:t>Security penetration testing</w:t>
            </w:r>
          </w:p>
        </w:tc>
        <w:tc>
          <w:tcPr>
            <w:tcW w:type="dxa" w:w="2880"/>
          </w:tcPr>
          <w:p>
            <w:r>
              <w:t>No</w:t>
            </w:r>
          </w:p>
        </w:tc>
        <w:tc>
          <w:tcPr>
            <w:tcW w:type="dxa" w:w="2880"/>
          </w:tcPr>
          <w:p>
            <w:r>
              <w:t>Not attempted; the auth and access-control tests in this suite verify the intended behaviour of the implemented controls (lockout, department scoping, token rotation), not resistance to a deliberate attacker probing for unintended behaviour.</w:t>
            </w:r>
          </w:p>
        </w:tc>
      </w:tr>
      <w:tr>
        <w:tc>
          <w:tcPr>
            <w:tcW w:type="dxa" w:w="2880"/>
          </w:tcPr>
          <w:p>
            <w:r>
              <w:t>Usability testing with real staff</w:t>
            </w:r>
          </w:p>
        </w:tc>
        <w:tc>
          <w:tcPr>
            <w:tcW w:type="dxa" w:w="2880"/>
          </w:tcPr>
          <w:p>
            <w:r>
              <w:t>No</w:t>
            </w:r>
          </w:p>
        </w:tc>
        <w:tc>
          <w:tcPr>
            <w:tcW w:type="dxa" w:w="2880"/>
          </w:tcPr>
          <w:p>
            <w:r>
              <w:t>The dashboard has not been evaluated with actual department officers; its design follows the requirements in Chapter 04, but a genuine usability assessment would require institutional access this undergraduate project did not have.</w:t>
            </w:r>
          </w:p>
        </w:tc>
      </w:tr>
      <w:tr>
        <w:tc>
          <w:tcPr>
            <w:tcW w:type="dxa" w:w="2880"/>
          </w:tcPr>
          <w:p>
            <w:r>
              <w:t>Cross-institution / external validity testing</w:t>
            </w:r>
          </w:p>
        </w:tc>
        <w:tc>
          <w:tcPr>
            <w:tcW w:type="dxa" w:w="2880"/>
          </w:tcPr>
          <w:p>
            <w:r>
              <w:t>No</w:t>
            </w:r>
          </w:p>
        </w:tc>
        <w:tc>
          <w:tcPr>
            <w:tcW w:type="dxa" w:w="2880"/>
          </w:tcPr>
          <w:p>
            <w:r>
              <w:t>The corpus (Chapter 03) was constructed for this specific university-category schema; how the trained classifiers perform on a different institution's inquiry categories or phrasing conventions is untested and out of scope.</w:t>
            </w:r>
          </w:p>
        </w:tc>
      </w:tr>
    </w:tbl>
    <w:p/>
    <w:p>
      <w:r>
        <w:t>Not every strategy the template lists applies to a project of this kind and scope, and the table above is meant to show that omission was a decision, not an oversight: load testing and penetration testing in particular would require infrastructure and authorization beyond an undergraduate research project, and are named explicitly in Chapter 07 as recommended future work rather than silently absent.</w:t>
      </w:r>
    </w:p>
    <w:p>
      <w:pPr>
        <w:pStyle w:val="Heading2"/>
      </w:pPr>
      <w:r>
        <w:t>6.5 Chapter Summary</w:t>
      </w:r>
    </w:p>
    <w:p>
      <w:r>
        <w:t>This chapter presented ten representative test cases from the 43-test suite, split across non-functional concerns (concurrency, account lockout, department-scoped access control) and functional concerns (SLA computation, routing corrections, email deduplication, automated-sender filtering, and the mathematical correctness of calibration and selective prediction). It then reported the evaluation pipeline's results against the real, constructed corpus: a dual transformer statistically indistinguishable from a linear baseline on category classification but significantly better on urgency classification, well-calibrated confidence scores, a selective-prediction mechanism operating near-perfectly on this corpus's difficulty level, and near-perfect separation of a synthetic out-of-distribution probe set. It also reported, rather than concealed, a real defect discovered in the evaluation tooling itself during this process, and the strategies this project did not attempt alongside the reasoning for each omission. The next and final chapter reflects on these results against the research objectives, states the project's limitations honestly, and sets out recommendations for future work, including voice/ASR intake, feedback retraining, and the load, security, and usability testing this chapter identified as not yet performed.</w:t>
      </w:r>
    </w:p>
    <w:p>
      <w:r>
        <w:br w:type="page"/>
      </w:r>
    </w:p>
    <w:p>
      <w:pPr>
        <w:pStyle w:val="Heading1"/>
      </w:pPr>
      <w:r>
        <w:t>Chapter 07 — Concluding Remarks</w:t>
      </w:r>
    </w:p>
    <w:p>
      <w:pPr>
        <w:pStyle w:val="Heading2"/>
      </w:pPr>
      <w:r>
        <w:t>7.1 Accomplishment of the Research Objectives</w:t>
      </w:r>
    </w:p>
    <w:p>
      <w:r>
        <w:t>Each research objective from Chapter 01 is assessed here by triangulation: literature evidence (Chapter 02), implementation evidence (Chapters 04-05), and testing evidence (Chapter 06), rather than by a single line of support. An objective is judged met only when at least two of these three independently point the same way.</w:t>
      </w:r>
    </w:p>
    <w:p>
      <w:r>
        <w:rPr>
          <w:b/>
        </w:rPr>
        <w:t>Objective 1 — To identify university inquiry categories, urgency criteria, and suitable secondary datasets.</w:t>
      </w:r>
      <w:r>
        <w:t xml:space="preserve"> Met. Chapter 02 reviewed the domain and the available secondary datasets; Chapter 03 defined seven categories and three urgency levels and constructed a 10,782-row corpus combining relabelled public sources with author-constructed inquiries against that schema; Chapter 06's evaluation confirms the schema is learnable, with the classifier reaching 0.99 category macro-F1 and 0.98 urgency macro-F1 on held-out data drawn from it.</w:t>
      </w:r>
    </w:p>
    <w:p>
      <w:r>
        <w:rPr>
          <w:b/>
        </w:rPr>
        <w:t>Objective 2 — To analyze existing AI, NLP, ticket classification, support-desk prioritization, calibration, and selective-prediction studies.</w:t>
      </w:r>
      <w:r>
        <w:t xml:space="preserve"> Met. Chapter 02's literature review covers all of these areas and — beyond the interim report's scope — extends into calibration, out-of-distribution detection, and explainability literature once building the system showed these were necessary, not optional reading. The research gap this analysis produced (Section 2.6) is the gap this thesis's artifact actually closes, which is the intended purpose of this objective rather than literature review as an end in itself.</w:t>
      </w:r>
    </w:p>
    <w:p>
      <w:r>
        <w:rPr>
          <w:b/>
        </w:rPr>
        <w:t>Objective 3 — To design and develop a system that preprocesses inquiry text, classifies category and urgency, calibrates confidence, and abstains to a human-reviewed queue when confidence or out-of-distribution evidence indicates the prediction should not be trusted.</w:t>
      </w:r>
      <w:r>
        <w:t xml:space="preserve"> Met. Chapter 04 specified this system and Chapter 05 showed the real code implementing it — the calibrated, dual-gated routing decision (Section 5.2.1), per-token explanation (Section 5.2.2), optimistic concurrency (Section 5.2.3), and automated-sender filtering (Section 5.2.4) are not aspirational descriptions but working code with passing tests (Chapter 06, Section 6.2).</w:t>
      </w:r>
    </w:p>
    <w:p>
      <w:r>
        <w:rPr>
          <w:b/>
        </w:rPr>
        <w:t>Objective 4 — To evaluate the proposed system using classification, calibration, and selective-prediction metrics, comparing against baseline models.</w:t>
      </w:r>
      <w:r>
        <w:t xml:space="preserve"> Met, with an honest qualification. Chapter 06 reports classification accuracy/macro-F1/significance, Expected Calibration Error, risk-coverage/AURC, and energy-score AUROC, all against the real held-out corpus and all compared against classical baselines with McNemar's exact test. The qualification is that the transformer's advantage over the strongest baseline is statistically significant for urgency but not for category (Section 6.3.2) — evaluation was carried out completely and honestly, and it does not uniformly favour the more complex model, which this thesis treats as a finding to report rather than a result to explain away.</w:t>
      </w:r>
    </w:p>
    <w:p>
      <w:pPr>
        <w:pStyle w:val="Heading2"/>
      </w:pPr>
      <w:r>
        <w:t>7.2 Problems Encountered</w:t>
      </w:r>
    </w:p>
    <w:p>
      <w:r>
        <w:t>Six problems shaped this project's execution, each already described where it occurred and drawn together here as a connected account of what was actually difficult.</w:t>
      </w:r>
    </w:p>
    <w:p>
      <w:r>
        <w:rPr>
          <w:b/>
        </w:rPr>
        <w:t>Public datasets did not fit the university schema.</w:t>
      </w:r>
      <w:r>
        <w:t xml:space="preserve"> As anticipated in the interim report's specific-problem statement, the public secondary sources reviewed in Chapter 02 used categories and urgency conventions that did not map cleanly onto university administrative categories, which is why the final corpus (Chapter 03) became a deliberate mix of relabelled public data and author-constructed scenario-based inquiries rather than a public dataset used as-is.</w:t>
      </w:r>
    </w:p>
    <w:p>
      <w:r>
        <w:rPr>
          <w:b/>
        </w:rPr>
        <w:t>The first fine-tuned classifier's confidence was not trustworthy.</w:t>
      </w:r>
      <w:r>
        <w:t xml:space="preserve"> Evaluating the transformer's raw confidence during the DSRM Evaluation stage (Chapter 03, Section 3.3) showed it was miscalibrated in the way Guo et al.'s literature predicts, which sent the project back into Design and Development to add temperature scaling, the τ threshold, and energy-based out-of-distribution detection before evaluation could be trusted — an unplanned iteration the interim schedule did not budget for.</w:t>
      </w:r>
    </w:p>
    <w:p>
      <w:r>
        <w:rPr>
          <w:b/>
        </w:rPr>
        <w:t>The original prototype architecture could not support the access-control and audit requirements the system turned out to need.</w:t>
      </w:r>
      <w:r>
        <w:t xml:space="preserve"> Once department-scoped access control, an append-only audit trail, and optimistic concurrency were identified as requirements (Chapter 04), the Streamlit/SQLite prototype was rebuilt on FastAPI, PostgreSQL, and React (Chapter 03, Section 3.6.1) — a larger engineering undertaking than originally scheduled, running in parallel with model refinement rather than after it.</w:t>
      </w:r>
    </w:p>
    <w:p>
      <w:r>
        <w:rPr>
          <w:b/>
        </w:rPr>
        <w:t>A live automated-sender email incident exposed a missing safeguard.</w:t>
      </w:r>
      <w:r>
        <w:t xml:space="preserve"> During development, the IMAP poller ingested seven automated account-security notification emails as if they were student inquiries (Chapter 03, Section 3.6.2; Chapter 05, Section 5.2.4), which was not anticipated until it happened and had to be fixed and turned into a permanent regression test (Chapter 06, TC-08) rather than a one-time cleanup.</w:t>
      </w:r>
    </w:p>
    <w:p>
      <w:r>
        <w:rPr>
          <w:b/>
        </w:rPr>
        <w:t>Windows and CPU-only inference imposed real engineering constraints.</w:t>
      </w:r>
      <w:r>
        <w:t xml:space="preserve"> Running two transformer models in the same process on a memory-constrained laptop required deliberately releasing each model before loading the next (Chapter 05's `logits_cache.py`), because a failed PyTorch allocation on Windows surfaces as an opaque access violation rather than a catchable `MemoryError` — a constraint documented directly in the evaluation tooling's own comments and one this thesis's evaluation pipeline was written around rather than worked past.</w:t>
      </w:r>
    </w:p>
    <w:p>
      <w:r>
        <w:rPr>
          <w:b/>
        </w:rPr>
        <w:t>The evaluation pipeline itself contained a defect that produced a plausible but wrong report.</w:t>
      </w:r>
      <w:r>
        <w:t xml:space="preserve"> A broken import in `evaluate.py` caused a stage to fail silently while the report-assembly step reused stale results from an earlier synthetic-data run (Chapter 06). This was caught only because the resulting numbers were checked against what the underlying test-set size should have been, not because the report looked wrong on its face — it did not.</w:t>
      </w:r>
    </w:p>
    <w:p>
      <w:pPr>
        <w:pStyle w:val="Heading2"/>
      </w:pPr>
      <w:r>
        <w:t>7.3 Self-Reflection</w:t>
      </w:r>
    </w:p>
    <w:p>
      <w:pPr>
        <w:pStyle w:val="Heading3"/>
      </w:pPr>
      <w:r>
        <w:t>7.3.1 Ideology About the Research Carried Out</w:t>
      </w:r>
    </w:p>
    <w:p>
      <w:r>
        <w:t>This research is built on a specific position about what an AI system should be trusted to decide on its own: that a classifier's raw output is not a decision, and that the gap between "the model produced a label" and "it is safe to act on that label without a human" has to be closed explicitly, with evidence, rather than assumed away by reporting high accuracy and moving on. That position shaped almost every design decision in this thesis — calibration, selective abstention, out-of-distribution detection, per-token explanation, and an append-only audit trail all exist because the alternative (auto-routing every inquiry on raw confidence) was judged unacceptable for a system making decisions that affect a real student's deadline, even though it would have been considerably simpler to build and would have looked no worse in a plain accuracy table.</w:t>
      </w:r>
    </w:p>
    <w:p>
      <w:pPr>
        <w:pStyle w:val="Heading3"/>
      </w:pPr>
      <w:r>
        <w:t>7.3.2 Benefits Gained</w:t>
      </w:r>
    </w:p>
    <w:p>
      <w:r>
        <w:t>This project required working competently across a wider stack than a purely ML-focused undergraduate project typically demands: fine-tuning and calibrating transformer classifiers; implementing selective prediction and out-of-distribution detection from their source papers rather than from a library call; designing and building a role-based, auditable web service in FastAPI and PostgreSQL; and building a typed, schema-generated React frontend consuming it. Beyond the technical skills, the research-methodology discipline of Design Science Research — treating the system itself as the unit of evaluation, and being answerable to literature, testing, and honest reporting simultaneously rather than any one of them alone — is a way of working this thesis's author had not practised at this scale before.</w:t>
      </w:r>
    </w:p>
    <w:p>
      <w:pPr>
        <w:pStyle w:val="Heading3"/>
      </w:pPr>
      <w:r>
        <w:t>7.3.3 Learning Curves</w:t>
      </w:r>
    </w:p>
    <w:p>
      <w:r>
        <w:t>Several concepts required real study before they could be implemented correctly rather than merely invoked: temperature scaling's guarantee that it preserves the predicted class (verified directly in TC-09 once understood, not merely assumed); why an energy score, and not a softmax confidence, is needed for out-of-distribution detection (Section 2.5.1); the mechanics of Integrated Gradients' path-integral formulation well enough to implement it directly rather than call a library function; and the concurrency-control reasoning behind optimistic locking, which required understanding a real bug (the "lost update" described in `workflow.py`'s own docstring) before the fix made sense as anything other than boilerplate. In each case, the learning curve was steepest exactly where the interim report had least anticipated needing it — which is itself consistent with this thesis's broader finding that a system's real requirements are discovered by building it, not fully known in advance.</w:t>
      </w:r>
    </w:p>
    <w:p>
      <w:pPr>
        <w:pStyle w:val="Heading2"/>
      </w:pPr>
      <w:r>
        <w:t>7.4 Business Insight</w:t>
      </w:r>
    </w:p>
    <w:p>
      <w:pPr>
        <w:pStyle w:val="Heading3"/>
      </w:pPr>
      <w:r>
        <w:t>7.4.1 Real-World Application Possibilities</w:t>
      </w:r>
    </w:p>
    <w:p>
      <w:r>
        <w:t>The calibrated, selectively-abstaining triage pattern this thesis implements is not specific to university inquiries; it generalizes to any service-desk setting where misrouting a request has a real cost and a human reviewer is available as a backstop — government citizen-service portals, healthcare administrative scheduling, and commercial customer-support ticketing are all structurally similar problems. Within higher education specifically, a realistic adoption path would start narrow rather than institution-wide: pilot the system on one or two high-volume departments (Examinations and Fees and Payments are natural candidates, given their deadline sensitivity), measure the τ-driven automation coverage and misroute rate against real traffic for a full semester, and only then expand department coverage — mirroring the department-scoped access model the system already implements rather than requiring a redesign to support a staged rollout. The value proposition to an administration is concrete and auditable rather than speculative: faster first response to deadline-sensitive inquiries, a stored audit trail usable for compliance and quality review, and a quantified (not assumed) automation rate that leaves the harder cases explicitly with staff rather than hidden inside an opaque "AI handled it" claim.</w:t>
      </w:r>
    </w:p>
    <w:p>
      <w:pPr>
        <w:pStyle w:val="Heading2"/>
      </w:pPr>
      <w:r>
        <w:t>7.5 Future Recommendations</w:t>
      </w:r>
    </w:p>
    <w:p>
      <w:r>
        <w:t>The following recommendations are not a generic wish list; each responds to a specific limitation this thesis identified and reported rather than concealed.</w:t>
      </w:r>
    </w:p>
    <w:p>
      <w:pPr>
        <w:pStyle w:val="ListNumber"/>
      </w:pPr>
      <w:r>
        <w:rPr>
          <w:b/>
        </w:rPr>
        <w:t>Implement voice/ASR intake.</w:t>
      </w:r>
      <w:r>
        <w:t xml:space="preserve"> Descoped from this project's timeframe (Chapters 01-03) but architecturally accounted for: a transcript from an ASR component would enter the existing pipeline at the same "cleaned text" point a written inquiry does, requiring no change to classification, calibration, or routing logic. Radford et al.'s and Southwell's work on ASR robustness (Chapter 02) should be revisited for transcript-error handling before this is built.</w:t>
      </w:r>
    </w:p>
    <w:p>
      <w:pPr>
        <w:pStyle w:val="ListNumber"/>
      </w:pPr>
      <w:r>
        <w:rPr>
          <w:b/>
        </w:rPr>
        <w:t>Build the feedback-retraining pipeline the review log already supports.</w:t>
      </w:r>
      <w:r>
        <w:t xml:space="preserve"> `ReviewEvent` rows and the `TrainingRun` table (Chapter 04) exist specifically to support this, but nothing currently consumes them. A concrete next step is a scheduled job that assembles corrected labels into a new training run once enough accumulate, with the same evaluation pipeline (Chapter 06) re-run before any retrained model is promoted.</w:t>
      </w:r>
    </w:p>
    <w:p>
      <w:pPr>
        <w:pStyle w:val="ListNumber"/>
      </w:pPr>
      <w:r>
        <w:rPr>
          <w:b/>
        </w:rPr>
        <w:t>Replace the synthetic out-of-distribution probe set with genuine out-of-scope messages.</w:t>
      </w:r>
      <w:r>
        <w:t xml:space="preserve"> Section 6.3.5's 0.99 AUROC was measured against 20 synthetic items; a probe set of real spam, misdirected mail, or inquiries about an unrelated institution would be a materially harder and more honest test of the energy-score gate.</w:t>
      </w:r>
    </w:p>
    <w:p>
      <w:pPr>
        <w:pStyle w:val="ListNumber"/>
      </w:pPr>
      <w:r>
        <w:rPr>
          <w:b/>
        </w:rPr>
        <w:t>Carry out load, security, and usability testing.</w:t>
      </w:r>
      <w:r>
        <w:t xml:space="preserve"> Named in Chapter 06 as strategies this undergraduate project did not attempt: concurrent-traffic load testing against realistic institutional volume, a security review of the authentication and access-control implementation by someone other than its author, and a usability evaluation with real department officers rather than the researcher acting as the only tester.</w:t>
      </w:r>
    </w:p>
    <w:p>
      <w:pPr>
        <w:pStyle w:val="ListNumber"/>
      </w:pPr>
      <w:r>
        <w:rPr>
          <w:b/>
        </w:rPr>
        <w:t>Validate against genuine, ethically-approved institutional data.</w:t>
      </w:r>
      <w:r>
        <w:t xml:space="preserve"> The corpus constructed for this thesis (Chapter 03) deliberately avoided real student data; a pilot using anonymized real inquiries, under proper ethical approval, is the strongest remaining test of whether the corpus's templated construction (Section 6.3.4's discussion of why selective prediction found little to abstain on) generalizes to genuinely noisy, unscripted student writing.</w:t>
      </w:r>
    </w:p>
    <w:p>
      <w:pPr>
        <w:pStyle w:val="ListNumber"/>
      </w:pPr>
      <w:r>
        <w:rPr>
          <w:b/>
        </w:rPr>
        <w:t>Test cross-institution transfer.</w:t>
      </w:r>
      <w:r>
        <w:t xml:space="preserve"> Whether the trained classifiers, or the calibration and OOD thresholds fitted for them, transfer to a different university's category set and phrasing conventions without retraining from scratch is untested and would materially affect how reusable this artifact is beyond the institution it was built for.</w:t>
      </w:r>
    </w:p>
    <w:p>
      <w:pPr>
        <w:pStyle w:val="Heading2"/>
      </w:pPr>
      <w:r>
        <w:t>7.6 Chapter Summary</w:t>
      </w:r>
    </w:p>
    <w:p>
      <w:r>
        <w:t>This chapter closed the thesis by assessing all four research objectives as met, through triangulated evidence across the literature, implementation, and testing chapters rather than any one alone, while reporting the one qualification the evidence actually supports: a statistically significant transformer advantage for urgency classification but not for category classification. It gave an honest account of six problems actually encountered during execution, from dataset-schema mismatch through to a defect discovered in the evaluation tooling itself, and reflected on the research ideology, skills, and learning curves this project required. It argued that the calibrated, selectively-abstaining triage pattern implemented here has application beyond university administration, and set out six future recommendations, each tied to a specific, previously-identified limitation rather than offered as generic future work. Together with Chapters 01 through 06, this concludes the account of an AI-based university inquiry classification and urgency prioritization system that was not only designed, but built, tested, and evaluated against evidence the thesis reports in full.</w:t>
      </w:r>
    </w:p>
    <w:p>
      <w:r>
        <w:br w:type="page"/>
      </w:r>
    </w:p>
    <w:p>
      <w:pPr>
        <w:pStyle w:val="Heading1"/>
      </w:pPr>
      <w:r>
        <w:t>References</w:t>
      </w:r>
    </w:p>
    <w:p>
      <w:pPr>
        <w:ind w:left="576" w:hanging="576"/>
      </w:pPr>
      <w:r>
        <w:t>[1] L. Labadze, M. Grigolia, and L. Machaidze, "Role of AI chatbots in education: systematic literature review," International Journal of Educational Technology in Higher Education, vol. 20, no. 56, 2023.</w:t>
      </w:r>
    </w:p>
    <w:p>
      <w:pPr>
        <w:ind w:left="576" w:hanging="576"/>
      </w:pPr>
      <w:r>
        <w:t>[2] Z. Liu, C. Benge, and S. Jiang, "Ticket-BERT: Labeling Incident Management Tickets with Language Models," 2023.</w:t>
      </w:r>
    </w:p>
    <w:p>
      <w:pPr>
        <w:ind w:left="576" w:hanging="576"/>
      </w:pPr>
      <w:r>
        <w:t>[3] C. S. K. Selvi, S. J. Shri, R. Prasshanthini, Neelamegan, and R. Sanjay, "Customer Support Ticket Categorization and Prioritization Using Natural Language Processing," in Proceedings of the 3rd International Conference on Futuristic Technology (INCOFT 2025), 2025, pp. 690-698. doi: 10.5220/0013640400004664.</w:t>
      </w:r>
    </w:p>
    <w:p>
      <w:pPr>
        <w:ind w:left="576" w:hanging="576"/>
      </w:pPr>
      <w:r>
        <w:t>[4] A. Radford, J. W. Kim, T. Xu, G. Brockman, C. McLeavey, and I. Sutskever, "Robust Speech Recognition via Large-Scale Weak Supervision," in Proceedings of the 40th International Conference on Machine Learning, in Proceedings of Machine Learning Research, vol. 202, 2023, pp. 28492-28518.</w:t>
      </w:r>
    </w:p>
    <w:p>
      <w:pPr>
        <w:ind w:left="576" w:hanging="576"/>
      </w:pPr>
      <w:r>
        <w:t>[5] R. Southwell, "Challenges and Feasibility of Automatic Speech Recognition for Modeling Student Collaborative Discourse," in Proceedings of Educational Data Mining, 2022.</w:t>
      </w:r>
    </w:p>
    <w:p>
      <w:pPr>
        <w:ind w:left="576" w:hanging="576"/>
      </w:pPr>
      <w:r>
        <w:t>[6] J. E. Chukwuere, "Developing generative AI chatbots conceptual framework for higher education," 2024.</w:t>
      </w:r>
    </w:p>
    <w:p>
      <w:pPr>
        <w:ind w:left="576" w:hanging="576"/>
      </w:pPr>
      <w:r>
        <w:t>[7] F. Pedregosa, "Scikit-learn: Machine Learning in Python," Journal of Machine Learning Research, vol. 12, pp. 2825-2830, 2011.</w:t>
      </w:r>
    </w:p>
    <w:p>
      <w:pPr>
        <w:ind w:left="576" w:hanging="576"/>
      </w:pPr>
      <w:r>
        <w:t>[8] T. Wolf, "Transformers: State-of-the-Art Natural Language Processing," in Proceedings of EMNLP 2020: System Demonstrations, 2020, pp. 38-45.</w:t>
      </w:r>
    </w:p>
    <w:p>
      <w:pPr>
        <w:ind w:left="576" w:hanging="576"/>
      </w:pPr>
      <w:r>
        <w:t>[9] J. Devlin, M.-W. Chang, K. Lee, and K. Toutanova, "BERT: Pre-training of Deep Bidirectional Transformers for Language Understanding," in Proceedings of NAACL-HLT, 2019, pp. 4171-4186.</w:t>
      </w:r>
    </w:p>
    <w:p>
      <w:pPr>
        <w:ind w:left="576" w:hanging="576"/>
      </w:pPr>
      <w:r>
        <w:t>[10] Y. Liu, "RoBERTa: A Robustly Optimized BERT Pretraining Approach," 2019.</w:t>
      </w:r>
    </w:p>
    <w:p>
      <w:pPr>
        <w:ind w:left="576" w:hanging="576"/>
      </w:pPr>
      <w:r>
        <w:t>[11] V. Sanh, L. Debut, J. Chaumond, and T. Wolf, "DistilBERT, a distilled version of BERT: smaller, faster, cheaper and lighter," 2019.</w:t>
      </w:r>
    </w:p>
    <w:p>
      <w:pPr>
        <w:ind w:left="576" w:hanging="576"/>
      </w:pPr>
      <w:r>
        <w:t>[12] A. R. Hevner, S. T. March, J. Park, and S. Ram, "Design Science in Information Systems Research," MIS Quarterly, vol. 28, no. 1, pp. 75-105, 2004.</w:t>
      </w:r>
    </w:p>
    <w:p>
      <w:pPr>
        <w:ind w:left="576" w:hanging="576"/>
      </w:pPr>
      <w:r>
        <w:t>[13] K. Peffers, T. Tuunanen, M. A. Rothenberger, and S. Chatterjee, "A Design Science Research Methodology for Information Systems Research," Journal of Management Information Systems, vol. 24, no. 3, pp. 45-77, 2007.</w:t>
      </w:r>
    </w:p>
    <w:p>
      <w:pPr>
        <w:ind w:left="576" w:hanging="576"/>
      </w:pPr>
      <w:r>
        <w:t>[14] M. J. Page, "The PRISMA 2020 statement: an updated guideline for reporting systematic reviews," BMJ, vol. 372, p. n71, 2021.</w:t>
      </w:r>
    </w:p>
    <w:p>
      <w:pPr>
        <w:ind w:left="576" w:hanging="576"/>
      </w:pPr>
      <w:r>
        <w:t>[15] C. Guo, G. Pleiss, Y. Sun, and K. Q. Weinberger, "On Calibration of Modern Neural Networks," in Proceedings of the 34th International Conference on Machine Learning (ICML), Proceedings of Machine Learning Research, vol. 70, 2017, pp. 1321-1330.</w:t>
      </w:r>
    </w:p>
    <w:p>
      <w:pPr>
        <w:ind w:left="576" w:hanging="576"/>
      </w:pPr>
      <w:r>
        <w:t>[16] W. Liu, X. Wang, J. D. Owens, and Y. Li, "Energy-based Out-of-distribution Detection," in Advances in Neural Information Processing Systems (NeurIPS), vol. 33, 2020, pp. 21464-21475.</w:t>
      </w:r>
    </w:p>
    <w:p>
      <w:pPr>
        <w:ind w:left="576" w:hanging="576"/>
      </w:pPr>
      <w:r>
        <w:t>[17] M. Sundararajan, A. Taly, and Q. Yan, "Axiomatic Attribution for Deep Networks," in Proceedings of the 34th International Conference on Machine Learning (ICML), Proceedings of Machine Learning Research, vol. 70, 2017, pp. 3319-3328.</w:t>
      </w:r>
    </w:p>
    <w:p>
      <w:r>
        <w:br w:type="page"/>
      </w:r>
    </w:p>
    <w:p>
      <w:pPr>
        <w:pStyle w:val="Heading1"/>
      </w:pPr>
      <w:r>
        <w:t>Appendices</w:t>
      </w:r>
    </w:p>
    <w:p>
      <w:pPr>
        <w:pStyle w:val="Heading2"/>
      </w:pPr>
      <w:r>
        <w:t>Appendix A — Dataset Construction and Labelling Guide</w:t>
      </w:r>
    </w:p>
    <w:p>
      <w:r>
        <w:t>This appendix documents how secondary dataset labels were mapped onto the university inquiry categories and urgency labels used throughout this research, extending the mapping guide proposed in the interim report with the labels actually applied during dataset construction (Chapter 03, Section 3.4).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University Category</w:t>
            </w:r>
          </w:p>
        </w:tc>
        <w:tc>
          <w:tcPr>
            <w:tcW w:type="dxa" w:w="2880"/>
          </w:tcPr>
          <w:p>
            <w:r>
              <w:rPr>
                <w:b/>
              </w:rPr>
              <w:t>Indicative Keywords / Phrases</w:t>
            </w:r>
          </w:p>
        </w:tc>
        <w:tc>
          <w:tcPr>
            <w:tcW w:type="dxa" w:w="2880"/>
          </w:tcPr>
          <w:p>
            <w:r>
              <w:rPr>
                <w:b/>
              </w:rPr>
              <w:t>Urgency Mapping Guidance</w:t>
            </w:r>
          </w:p>
        </w:tc>
      </w:tr>
      <w:tr>
        <w:tc>
          <w:tcPr>
            <w:tcW w:type="dxa" w:w="2880"/>
          </w:tcPr>
          <w:p>
            <w:r>
              <w:t>Admissions</w:t>
            </w:r>
          </w:p>
        </w:tc>
        <w:tc>
          <w:tcPr>
            <w:tcW w:type="dxa" w:w="2880"/>
          </w:tcPr>
          <w:p>
            <w:r>
              <w:t>admission, enrollment, application, offer letter, intake, eligibility</w:t>
            </w:r>
          </w:p>
        </w:tc>
        <w:tc>
          <w:tcPr>
            <w:tcW w:type="dxa" w:w="2880"/>
          </w:tcPr>
          <w:p>
            <w:r>
              <w:t>High if a deadline or missing document affects the current intake; otherwise Medium/Low.</w:t>
            </w:r>
          </w:p>
        </w:tc>
      </w:tr>
      <w:tr>
        <w:tc>
          <w:tcPr>
            <w:tcW w:type="dxa" w:w="2880"/>
          </w:tcPr>
          <w:p>
            <w:r>
              <w:t>Examinations</w:t>
            </w:r>
          </w:p>
        </w:tc>
        <w:tc>
          <w:tcPr>
            <w:tcW w:type="dxa" w:w="2880"/>
          </w:tcPr>
          <w:p>
            <w:r>
              <w:t>exam, assessment, results, resit, timetable, attendance, paper</w:t>
            </w:r>
          </w:p>
        </w:tc>
        <w:tc>
          <w:tcPr>
            <w:tcW w:type="dxa" w:w="2880"/>
          </w:tcPr>
          <w:p>
            <w:r>
              <w:t>High if the exam is today/near a deadline or there is an access issue; Medium for result clarification; Low for general exam information.</w:t>
            </w:r>
          </w:p>
        </w:tc>
      </w:tr>
      <w:tr>
        <w:tc>
          <w:tcPr>
            <w:tcW w:type="dxa" w:w="2880"/>
          </w:tcPr>
          <w:p>
            <w:r>
              <w:t>Fees and Payments</w:t>
            </w:r>
          </w:p>
        </w:tc>
        <w:tc>
          <w:tcPr>
            <w:tcW w:type="dxa" w:w="2880"/>
          </w:tcPr>
          <w:p>
            <w:r>
              <w:t>fee, payment, invoice, receipt, installment, refund</w:t>
            </w:r>
          </w:p>
        </w:tc>
        <w:tc>
          <w:tcPr>
            <w:tcW w:type="dxa" w:w="2880"/>
          </w:tcPr>
          <w:p>
            <w:r>
              <w:t>High if payment blocks registration/exam; Medium if a receipt confirmation is needed; Low for a general fee inquiry.</w:t>
            </w:r>
          </w:p>
        </w:tc>
      </w:tr>
      <w:tr>
        <w:tc>
          <w:tcPr>
            <w:tcW w:type="dxa" w:w="2880"/>
          </w:tcPr>
          <w:p>
            <w:r>
              <w:t>Timetable and Scheduling</w:t>
            </w:r>
          </w:p>
        </w:tc>
        <w:tc>
          <w:tcPr>
            <w:tcW w:type="dxa" w:w="2880"/>
          </w:tcPr>
          <w:p>
            <w:r>
              <w:t>schedule, lecture, class, calendar, room, postponement</w:t>
            </w:r>
          </w:p>
        </w:tc>
        <w:tc>
          <w:tcPr>
            <w:tcW w:type="dxa" w:w="2880"/>
          </w:tcPr>
          <w:p>
            <w:r>
              <w:t>Medium if a current-week schedule conflict; Low if a general future schedule request.</w:t>
            </w:r>
          </w:p>
        </w:tc>
      </w:tr>
      <w:tr>
        <w:tc>
          <w:tcPr>
            <w:tcW w:type="dxa" w:w="2880"/>
          </w:tcPr>
          <w:p>
            <w:r>
              <w:t>Academic Documents</w:t>
            </w:r>
          </w:p>
        </w:tc>
        <w:tc>
          <w:tcPr>
            <w:tcW w:type="dxa" w:w="2880"/>
          </w:tcPr>
          <w:p>
            <w:r>
              <w:t>transcript, certificate, letter, recommendation, document</w:t>
            </w:r>
          </w:p>
        </w:tc>
        <w:tc>
          <w:tcPr>
            <w:tcW w:type="dxa" w:w="2880"/>
          </w:tcPr>
          <w:p>
            <w:r>
              <w:t>High if the document is required before an immediate deadline; Medium for normal processing; Low for general information.</w:t>
            </w:r>
          </w:p>
        </w:tc>
      </w:tr>
      <w:tr>
        <w:tc>
          <w:tcPr>
            <w:tcW w:type="dxa" w:w="2880"/>
          </w:tcPr>
          <w:p>
            <w:r>
              <w:t>Learning Platform / IT Access</w:t>
            </w:r>
          </w:p>
        </w:tc>
        <w:tc>
          <w:tcPr>
            <w:tcW w:type="dxa" w:w="2880"/>
          </w:tcPr>
          <w:p>
            <w:r>
              <w:t>login, LMS, password, portal, account, email</w:t>
            </w:r>
          </w:p>
        </w:tc>
        <w:tc>
          <w:tcPr>
            <w:tcW w:type="dxa" w:w="2880"/>
          </w:tcPr>
          <w:p>
            <w:r>
              <w:t>High if access blocks an exam/submission; Medium if access affects ongoing coursework; Low for general account guidance.</w:t>
            </w:r>
          </w:p>
        </w:tc>
      </w:tr>
      <w:tr>
        <w:tc>
          <w:tcPr>
            <w:tcW w:type="dxa" w:w="2880"/>
          </w:tcPr>
          <w:p>
            <w:r>
              <w:t>General Administration</w:t>
            </w:r>
          </w:p>
        </w:tc>
        <w:tc>
          <w:tcPr>
            <w:tcW w:type="dxa" w:w="2880"/>
          </w:tcPr>
          <w:p>
            <w:r>
              <w:t>contact, office hours, general policy, campus facility</w:t>
            </w:r>
          </w:p>
        </w:tc>
        <w:tc>
          <w:tcPr>
            <w:tcW w:type="dxa" w:w="2880"/>
          </w:tcPr>
          <w:p>
            <w:r>
              <w:t>Mostly Low unless deadline or impact words are present.</w:t>
            </w:r>
          </w:p>
        </w:tc>
      </w:tr>
    </w:tbl>
    <w:p/>
    <w:p>
      <w:r>
        <w:t>Public secondary sources reviewed for suitability against this schema, as discussed in Chapter 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Dataset / Source</w:t>
            </w:r>
          </w:p>
        </w:tc>
        <w:tc>
          <w:tcPr>
            <w:tcW w:type="dxa" w:w="1728"/>
          </w:tcPr>
          <w:p>
            <w:r>
              <w:rPr>
                <w:b/>
              </w:rPr>
              <w:t>Repository</w:t>
            </w:r>
          </w:p>
        </w:tc>
        <w:tc>
          <w:tcPr>
            <w:tcW w:type="dxa" w:w="1728"/>
          </w:tcPr>
          <w:p>
            <w:r>
              <w:rPr>
                <w:b/>
              </w:rPr>
              <w:t>Description</w:t>
            </w:r>
          </w:p>
        </w:tc>
        <w:tc>
          <w:tcPr>
            <w:tcW w:type="dxa" w:w="1728"/>
          </w:tcPr>
          <w:p>
            <w:r>
              <w:rPr>
                <w:b/>
              </w:rPr>
              <w:t>Usefulness</w:t>
            </w:r>
          </w:p>
        </w:tc>
        <w:tc>
          <w:tcPr>
            <w:tcW w:type="dxa" w:w="1728"/>
          </w:tcPr>
          <w:p>
            <w:r>
              <w:rPr>
                <w:b/>
              </w:rPr>
              <w:t>Limitations / Handling</w:t>
            </w:r>
          </w:p>
        </w:tc>
      </w:tr>
      <w:tr>
        <w:tc>
          <w:tcPr>
            <w:tcW w:type="dxa" w:w="1728"/>
          </w:tcPr>
          <w:p>
            <w:r>
              <w:t>Smart University Query Classification Dataset</w:t>
            </w:r>
          </w:p>
        </w:tc>
        <w:tc>
          <w:tcPr>
            <w:tcW w:type="dxa" w:w="1728"/>
          </w:tcPr>
          <w:p>
            <w:r>
              <w:t>Kaggle</w:t>
            </w:r>
          </w:p>
        </w:tc>
        <w:tc>
          <w:tcPr>
            <w:tcW w:type="dxa" w:w="1728"/>
          </w:tcPr>
          <w:p>
            <w:r>
              <w:t>University-related student queries with labelled categories/intents.</w:t>
            </w:r>
          </w:p>
        </w:tc>
        <w:tc>
          <w:tcPr>
            <w:tcW w:type="dxa" w:w="1728"/>
          </w:tcPr>
          <w:p>
            <w:r>
              <w:t>High domain relevance for inquiry category classification.</w:t>
            </w:r>
          </w:p>
        </w:tc>
        <w:tc>
          <w:tcPr>
            <w:tcW w:type="dxa" w:w="1728"/>
          </w:tcPr>
          <w:p>
            <w:r>
              <w:t>Required additional urgency labelling and quality review before use.</w:t>
            </w:r>
          </w:p>
        </w:tc>
      </w:tr>
      <w:tr>
        <w:tc>
          <w:tcPr>
            <w:tcW w:type="dxa" w:w="1728"/>
          </w:tcPr>
          <w:p>
            <w:r>
              <w:t>Dataset of Computer Science Course Queries from Students</w:t>
            </w:r>
          </w:p>
        </w:tc>
        <w:tc>
          <w:tcPr>
            <w:tcW w:type="dxa" w:w="1728"/>
          </w:tcPr>
          <w:p>
            <w:r>
              <w:t>Mendeley Data / Data in Brief</w:t>
            </w:r>
          </w:p>
        </w:tc>
        <w:tc>
          <w:tcPr>
            <w:tcW w:type="dxa" w:w="1728"/>
          </w:tcPr>
          <w:p>
            <w:r>
              <w:t>Student course questions categorized and scored according to Bloom's taxonomy.</w:t>
            </w:r>
          </w:p>
        </w:tc>
        <w:tc>
          <w:tcPr>
            <w:tcW w:type="dxa" w:w="1728"/>
          </w:tcPr>
          <w:p>
            <w:r>
              <w:t>Useful for academic query language and student question style.</w:t>
            </w:r>
          </w:p>
        </w:tc>
        <w:tc>
          <w:tcPr>
            <w:tcW w:type="dxa" w:w="1728"/>
          </w:tcPr>
          <w:p>
            <w:r>
              <w:t>Not an administrative urgency dataset; required mapping/filtering onto the project's category and urgency schema.</w:t>
            </w:r>
          </w:p>
        </w:tc>
      </w:tr>
      <w:tr>
        <w:tc>
          <w:tcPr>
            <w:tcW w:type="dxa" w:w="1728"/>
          </w:tcPr>
          <w:p>
            <w:r>
              <w:t>Customer IT Support - Ticket Dataset</w:t>
            </w:r>
          </w:p>
        </w:tc>
        <w:tc>
          <w:tcPr>
            <w:tcW w:type="dxa" w:w="1728"/>
          </w:tcPr>
          <w:p>
            <w:r>
              <w:t>Kaggle</w:t>
            </w:r>
          </w:p>
        </w:tc>
        <w:tc>
          <w:tcPr>
            <w:tcW w:type="dxa" w:w="1728"/>
          </w:tcPr>
          <w:p>
            <w:r>
              <w:t>Multilingual customer support tickets with fields including issue/category and priority.</w:t>
            </w:r>
          </w:p>
        </w:tc>
        <w:tc>
          <w:tcPr>
            <w:tcW w:type="dxa" w:w="1728"/>
          </w:tcPr>
          <w:p>
            <w:r>
              <w:t>Useful for urgency/priority modelling and ticket-style text.</w:t>
            </w:r>
          </w:p>
        </w:tc>
        <w:tc>
          <w:tcPr>
            <w:tcW w:type="dxa" w:w="1728"/>
          </w:tcPr>
          <w:p>
            <w:r>
              <w:t>Non-educational domain; required relabelling to university categories.</w:t>
            </w:r>
          </w:p>
        </w:tc>
      </w:tr>
      <w:tr>
        <w:tc>
          <w:tcPr>
            <w:tcW w:type="dxa" w:w="1728"/>
          </w:tcPr>
          <w:p>
            <w:r>
              <w:t>Classification of IT Support Tickets</w:t>
            </w:r>
          </w:p>
        </w:tc>
        <w:tc>
          <w:tcPr>
            <w:tcW w:type="dxa" w:w="1728"/>
          </w:tcPr>
          <w:p>
            <w:r>
              <w:t>Zenodo</w:t>
            </w:r>
          </w:p>
        </w:tc>
        <w:tc>
          <w:tcPr>
            <w:tcW w:type="dxa" w:w="1728"/>
          </w:tcPr>
          <w:p>
            <w:r>
              <w:t>2,229 manually classified support tickets in multiple languages with PII removed.</w:t>
            </w:r>
          </w:p>
        </w:tc>
        <w:tc>
          <w:tcPr>
            <w:tcW w:type="dxa" w:w="1728"/>
          </w:tcPr>
          <w:p>
            <w:r>
              <w:t>Useful for testing text-classification baselines and anonymization practice.</w:t>
            </w:r>
          </w:p>
        </w:tc>
        <w:tc>
          <w:tcPr>
            <w:tcW w:type="dxa" w:w="1728"/>
          </w:tcPr>
          <w:p>
            <w:r>
              <w:t>IT-specific categories; no direct university labels.</w:t>
            </w:r>
          </w:p>
        </w:tc>
      </w:tr>
    </w:tbl>
    <w:p/>
    <w:p>
      <w:r>
        <w:t>Rows and phrasing patterns that these public sources did not adequately cover for a given category, urgency, and scenario combination were supplemented with author-constructed inquiries written against the same schema, so that every category/urgency pair in the final corpus has a meaningful number of examples rather than being left sparse because no public source happened to cover it.</w:t>
      </w:r>
    </w:p>
    <w:p>
      <w:pPr>
        <w:pStyle w:val="Heading2"/>
      </w:pPr>
      <w:r>
        <w:t>Appendix B — Data Dictionary</w:t>
      </w:r>
    </w:p>
    <w:p>
      <w:r>
        <w:t>This is the field structure actually used in the constructed corpus (`Query_ID`, `Student_Query`, `Urgency_Label`, `University_Category`, `Scenario_Family`, `Primary_Intent`), extending the interim report's proposed data dictionary with the two fields — `Scenario_Family` and `Primary_Intent` — that were added during construction to support scenario-level error analysis (Chapter 03, Section 3.4).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 Name</w:t>
            </w:r>
          </w:p>
        </w:tc>
        <w:tc>
          <w:tcPr>
            <w:tcW w:type="dxa" w:w="2880"/>
          </w:tcPr>
          <w:p>
            <w:r>
              <w:rPr>
                <w:b/>
              </w:rPr>
              <w:t>Data Type</w:t>
            </w:r>
          </w:p>
        </w:tc>
        <w:tc>
          <w:tcPr>
            <w:tcW w:type="dxa" w:w="2880"/>
          </w:tcPr>
          <w:p>
            <w:r>
              <w:rPr>
                <w:b/>
              </w:rPr>
              <w:t>Description</w:t>
            </w:r>
          </w:p>
        </w:tc>
      </w:tr>
      <w:tr>
        <w:tc>
          <w:tcPr>
            <w:tcW w:type="dxa" w:w="2880"/>
          </w:tcPr>
          <w:p>
            <w:r>
              <w:t>Query_ID</w:t>
            </w:r>
          </w:p>
        </w:tc>
        <w:tc>
          <w:tcPr>
            <w:tcW w:type="dxa" w:w="2880"/>
          </w:tcPr>
          <w:p>
            <w:r>
              <w:t>String</w:t>
            </w:r>
          </w:p>
        </w:tc>
        <w:tc>
          <w:tcPr>
            <w:tcW w:type="dxa" w:w="2880"/>
          </w:tcPr>
          <w:p>
            <w:r>
              <w:t>Unique identifier for each inquiry row; a suffix (e.g. `_A`) marks a phrasing variant generated from the same underlying scenario.</w:t>
            </w:r>
          </w:p>
        </w:tc>
      </w:tr>
      <w:tr>
        <w:tc>
          <w:tcPr>
            <w:tcW w:type="dxa" w:w="2880"/>
          </w:tcPr>
          <w:p>
            <w:r>
              <w:t>Student_Query</w:t>
            </w:r>
          </w:p>
        </w:tc>
        <w:tc>
          <w:tcPr>
            <w:tcW w:type="dxa" w:w="2880"/>
          </w:tcPr>
          <w:p>
            <w:r>
              <w:t>Text</w:t>
            </w:r>
          </w:p>
        </w:tc>
        <w:tc>
          <w:tcPr>
            <w:tcW w:type="dxa" w:w="2880"/>
          </w:tcPr>
          <w:p>
            <w:r>
              <w:t>The inquiry text, as a student or applicant might plausibly phrase it.</w:t>
            </w:r>
          </w:p>
        </w:tc>
      </w:tr>
      <w:tr>
        <w:tc>
          <w:tcPr>
            <w:tcW w:type="dxa" w:w="2880"/>
          </w:tcPr>
          <w:p>
            <w:r>
              <w:t>Urgency_Label</w:t>
            </w:r>
          </w:p>
        </w:tc>
        <w:tc>
          <w:tcPr>
            <w:tcW w:type="dxa" w:w="2880"/>
          </w:tcPr>
          <w:p>
            <w:r>
              <w:t>Categorical</w:t>
            </w:r>
          </w:p>
        </w:tc>
        <w:tc>
          <w:tcPr>
            <w:tcW w:type="dxa" w:w="2880"/>
          </w:tcPr>
          <w:p>
            <w:r>
              <w:t>Ground-truth urgency: High, Medium, or Low.</w:t>
            </w:r>
          </w:p>
        </w:tc>
      </w:tr>
      <w:tr>
        <w:tc>
          <w:tcPr>
            <w:tcW w:type="dxa" w:w="2880"/>
          </w:tcPr>
          <w:p>
            <w:r>
              <w:t>University_Category</w:t>
            </w:r>
          </w:p>
        </w:tc>
        <w:tc>
          <w:tcPr>
            <w:tcW w:type="dxa" w:w="2880"/>
          </w:tcPr>
          <w:p>
            <w:r>
              <w:t>Categorical</w:t>
            </w:r>
          </w:p>
        </w:tc>
        <w:tc>
          <w:tcPr>
            <w:tcW w:type="dxa" w:w="2880"/>
          </w:tcPr>
          <w:p>
            <w:r>
              <w:t>Ground-truth category: Admissions, Examinations, Fees and Payments, Timetable and Scheduling, Academic Documents, Learning Platform / IT Access, or General Administration.</w:t>
            </w:r>
          </w:p>
        </w:tc>
      </w:tr>
      <w:tr>
        <w:tc>
          <w:tcPr>
            <w:tcW w:type="dxa" w:w="2880"/>
          </w:tcPr>
          <w:p>
            <w:r>
              <w:t>Scenario_Family</w:t>
            </w:r>
          </w:p>
        </w:tc>
        <w:tc>
          <w:tcPr>
            <w:tcW w:type="dxa" w:w="2880"/>
          </w:tcPr>
          <w:p>
            <w:r>
              <w:t>String</w:t>
            </w:r>
          </w:p>
        </w:tc>
        <w:tc>
          <w:tcPr>
            <w:tcW w:type="dxa" w:w="2880"/>
          </w:tcPr>
          <w:p>
            <w:r>
              <w:t>Short code (e.g. `DOC05A`, `TIM01B`) grouping phrasing variants generated from the same underlying situation.</w:t>
            </w:r>
          </w:p>
        </w:tc>
      </w:tr>
      <w:tr>
        <w:tc>
          <w:tcPr>
            <w:tcW w:type="dxa" w:w="2880"/>
          </w:tcPr>
          <w:p>
            <w:r>
              <w:t>Primary_Intent</w:t>
            </w:r>
          </w:p>
        </w:tc>
        <w:tc>
          <w:tcPr>
            <w:tcW w:type="dxa" w:w="2880"/>
          </w:tcPr>
          <w:p>
            <w:r>
              <w:t>String</w:t>
            </w:r>
          </w:p>
        </w:tc>
        <w:tc>
          <w:tcPr>
            <w:tcW w:type="dxa" w:w="2880"/>
          </w:tcPr>
          <w:p>
            <w:r>
              <w:t>Short human-readable label for the specific situation represented (e.g. "digital certificate", "class timetable clash"), finer-grained than category.</w:t>
            </w:r>
          </w:p>
        </w:tc>
      </w:tr>
    </w:tbl>
    <w:p/>
    <w:p>
      <w:r>
        <w:t>At runtime, the deployed system's own schema (Chapter 04) additionally records `model_category_prediction`, `model_urgency_prediction`, per-prediction confidence scores (pre- and post-calibration), the energy out-of-distribution score, and `human_review_status` (accepted, corrected, or pending), so that every routing decision is traceable back to the model output that produced it and the reviewer decision that followed it.</w:t>
      </w:r>
    </w:p>
    <w:p>
      <w:pPr>
        <w:pStyle w:val="Heading2"/>
      </w:pPr>
      <w:r>
        <w:t>Appendix C — Evaluation Plan</w:t>
      </w:r>
    </w:p>
    <w:p>
      <w:r>
        <w:t>This is the evaluation plan applied in Chapter 06, extending the interim report's classification-metrics plan with the calibration and selective-prediction metrics that Chapter 02 identifies as necessary once a classifier's confidence score is used to gate an unsupervised routing decision.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Evaluation Item</w:t>
            </w:r>
          </w:p>
        </w:tc>
        <w:tc>
          <w:tcPr>
            <w:tcW w:type="dxa" w:w="2880"/>
          </w:tcPr>
          <w:p>
            <w:r>
              <w:rPr>
                <w:b/>
              </w:rPr>
              <w:t>Meaning</w:t>
            </w:r>
          </w:p>
        </w:tc>
        <w:tc>
          <w:tcPr>
            <w:tcW w:type="dxa" w:w="2880"/>
          </w:tcPr>
          <w:p>
            <w:r>
              <w:rPr>
                <w:b/>
              </w:rPr>
              <w:t>Reason for Use</w:t>
            </w:r>
          </w:p>
        </w:tc>
      </w:tr>
      <w:tr>
        <w:tc>
          <w:tcPr>
            <w:tcW w:type="dxa" w:w="2880"/>
          </w:tcPr>
          <w:p>
            <w:r>
              <w:t>Accuracy</w:t>
            </w:r>
          </w:p>
        </w:tc>
        <w:tc>
          <w:tcPr>
            <w:tcW w:type="dxa" w:w="2880"/>
          </w:tcPr>
          <w:p>
            <w:r>
              <w:t>Overall proportion of correct predictions.</w:t>
            </w:r>
          </w:p>
        </w:tc>
        <w:tc>
          <w:tcPr>
            <w:tcW w:type="dxa" w:w="2880"/>
          </w:tcPr>
          <w:p>
            <w:r>
              <w:t>Useful overview, but insufficient for imbalanced urgency labels.</w:t>
            </w:r>
          </w:p>
        </w:tc>
      </w:tr>
      <w:tr>
        <w:tc>
          <w:tcPr>
            <w:tcW w:type="dxa" w:w="2880"/>
          </w:tcPr>
          <w:p>
            <w:r>
              <w:t>Precision</w:t>
            </w:r>
          </w:p>
        </w:tc>
        <w:tc>
          <w:tcPr>
            <w:tcW w:type="dxa" w:w="2880"/>
          </w:tcPr>
          <w:p>
            <w:r>
              <w:t>Correct positive predictions divided by all positive predictions.</w:t>
            </w:r>
          </w:p>
        </w:tc>
        <w:tc>
          <w:tcPr>
            <w:tcW w:type="dxa" w:w="2880"/>
          </w:tcPr>
          <w:p>
            <w:r>
              <w:t>Important to avoid too many false urgent predictions.</w:t>
            </w:r>
          </w:p>
        </w:tc>
      </w:tr>
      <w:tr>
        <w:tc>
          <w:tcPr>
            <w:tcW w:type="dxa" w:w="2880"/>
          </w:tcPr>
          <w:p>
            <w:r>
              <w:t>Recall</w:t>
            </w:r>
          </w:p>
        </w:tc>
        <w:tc>
          <w:tcPr>
            <w:tcW w:type="dxa" w:w="2880"/>
          </w:tcPr>
          <w:p>
            <w:r>
              <w:t>Correct positive predictions divided by all actual positives.</w:t>
            </w:r>
          </w:p>
        </w:tc>
        <w:tc>
          <w:tcPr>
            <w:tcW w:type="dxa" w:w="2880"/>
          </w:tcPr>
          <w:p>
            <w:r>
              <w:t>Critical for High urgency so urgent inquiries are not missed.</w:t>
            </w:r>
          </w:p>
        </w:tc>
      </w:tr>
      <w:tr>
        <w:tc>
          <w:tcPr>
            <w:tcW w:type="dxa" w:w="2880"/>
          </w:tcPr>
          <w:p>
            <w:r>
              <w:t>Macro F1-score</w:t>
            </w:r>
          </w:p>
        </w:tc>
        <w:tc>
          <w:tcPr>
            <w:tcW w:type="dxa" w:w="2880"/>
          </w:tcPr>
          <w:p>
            <w:r>
              <w:t>Harmonic mean of precision and recall, averaged per class.</w:t>
            </w:r>
          </w:p>
        </w:tc>
        <w:tc>
          <w:tcPr>
            <w:tcW w:type="dxa" w:w="2880"/>
          </w:tcPr>
          <w:p>
            <w:r>
              <w:t>Balanced performance measure; robust to class imbalance.</w:t>
            </w:r>
          </w:p>
        </w:tc>
      </w:tr>
      <w:tr>
        <w:tc>
          <w:tcPr>
            <w:tcW w:type="dxa" w:w="2880"/>
          </w:tcPr>
          <w:p>
            <w:r>
              <w:t>Confusion Matrix</w:t>
            </w:r>
          </w:p>
        </w:tc>
        <w:tc>
          <w:tcPr>
            <w:tcW w:type="dxa" w:w="2880"/>
          </w:tcPr>
          <w:p>
            <w:r>
              <w:t>Table of predicted versus actual labels.</w:t>
            </w:r>
          </w:p>
        </w:tc>
        <w:tc>
          <w:tcPr>
            <w:tcW w:type="dxa" w:w="2880"/>
          </w:tcPr>
          <w:p>
            <w:r>
              <w:t>Shows which categories or urgency levels are confused.</w:t>
            </w:r>
          </w:p>
        </w:tc>
      </w:tr>
      <w:tr>
        <w:tc>
          <w:tcPr>
            <w:tcW w:type="dxa" w:w="2880"/>
          </w:tcPr>
          <w:p>
            <w:r>
              <w:t>McNemar's exact test / bootstrap CI</w:t>
            </w:r>
          </w:p>
        </w:tc>
        <w:tc>
          <w:tcPr>
            <w:tcW w:type="dxa" w:w="2880"/>
          </w:tcPr>
          <w:p>
            <w:r>
              <w:t>Paired significance test and confidence interval on baseline-versus-transformer disagreement.</w:t>
            </w:r>
          </w:p>
        </w:tc>
        <w:tc>
          <w:tcPr>
            <w:tcW w:type="dxa" w:w="2880"/>
          </w:tcPr>
          <w:p>
            <w:r>
              <w:t>Confirms an accuracy improvement is statistically supported rather than a point-estimate artifact.</w:t>
            </w:r>
          </w:p>
        </w:tc>
      </w:tr>
      <w:tr>
        <w:tc>
          <w:tcPr>
            <w:tcW w:type="dxa" w:w="2880"/>
          </w:tcPr>
          <w:p>
            <w:r>
              <w:t>Expected Calibration Error</w:t>
            </w:r>
          </w:p>
        </w:tc>
        <w:tc>
          <w:tcPr>
            <w:tcW w:type="dxa" w:w="2880"/>
          </w:tcPr>
          <w:p>
            <w:r>
              <w:t>Weighted gap between confidence and empirical accuracy across confidence bins.</w:t>
            </w:r>
          </w:p>
        </w:tc>
        <w:tc>
          <w:tcPr>
            <w:tcW w:type="dxa" w:w="2880"/>
          </w:tcPr>
          <w:p>
            <w:r>
              <w:t>Quantifies whether temperature scaling corrected overconfidence (Chapter 02).</w:t>
            </w:r>
          </w:p>
        </w:tc>
      </w:tr>
      <w:tr>
        <w:tc>
          <w:tcPr>
            <w:tcW w:type="dxa" w:w="2880"/>
          </w:tcPr>
          <w:p>
            <w:r>
              <w:t>Risk-coverage curve / AURC</w:t>
            </w:r>
          </w:p>
        </w:tc>
        <w:tc>
          <w:tcPr>
            <w:tcW w:type="dxa" w:w="2880"/>
          </w:tcPr>
          <w:p>
            <w:r>
              <w:t>Selective risk as a function of the fraction of inquiries auto-routed.</w:t>
            </w:r>
          </w:p>
        </w:tc>
        <w:tc>
          <w:tcPr>
            <w:tcW w:type="dxa" w:w="2880"/>
          </w:tcPr>
          <w:p>
            <w:r>
              <w:t>Quantifies the accuracy-versus-automation trade-off the τ threshold makes explicit.</w:t>
            </w:r>
          </w:p>
        </w:tc>
      </w:tr>
      <w:tr>
        <w:tc>
          <w:tcPr>
            <w:tcW w:type="dxa" w:w="2880"/>
          </w:tcPr>
          <w:p>
            <w:r>
              <w:t>Energy-score AUROC</w:t>
            </w:r>
          </w:p>
        </w:tc>
        <w:tc>
          <w:tcPr>
            <w:tcW w:type="dxa" w:w="2880"/>
          </w:tcPr>
          <w:p>
            <w:r>
              <w:t>Separability of in-distribution and out-of-distribution inquiries by energy score.</w:t>
            </w:r>
          </w:p>
        </w:tc>
        <w:tc>
          <w:tcPr>
            <w:tcW w:type="dxa" w:w="2880"/>
          </w:tcPr>
          <w:p>
            <w:r>
              <w:t>Validates the out-of-distribution gate that supplements the τ threshold.</w:t>
            </w:r>
          </w:p>
        </w:tc>
      </w:tr>
      <w:tr>
        <w:tc>
          <w:tcPr>
            <w:tcW w:type="dxa" w:w="2880"/>
          </w:tcPr>
          <w:p>
            <w:r>
              <w:t>Inference latency / cost</w:t>
            </w:r>
          </w:p>
        </w:tc>
        <w:tc>
          <w:tcPr>
            <w:tcW w:type="dxa" w:w="2880"/>
          </w:tcPr>
          <w:p>
            <w:r>
              <w:t>Forward-pass latency and parameter count on the deployment hardware profile.</w:t>
            </w:r>
          </w:p>
        </w:tc>
        <w:tc>
          <w:tcPr>
            <w:tcW w:type="dxa" w:w="2880"/>
          </w:tcPr>
          <w:p>
            <w:r>
              <w:t>Confirms the model is practical to serve inside the request path of the FastAPI service.</w:t>
            </w:r>
          </w:p>
        </w:tc>
      </w:tr>
      <w:tr>
        <w:tc>
          <w:tcPr>
            <w:tcW w:type="dxa" w:w="2880"/>
          </w:tcPr>
          <w:p>
            <w:r>
              <w:t>Error Analysis</w:t>
            </w:r>
          </w:p>
        </w:tc>
        <w:tc>
          <w:tcPr>
            <w:tcW w:type="dxa" w:w="2880"/>
          </w:tcPr>
          <w:p>
            <w:r>
              <w:t>Manual review of wrong predictions, grouped by Scenario_Family.</w:t>
            </w:r>
          </w:p>
        </w:tc>
        <w:tc>
          <w:tcPr>
            <w:tcW w:type="dxa" w:w="2880"/>
          </w:tcPr>
          <w:p>
            <w:r>
              <w:t>Helps identify whether errors cluster around specific real-world situations rather than being uniformly distributed.</w:t>
            </w:r>
          </w:p>
        </w:tc>
      </w:tr>
    </w:tbl>
    <w:p/>
    <w:p>
      <w:pPr>
        <w:pStyle w:val="Heading2"/>
      </w:pPr>
      <w:r>
        <w:t>Appendix D — Full Automated Test Suite (43 tests)</w:t>
      </w:r>
    </w:p>
    <w:p>
      <w:r>
        <w:t>Ten of these are presented as full test cases in Chapter 06, Section 6.2; the remainder are listed here by area, grouped as they appear in `tests/test_uniflow.py`.</w:t>
      </w:r>
    </w:p>
    <w:p>
      <w:r>
        <w:rPr>
          <w:b/>
        </w:rPr>
        <w:t>SLA computation (6)</w:t>
      </w:r>
      <w:r>
        <w:t>: `test_clean_text_normalises_quotes_and_whitespace`, `test_sla_due_dates_follow_urgency`, `test_sla_state_transitions`, `test_resolved_ticket_never_becomes_breached_by_the_passage_of_time`, `test_breached_filter_matches_only_unresolved_overdue_tickets`, `test_sla_compliance_counts_only_closed_tickets`.</w:t>
      </w:r>
    </w:p>
    <w:p>
      <w:r>
        <w:rPr>
          <w:b/>
        </w:rPr>
        <w:t>Authentication and access control (6)</w:t>
      </w:r>
      <w:r>
        <w:t>: `test_password_hashing_roundtrip`, `test_legacy_pbkdf2_hash_still_verifies_and_flags_for_rehash`, `test_login_succeeds_and_rejects_wrong_credentials`, `test_login_locks_the_account_after_repeated_failures`, `test_visible_departments_scoped_to_own_plus_triage`, `test_can_read_denies_other_departments`.</w:t>
      </w:r>
    </w:p>
    <w:p>
      <w:r>
        <w:rPr>
          <w:b/>
        </w:rPr>
        <w:t>Database, workflow, and the review log (8)</w:t>
      </w:r>
      <w:r>
        <w:t>: `test_new_inquiry_gets_sane_defaults`, `test_update_status_stamps_response_and_resolution`, `test_stale_write_is_rejected_by_optimistic_locking`, `test_review_events_recorded_and_consumable`, `test_correction_rate`, `test_route_from_triage_logs_a_correction`, `test_email_source_ref_uniqueness_is_enforced`, `test_create_all_is_idempotent`.</w:t>
      </w:r>
    </w:p>
    <w:p>
      <w:r>
        <w:rPr>
          <w:b/>
        </w:rPr>
        <w:t>Calibration and selective prediction (9)</w:t>
      </w:r>
      <w:r>
        <w:t>: `test_temperature_scaling_preserves_predictions`, `test_temperature_above_one_reduces_confidence`, `test_fit_temperature_recovers_a_known_distortion`, `test_fit_temperature_clamps_the_degenerate_perfect_case`, `test_expected_calibration_error_bounds`, `test_risk_coverage_curve_is_monotonic_in_coverage`, `test_choose_tau_respects_the_target_risk`, `test_choose_tau_reports_failure_when_the_target_is_unreachable`, `test_evaluate_at_tau_handles_total_abstention`.</w:t>
      </w:r>
    </w:p>
    <w:p>
      <w:r>
        <w:rPr>
          <w:b/>
        </w:rPr>
        <w:t>Out-of-distribution detection and significance testing (5)</w:t>
      </w:r>
      <w:r>
        <w:t>: `test_energy_is_lower_for_confident_logits`, `test_energy_uses_magnitude_not_just_shape`, `test_mcnemar_detects_a_clear_difference`, `test_mcnemar_reports_no_difference_for_identical_systems`, `test_bootstrap_interval_contains_the_point_estimate`.</w:t>
      </w:r>
    </w:p>
    <w:p>
      <w:r>
        <w:rPr>
          <w:b/>
        </w:rPr>
        <w:t>Dataset loading and email intake (6)</w:t>
      </w:r>
      <w:r>
        <w:t>: `test_column_aliases_are_resolved`, `test_supplied_split_is_honoured_without_a_leakage_warning`, `test_generated_split_raises_the_leakage_flag`, `test_duplicate_and_empty_rows_are_dropped`, `test_quoted_history_and_signature_are_stripped`, `test_automated_senders_are_not_treated_as_students`.</w:t>
      </w:r>
    </w:p>
    <w:p>
      <w:r>
        <w:rPr>
          <w:b/>
        </w:rPr>
        <w:t>Routing policy configuration (3)</w:t>
      </w:r>
      <w:r>
        <w:t>: `test_thresholds_fall_back_when_the_policy_file_is_absent`, `test_corrupt_policy_file_does_not_break_startup`, `test_partial_policy_file_is_merged_over_defaults`.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