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03C35" w14:textId="77777777" w:rsidR="000C1FEF" w:rsidRDefault="000C1FEF" w:rsidP="000C1F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HOLLAND </w:t>
      </w:r>
    </w:p>
    <w:p w14:paraId="1D460E56" w14:textId="16230FDE" w:rsidR="00A4785D" w:rsidRPr="009D50D2" w:rsidRDefault="00A4785D" w:rsidP="00B87FBC">
      <w:pPr>
        <w:spacing w:before="100" w:beforeAutospacing="1" w:after="100" w:afterAutospacing="1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9D50D2">
        <w:rPr>
          <w:rFonts w:ascii="Bookman Old Style" w:eastAsia="Times New Roman" w:hAnsi="Bookman Old Style" w:cs="Times New Roman"/>
          <w:sz w:val="24"/>
          <w:szCs w:val="24"/>
        </w:rPr>
        <w:t>Given the provided data, what are three conclusions we can draw about Kickstarter campaigns?</w:t>
      </w:r>
    </w:p>
    <w:p w14:paraId="23A0AAC3" w14:textId="77777777" w:rsidR="00E74E94" w:rsidRPr="009D50D2" w:rsidRDefault="00E74E94" w:rsidP="00E74E94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4"/>
          <w:szCs w:val="24"/>
        </w:rPr>
      </w:pPr>
    </w:p>
    <w:p w14:paraId="65C3C7E7" w14:textId="7095F6E5" w:rsidR="00A4785D" w:rsidRPr="009D50D2" w:rsidRDefault="002C02B3" w:rsidP="00E74E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After analyzing the data provided, we </w:t>
      </w:r>
      <w:r w:rsidR="00F34974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can </w:t>
      </w:r>
      <w:r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see that </w:t>
      </w:r>
      <w:r w:rsidR="00AC3931" w:rsidRPr="009D50D2">
        <w:rPr>
          <w:rFonts w:ascii="Bookman Old Style" w:eastAsia="Times New Roman" w:hAnsi="Bookman Old Style" w:cs="Times New Roman"/>
          <w:sz w:val="24"/>
          <w:szCs w:val="24"/>
        </w:rPr>
        <w:t>theater and music have the highest success rates</w:t>
      </w:r>
      <w:r w:rsidR="00F34974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for Kickstarter campaigns</w:t>
      </w:r>
      <w:r w:rsidR="00AC3931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follow</w:t>
      </w:r>
      <w:r w:rsidR="005D193D" w:rsidRPr="009D50D2">
        <w:rPr>
          <w:rFonts w:ascii="Bookman Old Style" w:eastAsia="Times New Roman" w:hAnsi="Bookman Old Style" w:cs="Times New Roman"/>
          <w:sz w:val="24"/>
          <w:szCs w:val="24"/>
        </w:rPr>
        <w:t>ed</w:t>
      </w:r>
      <w:r w:rsidR="00AC3931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by </w:t>
      </w:r>
      <w:r w:rsidR="005D193D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the </w:t>
      </w:r>
      <w:r w:rsidR="00AC3931" w:rsidRPr="009D50D2">
        <w:rPr>
          <w:rFonts w:ascii="Bookman Old Style" w:eastAsia="Times New Roman" w:hAnsi="Bookman Old Style" w:cs="Times New Roman"/>
          <w:sz w:val="24"/>
          <w:szCs w:val="24"/>
        </w:rPr>
        <w:t>film &amp;video</w:t>
      </w:r>
      <w:r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category</w:t>
      </w:r>
      <w:r w:rsidR="00AC3931" w:rsidRPr="009D50D2">
        <w:rPr>
          <w:rFonts w:ascii="Bookman Old Style" w:eastAsia="Times New Roman" w:hAnsi="Bookman Old Style" w:cs="Times New Roman"/>
          <w:sz w:val="24"/>
          <w:szCs w:val="24"/>
        </w:rPr>
        <w:t>. The lowest success rate</w:t>
      </w:r>
      <w:r w:rsidR="00243FDC">
        <w:rPr>
          <w:rFonts w:ascii="Bookman Old Style" w:eastAsia="Times New Roman" w:hAnsi="Bookman Old Style" w:cs="Times New Roman"/>
          <w:sz w:val="24"/>
          <w:szCs w:val="24"/>
        </w:rPr>
        <w:t>s</w:t>
      </w:r>
      <w:r w:rsidR="00AC3931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we observe </w:t>
      </w:r>
      <w:r w:rsidR="00F34974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is </w:t>
      </w:r>
      <w:r w:rsidR="00AC3931" w:rsidRPr="009D50D2">
        <w:rPr>
          <w:rFonts w:ascii="Bookman Old Style" w:eastAsia="Times New Roman" w:hAnsi="Bookman Old Style" w:cs="Times New Roman"/>
          <w:sz w:val="24"/>
          <w:szCs w:val="24"/>
        </w:rPr>
        <w:t>in food</w:t>
      </w:r>
      <w:r w:rsidR="00F34974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which I found somewhat surprising</w:t>
      </w:r>
      <w:r w:rsidR="00AC3931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.  </w:t>
      </w:r>
    </w:p>
    <w:p w14:paraId="22D8CEEF" w14:textId="77777777" w:rsidR="00E74E94" w:rsidRPr="009D50D2" w:rsidRDefault="00E74E94" w:rsidP="00E17D4A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72877918" w14:textId="77777777" w:rsidR="00A4785D" w:rsidRPr="009D50D2" w:rsidRDefault="00AC3931" w:rsidP="00A4785D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D50D2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5A49C5D" wp14:editId="5E0C87A6">
            <wp:extent cx="6178550" cy="31115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B444D79" w14:textId="76B6C19F" w:rsidR="00E17D4A" w:rsidRPr="009D50D2" w:rsidRDefault="00E17D4A" w:rsidP="009654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From </w:t>
      </w:r>
      <w:r w:rsidR="00F34974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the </w:t>
      </w:r>
      <w:r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data provided we </w:t>
      </w:r>
      <w:r w:rsidR="00F34974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can </w:t>
      </w:r>
      <w:r w:rsidRPr="009D50D2">
        <w:rPr>
          <w:rFonts w:ascii="Bookman Old Style" w:eastAsia="Times New Roman" w:hAnsi="Bookman Old Style" w:cs="Times New Roman"/>
          <w:sz w:val="24"/>
          <w:szCs w:val="24"/>
        </w:rPr>
        <w:t>also see the difference between the funding goals</w:t>
      </w:r>
      <w:r w:rsidR="00F34974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for the canceled, failed, live, and successful states</w:t>
      </w:r>
      <w:r w:rsidRPr="009D50D2">
        <w:rPr>
          <w:rFonts w:ascii="Bookman Old Style" w:eastAsia="Times New Roman" w:hAnsi="Bookman Old Style" w:cs="Times New Roman"/>
          <w:sz w:val="24"/>
          <w:szCs w:val="24"/>
        </w:rPr>
        <w:t>.</w:t>
      </w:r>
      <w:r w:rsidR="00F34974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7C5A8D">
        <w:rPr>
          <w:rFonts w:ascii="Bookman Old Style" w:eastAsia="Times New Roman" w:hAnsi="Bookman Old Style" w:cs="Times New Roman"/>
          <w:sz w:val="24"/>
          <w:szCs w:val="24"/>
        </w:rPr>
        <w:t>A large number of the total was canceled.</w:t>
      </w:r>
      <w:r w:rsidR="00836BC8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</w:p>
    <w:p w14:paraId="0E136871" w14:textId="0C06DB22" w:rsidR="00965460" w:rsidRPr="009D50D2" w:rsidRDefault="00965460" w:rsidP="00965460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7E11567A" w14:textId="7A2F902F" w:rsidR="00965460" w:rsidRPr="009D50D2" w:rsidRDefault="00965460" w:rsidP="00965460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0DBB63AC" w14:textId="77777777" w:rsidR="00965460" w:rsidRPr="009D50D2" w:rsidRDefault="00965460" w:rsidP="00965460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tbl>
      <w:tblPr>
        <w:tblW w:w="10340" w:type="dxa"/>
        <w:tblLook w:val="04A0" w:firstRow="1" w:lastRow="0" w:firstColumn="1" w:lastColumn="0" w:noHBand="0" w:noVBand="1"/>
      </w:tblPr>
      <w:tblGrid>
        <w:gridCol w:w="1451"/>
        <w:gridCol w:w="1882"/>
        <w:gridCol w:w="1255"/>
        <w:gridCol w:w="1025"/>
        <w:gridCol w:w="1025"/>
        <w:gridCol w:w="1025"/>
        <w:gridCol w:w="1025"/>
        <w:gridCol w:w="1025"/>
        <w:gridCol w:w="1025"/>
      </w:tblGrid>
      <w:tr w:rsidR="009D50D2" w:rsidRPr="009D50D2" w14:paraId="4780FDD5" w14:textId="77777777" w:rsidTr="00D73AA8">
        <w:trPr>
          <w:trHeight w:val="29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7911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68E452CF" w14:textId="77777777" w:rsidR="00D73AA8" w:rsidRPr="009D50D2" w:rsidRDefault="00D73AA8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18CF6052" w14:textId="77777777" w:rsidR="00D73AA8" w:rsidRPr="009D50D2" w:rsidRDefault="00D73AA8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61989B44" w14:textId="77777777" w:rsidR="00D73AA8" w:rsidRPr="009D50D2" w:rsidRDefault="00D73AA8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4E65395B" w14:textId="77777777" w:rsidR="00D73AA8" w:rsidRPr="009D50D2" w:rsidRDefault="00D73AA8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348DF628" w14:textId="1B2EFF08" w:rsidR="00D73AA8" w:rsidRPr="009D50D2" w:rsidRDefault="00D73AA8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74FAA541" w14:textId="4EA2962A" w:rsidR="003C5F9D" w:rsidRPr="009D50D2" w:rsidRDefault="003C5F9D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4E67A44C" w14:textId="77777777" w:rsidR="003C5F9D" w:rsidRPr="009D50D2" w:rsidRDefault="003C5F9D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265CCA50" w14:textId="1C56447B" w:rsidR="00D73AA8" w:rsidRPr="009D50D2" w:rsidRDefault="00D73AA8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311C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D509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9D50D2" w:rsidRPr="009D50D2" w14:paraId="49F93B19" w14:textId="77777777" w:rsidTr="0062033B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BC09E" w14:textId="30F9D80F" w:rsidR="00E57524" w:rsidRPr="009D50D2" w:rsidRDefault="00E57524" w:rsidP="0062033B">
                  <w:pPr>
                    <w:spacing w:after="0" w:line="240" w:lineRule="auto"/>
                    <w:rPr>
                      <w:rFonts w:ascii="Bookman Old Style" w:eastAsia="Times New Roman" w:hAnsi="Bookman Old Style" w:cs="Calibri"/>
                      <w:sz w:val="24"/>
                      <w:szCs w:val="24"/>
                    </w:rPr>
                  </w:pPr>
                </w:p>
              </w:tc>
            </w:tr>
          </w:tbl>
          <w:p w14:paraId="795D15C8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827C" w14:textId="396ED11D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8706" w14:textId="2CBA5081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9898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DE84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60AB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5D8E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1B6B8E16" w14:textId="77777777" w:rsidTr="00D73AA8">
        <w:trPr>
          <w:trHeight w:val="290"/>
        </w:trPr>
        <w:tc>
          <w:tcPr>
            <w:tcW w:w="14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96A7ED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Row Labels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B4F6E1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Sum of goal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F006" w14:textId="2D4FD6F1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11A9" w14:textId="267AC3DD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676D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6AB6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7EBE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0276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2EA0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176A353A" w14:textId="77777777" w:rsidTr="00D73AA8">
        <w:trPr>
          <w:trHeight w:val="29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B34B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canceled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FACB" w14:textId="77777777" w:rsidR="00E57524" w:rsidRPr="009D50D2" w:rsidRDefault="00E57524" w:rsidP="0062033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180776788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2093" w14:textId="77777777" w:rsidR="00E57524" w:rsidRPr="009D50D2" w:rsidRDefault="00E57524" w:rsidP="0062033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97A6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7287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79DD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DE6F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4FA6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4895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3C1B801F" w14:textId="77777777" w:rsidTr="00D73AA8">
        <w:trPr>
          <w:trHeight w:val="29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B548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failed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625F" w14:textId="77777777" w:rsidR="00E57524" w:rsidRPr="009D50D2" w:rsidRDefault="00E57524" w:rsidP="0062033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92651279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C0D6" w14:textId="77777777" w:rsidR="00E57524" w:rsidRPr="009D50D2" w:rsidRDefault="00E57524" w:rsidP="0062033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A1FE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555A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53DB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E3A2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870F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0FAF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5C9AD5CC" w14:textId="77777777" w:rsidTr="00D73AA8">
        <w:trPr>
          <w:trHeight w:val="29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ED0C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live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994A" w14:textId="77777777" w:rsidR="00E57524" w:rsidRPr="009D50D2" w:rsidRDefault="00E57524" w:rsidP="0062033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969039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5AA4" w14:textId="77777777" w:rsidR="00E57524" w:rsidRPr="009D50D2" w:rsidRDefault="00E57524" w:rsidP="0062033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063F" w14:textId="1B86787F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48FF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3B9F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2C8F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5613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CE80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54199A02" w14:textId="77777777" w:rsidTr="00D73AA8">
        <w:trPr>
          <w:trHeight w:val="29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D005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successful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32A5" w14:textId="536A7264" w:rsidR="00E57524" w:rsidRPr="009D50D2" w:rsidRDefault="00E57524" w:rsidP="0062033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21559363.81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D430" w14:textId="77777777" w:rsidR="00E57524" w:rsidRPr="009D50D2" w:rsidRDefault="00E57524" w:rsidP="0062033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ECA9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E437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E8A3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7E7E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9A56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CB1C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700B5D1E" w14:textId="77777777" w:rsidTr="00D73AA8">
        <w:trPr>
          <w:trHeight w:val="290"/>
        </w:trPr>
        <w:tc>
          <w:tcPr>
            <w:tcW w:w="1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361857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148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50B033" w14:textId="77777777" w:rsidR="00E57524" w:rsidRPr="009D50D2" w:rsidRDefault="00E57524" w:rsidP="0062033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295956469.8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7244" w14:textId="77777777" w:rsidR="00E57524" w:rsidRPr="009D50D2" w:rsidRDefault="00E57524" w:rsidP="0062033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5718" w14:textId="629C1E08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1CFE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1DFB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FAA1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C129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3774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6DC62971" w14:textId="77777777" w:rsidTr="00D73AA8">
        <w:trPr>
          <w:trHeight w:val="29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2B06" w14:textId="27C8D0CB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915F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4A1D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6CF8BDA7" w14:textId="629E573A" w:rsidR="00B87FBC" w:rsidRPr="009D50D2" w:rsidRDefault="00B87FBC" w:rsidP="00B87FB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AF33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F0FF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4CB1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E4EA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AAD8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DF09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71A4E2D1" w14:textId="77777777" w:rsidTr="00D73AA8">
        <w:trPr>
          <w:trHeight w:val="29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D7B3" w14:textId="3C8CB23B" w:rsidR="00E57524" w:rsidRPr="009D50D2" w:rsidRDefault="00D73AA8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53632" behindDoc="0" locked="0" layoutInCell="1" allowOverlap="1" wp14:anchorId="1C20B3DF" wp14:editId="469B27D8">
                  <wp:simplePos x="0" y="0"/>
                  <wp:positionH relativeFrom="column">
                    <wp:posOffset>-347980</wp:posOffset>
                  </wp:positionH>
                  <wp:positionV relativeFrom="paragraph">
                    <wp:posOffset>130810</wp:posOffset>
                  </wp:positionV>
                  <wp:extent cx="6210300" cy="3073400"/>
                  <wp:effectExtent l="0" t="0" r="0" b="12700"/>
                  <wp:wrapNone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CD68" w14:textId="21C88C28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17C1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FC16" w14:textId="73BC894F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C1F1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0E66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1C58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4C23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B155" w14:textId="77777777" w:rsidR="00E57524" w:rsidRPr="009D50D2" w:rsidRDefault="00E57524" w:rsidP="0062033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-2778"/>
        <w:tblW w:w="9242" w:type="dxa"/>
        <w:tblLook w:val="04A0" w:firstRow="1" w:lastRow="0" w:firstColumn="1" w:lastColumn="0" w:noHBand="0" w:noVBand="1"/>
      </w:tblPr>
      <w:tblGrid>
        <w:gridCol w:w="1576"/>
        <w:gridCol w:w="200"/>
        <w:gridCol w:w="1576"/>
        <w:gridCol w:w="584"/>
        <w:gridCol w:w="852"/>
        <w:gridCol w:w="236"/>
        <w:gridCol w:w="322"/>
        <w:gridCol w:w="336"/>
        <w:gridCol w:w="336"/>
        <w:gridCol w:w="184"/>
        <w:gridCol w:w="152"/>
        <w:gridCol w:w="336"/>
        <w:gridCol w:w="632"/>
        <w:gridCol w:w="960"/>
        <w:gridCol w:w="960"/>
      </w:tblGrid>
      <w:tr w:rsidR="009D50D2" w:rsidRPr="009D50D2" w14:paraId="3A20C76A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5916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642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163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EA3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1C52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60D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65B10DB5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5F473" w14:textId="77777777" w:rsidR="003C5F9D" w:rsidRPr="009D50D2" w:rsidRDefault="003C5F9D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FCEE6" w14:textId="77777777" w:rsidR="003C5F9D" w:rsidRPr="009D50D2" w:rsidRDefault="003C5F9D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10F57" w14:textId="77777777" w:rsidR="003C5F9D" w:rsidRPr="009D50D2" w:rsidRDefault="003C5F9D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668E1" w14:textId="77777777" w:rsidR="003C5F9D" w:rsidRPr="009D50D2" w:rsidRDefault="003C5F9D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24546" w14:textId="77777777" w:rsidR="003C5F9D" w:rsidRPr="009D50D2" w:rsidRDefault="003C5F9D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8577C" w14:textId="77777777" w:rsidR="003C5F9D" w:rsidRPr="009D50D2" w:rsidRDefault="003C5F9D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0EAC262F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1224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A062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9702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058A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427E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C0EE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3735AAC9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4183A1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Row Labels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63BE49" w14:textId="41F02693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 xml:space="preserve">Sum of </w:t>
            </w:r>
            <w:r w:rsidR="002F66EB"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backers count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87C7AA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Sum of Percent Funded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03BA1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Count of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15F1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959F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4BD6C4CB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E5B97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AUD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07BE0D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6731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12D3AF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4137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4FCE0C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644C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8B75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6FC675EB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488FEB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CAD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C5DAA0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7312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610511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9796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0C27F4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A01F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8EFE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2ABA4B0F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A6BBC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CHF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7F4BAA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868855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112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28FAF8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F0FC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B4CF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547509FF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DE3A77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DKK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75D407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451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53E07E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472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D81459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5441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04BF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030C121F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0D6A2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EUR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AE574D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24541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57E57C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21053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BAEF3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7639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294B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3CD7A6C8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1FDAA6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GBP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13CC4D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50975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918714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67691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F7BA39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D9C6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5C31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37D2E0A2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261E8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HKD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6EBD2C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5C126F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3BF0D0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0FC9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8303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30E19950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0078D3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MXN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8058E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69D654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021C5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4075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A3B1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50DC4621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C36E0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NOK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5FCAF8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625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FA652F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281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0894CA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E59E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CF3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1342B92C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7B3A34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NZD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74AB0A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381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D289C7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431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FC8DE8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C56F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3074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4145CEB6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C6771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SEK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D3B0B5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752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2ED332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1133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68DB90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F836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DB5F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1E8F2180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17F80E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SGD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94060D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B9202E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143711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3D0C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E633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6B287F87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04DF6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USD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FC2DB7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371160</w:t>
            </w:r>
          </w:p>
        </w:tc>
        <w:tc>
          <w:tcPr>
            <w:tcW w:w="2266" w:type="dxa"/>
            <w:gridSpan w:val="6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2AC81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3788055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50C7C5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3038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DAE2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F5EF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5FD118EB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B1569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2160" w:type="dxa"/>
            <w:gridSpan w:val="2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544CC1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463246</w:t>
            </w:r>
          </w:p>
        </w:tc>
        <w:tc>
          <w:tcPr>
            <w:tcW w:w="2266" w:type="dxa"/>
            <w:gridSpan w:val="6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1156CA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3893516</w:t>
            </w:r>
          </w:p>
        </w:tc>
        <w:tc>
          <w:tcPr>
            <w:tcW w:w="1120" w:type="dxa"/>
            <w:gridSpan w:val="3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3B5295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4114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F7BF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172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1F04DE3F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E2D5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021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DCE1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7F0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05FA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2DBC460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2AD6435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5C8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5FC9AFA8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CEB6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9D50D2" w:rsidRPr="009D50D2" w14:paraId="43EF168D" w14:textId="77777777" w:rsidTr="00C73712">
              <w:trPr>
                <w:trHeight w:val="29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CDBF5" w14:textId="2B3E7418" w:rsidR="00D73AA8" w:rsidRPr="009D50D2" w:rsidRDefault="003C5F9D" w:rsidP="00D73AA8">
                  <w:pPr>
                    <w:framePr w:hSpace="180" w:wrap="around" w:vAnchor="text" w:hAnchor="margin" w:y="-2778"/>
                    <w:spacing w:after="0" w:line="240" w:lineRule="auto"/>
                    <w:rPr>
                      <w:rFonts w:ascii="Bookman Old Style" w:eastAsia="Times New Roman" w:hAnsi="Bookman Old Style" w:cs="Calibri"/>
                      <w:sz w:val="24"/>
                      <w:szCs w:val="24"/>
                    </w:rPr>
                  </w:pPr>
                  <w:r w:rsidRPr="009D50D2">
                    <w:rPr>
                      <w:rFonts w:ascii="Bookman Old Style" w:eastAsia="Times New Roman" w:hAnsi="Bookman Old Style" w:cs="Calibri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660800" behindDoc="0" locked="0" layoutInCell="1" allowOverlap="1" wp14:anchorId="14DEDFE4" wp14:editId="2AB9855B">
                        <wp:simplePos x="0" y="0"/>
                        <wp:positionH relativeFrom="column">
                          <wp:posOffset>-71120</wp:posOffset>
                        </wp:positionH>
                        <wp:positionV relativeFrom="paragraph">
                          <wp:posOffset>-163830</wp:posOffset>
                        </wp:positionV>
                        <wp:extent cx="4711700" cy="1016000"/>
                        <wp:effectExtent l="0" t="0" r="12700" b="12700"/>
                        <wp:wrapNone/>
                        <wp:docPr id="2" name="Chart 2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641032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BB06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C1A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E44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A793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913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3FCF8639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BC56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1631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45AC" w14:textId="5A7A91F6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923A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A47E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656A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599E7F33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1625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5052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538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021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28B6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7C34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0A11B75C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BD17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F4F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B13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BD77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251F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D427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3EA8E243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FA12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607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FD4A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D8F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A12B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F13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08793CF3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F3E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2E1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6A0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169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7C97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8F9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5B0A47BE" w14:textId="77777777" w:rsidTr="007A1A3F">
        <w:trPr>
          <w:trHeight w:val="290"/>
        </w:trPr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F19F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3535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00E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79A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2216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69BB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024FE635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4E3F265E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67AFB6F2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24A3E3E3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6F181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goal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C22EB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(All)</w:t>
            </w: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4ECF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594E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D3CA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A6AE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20D4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20A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BD5A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355D102D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4C2A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BE4A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E29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ABAB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949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2E8A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465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3CA5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5E21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1F6A8648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424F4F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Row Labels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E9760B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Count of spotlight</w:t>
            </w:r>
          </w:p>
        </w:tc>
        <w:tc>
          <w:tcPr>
            <w:tcW w:w="143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276D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Count of state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C13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5F61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E481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01A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46E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C5B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3A7846E3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287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canceled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FCF5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349</w:t>
            </w: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09AA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349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7D40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C675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57EA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6495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60E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31C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21149E7E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3BF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failed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7A33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1530</w:t>
            </w: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DFF4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1530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5CEB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95F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E7AF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1A1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AA75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31C2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28E771F5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1866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live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C59D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50</w:t>
            </w: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F998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02BB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707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39DB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8DA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2CB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40CA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53E95FC0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7F0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successful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CE4C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2185</w:t>
            </w: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F268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sz w:val="24"/>
                <w:szCs w:val="24"/>
              </w:rPr>
              <w:t>2185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4D7B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4F63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4B6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72D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28BB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5A5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7567D660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0B2AE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1776" w:type="dxa"/>
            <w:gridSpan w:val="2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79DE2C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4114</w:t>
            </w:r>
          </w:p>
        </w:tc>
        <w:tc>
          <w:tcPr>
            <w:tcW w:w="1436" w:type="dxa"/>
            <w:gridSpan w:val="2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4D1A4B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  <w:r w:rsidRPr="009D50D2"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  <w:t>4114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A70F" w14:textId="77777777" w:rsidR="00D73AA8" w:rsidRPr="009D50D2" w:rsidRDefault="00D73AA8" w:rsidP="00D73AA8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AF01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C14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D42E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A747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1BF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4E4D0FD6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268C" w14:textId="153A8AAA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9D50D2" w:rsidRPr="009D50D2" w14:paraId="64B27B98" w14:textId="77777777" w:rsidTr="00C73712">
              <w:trPr>
                <w:trHeight w:val="29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BA480" w14:textId="77777777" w:rsidR="00D73AA8" w:rsidRPr="009D50D2" w:rsidRDefault="00D73AA8" w:rsidP="00D73AA8">
                  <w:pPr>
                    <w:framePr w:hSpace="180" w:wrap="around" w:vAnchor="text" w:hAnchor="margin" w:y="-2778"/>
                    <w:spacing w:after="0" w:line="240" w:lineRule="auto"/>
                    <w:rPr>
                      <w:rFonts w:ascii="Bookman Old Style" w:eastAsia="Times New Roman" w:hAnsi="Bookman Old Style" w:cs="Calibri"/>
                      <w:sz w:val="24"/>
                      <w:szCs w:val="24"/>
                    </w:rPr>
                  </w:pPr>
                </w:p>
              </w:tc>
            </w:tr>
          </w:tbl>
          <w:p w14:paraId="2E3C5FCB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Calibri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C5F6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58B1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4E7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5F7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F93F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AA26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397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4768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66F52D64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6146" w14:textId="28C29DD8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C725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B514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838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966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F9F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091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C1A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C92B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68D2965C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4D1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42B2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5F02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C05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CA0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7B7B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1112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D54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DFCE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061C03A9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2DEC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A329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0913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0C0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02A6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6F6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6944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FFD0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AB8D" w14:textId="77777777" w:rsidR="00D73AA8" w:rsidRPr="009D50D2" w:rsidRDefault="00D73AA8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482E7626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3026" w14:textId="20F66A99" w:rsidR="007A1A3F" w:rsidRPr="009D50D2" w:rsidRDefault="007A1A3F" w:rsidP="007A1A3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2621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916F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3A2B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8493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C61C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D753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32A5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8CDB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1343CF32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797E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A54D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3C3C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ABA7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080C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A128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4B7C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8042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1DE7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02110157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69B3" w14:textId="36DF7B61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C086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9142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787E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3DF5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C515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91BD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FB10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9B4F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6F59A758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1FB3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FF9B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A52B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1D83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21F4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4EC0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1609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1B88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F618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2254A951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BAE2" w14:textId="034B2AE9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5D75D6C0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604A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B6DF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677F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4ED9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C142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E682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C16C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2EE9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6DCB9FB2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47E4" w14:textId="60C7370F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C9E6" w14:textId="1756C913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4EC0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FF8F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C254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DEE5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B606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B033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7693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4CA04BDC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55A5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6234" w14:textId="5A6973E1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0E67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5105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2839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F2D7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FDAA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619D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8B72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2B44FF2A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68246" w14:textId="10FDA722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0A4C0" w14:textId="709E2EB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D341C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518A0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E6EBF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B46D7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97B73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1C059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CDA71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379FA0AE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20A5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3F18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5DCD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5265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CD20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15B2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3C09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EE1B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2433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79478078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04A9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8BE2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1154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A525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705A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2CE6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453A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9B77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CC17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4C3AFA6E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86DEF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E4ADC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9603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E4DA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7163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B5E9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8869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D2AE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08F9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12CB40A8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6387A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14855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BE91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AAC6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4F90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14CB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5C2D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1F89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A7E8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9D50D2" w:rsidRPr="009D50D2" w14:paraId="54CB433A" w14:textId="77777777" w:rsidTr="007A1A3F">
        <w:trPr>
          <w:gridAfter w:val="3"/>
          <w:wAfter w:w="2552" w:type="dxa"/>
          <w:trHeight w:val="29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C2A8D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91B92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7A4B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694F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E247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8AE6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4983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E3A9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7F4C" w14:textId="77777777" w:rsidR="007A1A3F" w:rsidRPr="009D50D2" w:rsidRDefault="007A1A3F" w:rsidP="00D73AA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</w:tbl>
    <w:p w14:paraId="3EF82FDB" w14:textId="368D07E3" w:rsidR="00D73AA8" w:rsidRPr="009D50D2" w:rsidRDefault="007A1A3F" w:rsidP="00B87FBC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4"/>
          <w:szCs w:val="24"/>
        </w:rPr>
      </w:pPr>
      <w:r w:rsidRPr="009D50D2">
        <w:rPr>
          <w:rFonts w:ascii="Bookman Old Style" w:eastAsia="Times New Roman" w:hAnsi="Bookman Old Style" w:cs="Calibri"/>
          <w:noProof/>
          <w:sz w:val="24"/>
          <w:szCs w:val="24"/>
        </w:rPr>
        <w:drawing>
          <wp:anchor distT="0" distB="0" distL="114300" distR="114300" simplePos="0" relativeHeight="251672064" behindDoc="0" locked="0" layoutInCell="1" allowOverlap="1" wp14:anchorId="775E7EBF" wp14:editId="5B746C86">
            <wp:simplePos x="0" y="0"/>
            <wp:positionH relativeFrom="margin">
              <wp:align>left</wp:align>
            </wp:positionH>
            <wp:positionV relativeFrom="paragraph">
              <wp:posOffset>-198755</wp:posOffset>
            </wp:positionV>
            <wp:extent cx="3124200" cy="2089150"/>
            <wp:effectExtent l="0" t="0" r="0" b="635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E2C2B" w14:textId="77777777" w:rsidR="00D73AA8" w:rsidRPr="009D50D2" w:rsidRDefault="00D73AA8" w:rsidP="00B87FBC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4"/>
          <w:szCs w:val="24"/>
        </w:rPr>
      </w:pPr>
    </w:p>
    <w:p w14:paraId="48F873D5" w14:textId="77777777" w:rsidR="00D73AA8" w:rsidRPr="009D50D2" w:rsidRDefault="00D73AA8" w:rsidP="00B87FBC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4"/>
          <w:szCs w:val="24"/>
        </w:rPr>
      </w:pPr>
    </w:p>
    <w:p w14:paraId="267FEBAC" w14:textId="77777777" w:rsidR="00D73AA8" w:rsidRPr="009D50D2" w:rsidRDefault="00D73AA8" w:rsidP="00B87FBC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4"/>
          <w:szCs w:val="24"/>
        </w:rPr>
      </w:pPr>
    </w:p>
    <w:p w14:paraId="77D3F9DC" w14:textId="77777777" w:rsidR="003C5F9D" w:rsidRPr="009D50D2" w:rsidRDefault="003C5F9D" w:rsidP="00B87FBC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4"/>
          <w:szCs w:val="24"/>
        </w:rPr>
      </w:pPr>
    </w:p>
    <w:p w14:paraId="280C2B05" w14:textId="77777777" w:rsidR="003C5F9D" w:rsidRPr="009D50D2" w:rsidRDefault="003C5F9D" w:rsidP="00B87FBC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4"/>
          <w:szCs w:val="24"/>
        </w:rPr>
      </w:pPr>
    </w:p>
    <w:p w14:paraId="53638DD4" w14:textId="77777777" w:rsidR="00965460" w:rsidRPr="009D50D2" w:rsidRDefault="00965460" w:rsidP="000C748E">
      <w:pPr>
        <w:pStyle w:val="ListParagraph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1759FACE" w14:textId="758EED52" w:rsidR="00965460" w:rsidRPr="00836BC8" w:rsidRDefault="00FC4970" w:rsidP="000C748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The p</w:t>
      </w:r>
      <w:r w:rsidR="00965460" w:rsidRPr="009D50D2">
        <w:rPr>
          <w:rFonts w:ascii="Bookman Old Style" w:eastAsia="Times New Roman" w:hAnsi="Bookman Old Style" w:cs="Times New Roman"/>
          <w:sz w:val="24"/>
          <w:szCs w:val="24"/>
        </w:rPr>
        <w:t>ercent of successful outcome</w:t>
      </w:r>
      <w:r>
        <w:rPr>
          <w:rFonts w:ascii="Bookman Old Style" w:eastAsia="Times New Roman" w:hAnsi="Bookman Old Style" w:cs="Times New Roman"/>
          <w:sz w:val="24"/>
          <w:szCs w:val="24"/>
        </w:rPr>
        <w:t>s</w:t>
      </w:r>
      <w:r w:rsidR="00965460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of the total sample is close to 53</w:t>
      </w:r>
      <w:r w:rsidR="00243FDC">
        <w:rPr>
          <w:rFonts w:ascii="Bookman Old Style" w:eastAsia="Times New Roman" w:hAnsi="Bookman Old Style" w:cs="Times New Roman"/>
          <w:sz w:val="24"/>
          <w:szCs w:val="24"/>
        </w:rPr>
        <w:t xml:space="preserve">% </w:t>
      </w:r>
      <w:r w:rsidR="00965460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and 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the </w:t>
      </w:r>
      <w:r w:rsidR="00965460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count of spotlight was one of the factors in the campaign. </w:t>
      </w:r>
      <w:r w:rsidR="00836BC8">
        <w:rPr>
          <w:rFonts w:ascii="Bookman Old Style" w:eastAsia="Times New Roman" w:hAnsi="Bookman Old Style" w:cs="Times New Roman"/>
          <w:sz w:val="24"/>
          <w:szCs w:val="24"/>
        </w:rPr>
        <w:t>80%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of the </w:t>
      </w:r>
      <w:r w:rsidR="00836BC8">
        <w:rPr>
          <w:rFonts w:ascii="Bookman Old Style" w:eastAsia="Times New Roman" w:hAnsi="Bookman Old Style" w:cs="Times New Roman"/>
          <w:sz w:val="24"/>
          <w:szCs w:val="24"/>
        </w:rPr>
        <w:t xml:space="preserve">backers are from 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the </w:t>
      </w:r>
      <w:r w:rsidR="00836BC8">
        <w:rPr>
          <w:rFonts w:ascii="Bookman Old Style" w:eastAsia="Times New Roman" w:hAnsi="Bookman Old Style" w:cs="Times New Roman"/>
          <w:sz w:val="24"/>
          <w:szCs w:val="24"/>
        </w:rPr>
        <w:t>USA.</w:t>
      </w:r>
    </w:p>
    <w:p w14:paraId="5D9E5D11" w14:textId="5098F774" w:rsidR="00A4785D" w:rsidRPr="009D50D2" w:rsidRDefault="00A4785D" w:rsidP="002707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D50D2">
        <w:rPr>
          <w:rFonts w:ascii="Bookman Old Style" w:eastAsia="Times New Roman" w:hAnsi="Bookman Old Style" w:cs="Times New Roman"/>
          <w:sz w:val="24"/>
          <w:szCs w:val="24"/>
        </w:rPr>
        <w:t>What are some limitations of this dataset?</w:t>
      </w:r>
    </w:p>
    <w:p w14:paraId="20B0EFAA" w14:textId="77777777" w:rsidR="00D73AA8" w:rsidRPr="009D50D2" w:rsidRDefault="00D73AA8" w:rsidP="00A4785D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1F6539CF" w14:textId="49340271" w:rsidR="00A4785D" w:rsidRPr="009D50D2" w:rsidRDefault="007433EB" w:rsidP="00A4785D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D50D2">
        <w:rPr>
          <w:rFonts w:ascii="Bookman Old Style" w:eastAsia="Times New Roman" w:hAnsi="Bookman Old Style" w:cs="Times New Roman"/>
          <w:sz w:val="24"/>
          <w:szCs w:val="24"/>
        </w:rPr>
        <w:t>While we can make some conclusions about this crowdsourcing company, we cannot use the conclusions to apply this knowledge to any other companies of similar services.</w:t>
      </w:r>
      <w:r w:rsidR="00FC4970">
        <w:rPr>
          <w:rFonts w:ascii="Bookman Old Style" w:eastAsia="Times New Roman" w:hAnsi="Bookman Old Style" w:cs="Times New Roman"/>
          <w:sz w:val="24"/>
          <w:szCs w:val="24"/>
        </w:rPr>
        <w:t xml:space="preserve">  The first thing that </w:t>
      </w:r>
      <w:r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comes to mind is that </w:t>
      </w:r>
      <w:r w:rsidR="000305D1" w:rsidRPr="009D50D2">
        <w:rPr>
          <w:rFonts w:ascii="Bookman Old Style" w:eastAsia="Times New Roman" w:hAnsi="Bookman Old Style" w:cs="Times New Roman"/>
          <w:sz w:val="24"/>
          <w:szCs w:val="24"/>
        </w:rPr>
        <w:t>how complete it is because on the Kickstarter website we can see completely different dynamics. It might be better to have this data split in</w:t>
      </w:r>
      <w:r w:rsidR="00FC4970">
        <w:rPr>
          <w:rFonts w:ascii="Bookman Old Style" w:eastAsia="Times New Roman" w:hAnsi="Bookman Old Style" w:cs="Times New Roman"/>
          <w:sz w:val="24"/>
          <w:szCs w:val="24"/>
        </w:rPr>
        <w:t>to</w:t>
      </w:r>
      <w:r w:rsidR="000305D1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two sets based on the goal amount</w:t>
      </w:r>
      <w:r w:rsidR="00FC4970">
        <w:rPr>
          <w:rFonts w:ascii="Bookman Old Style" w:eastAsia="Times New Roman" w:hAnsi="Bookman Old Style" w:cs="Times New Roman"/>
          <w:sz w:val="24"/>
          <w:szCs w:val="24"/>
        </w:rPr>
        <w:t xml:space="preserve"> for each one.  They should </w:t>
      </w:r>
      <w:r w:rsidR="000305D1" w:rsidRPr="009D50D2">
        <w:rPr>
          <w:rFonts w:ascii="Bookman Old Style" w:eastAsia="Times New Roman" w:hAnsi="Bookman Old Style" w:cs="Times New Roman"/>
          <w:sz w:val="24"/>
          <w:szCs w:val="24"/>
        </w:rPr>
        <w:t>add more details about the projects</w:t>
      </w:r>
      <w:r w:rsidR="00FC4970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0305D1" w:rsidRPr="009D50D2">
        <w:rPr>
          <w:rFonts w:ascii="Bookman Old Style" w:eastAsia="Times New Roman" w:hAnsi="Bookman Old Style" w:cs="Times New Roman"/>
          <w:sz w:val="24"/>
          <w:szCs w:val="24"/>
        </w:rPr>
        <w:t>and if there were any</w:t>
      </w:r>
      <w:r w:rsidR="008836C4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insensitive</w:t>
      </w:r>
      <w:r w:rsidR="00FC4970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0305D1" w:rsidRPr="009D50D2">
        <w:rPr>
          <w:rFonts w:ascii="Bookman Old Style" w:eastAsia="Times New Roman" w:hAnsi="Bookman Old Style" w:cs="Times New Roman"/>
          <w:sz w:val="24"/>
          <w:szCs w:val="24"/>
        </w:rPr>
        <w:t>for supporting that project.</w:t>
      </w:r>
      <w:r w:rsidR="001F3004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In addition, this data set might be not large enough for all the categories.</w:t>
      </w:r>
    </w:p>
    <w:p w14:paraId="0C301819" w14:textId="77777777" w:rsidR="003C5F9D" w:rsidRPr="009D50D2" w:rsidRDefault="003C5F9D" w:rsidP="00A4785D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09676B81" w14:textId="77777777" w:rsidR="00842784" w:rsidRPr="009D50D2" w:rsidRDefault="00A4785D" w:rsidP="002707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D50D2">
        <w:rPr>
          <w:rFonts w:ascii="Bookman Old Style" w:eastAsia="Times New Roman" w:hAnsi="Bookman Old Style" w:cs="Times New Roman"/>
          <w:sz w:val="24"/>
          <w:szCs w:val="24"/>
        </w:rPr>
        <w:t>What are some other possible tables and/or graphs that we could create?</w:t>
      </w:r>
    </w:p>
    <w:p w14:paraId="0A0625B2" w14:textId="7E6C8734" w:rsidR="004968ED" w:rsidRPr="009D50D2" w:rsidRDefault="00453866" w:rsidP="00376B28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D50D2">
        <w:rPr>
          <w:rFonts w:ascii="Bookman Old Style" w:eastAsia="Times New Roman" w:hAnsi="Bookman Old Style" w:cs="Times New Roman"/>
          <w:sz w:val="24"/>
          <w:szCs w:val="24"/>
        </w:rPr>
        <w:t>It would be interesting to see follow up data on successful outcomes as well as locations in the United Stated subcategory by state or other countries by industry prevalent locations.</w:t>
      </w:r>
      <w:r w:rsidR="00FC4970">
        <w:rPr>
          <w:rFonts w:ascii="Bookman Old Style" w:eastAsia="Times New Roman" w:hAnsi="Bookman Old Style" w:cs="Times New Roman"/>
          <w:sz w:val="24"/>
          <w:szCs w:val="24"/>
        </w:rPr>
        <w:t xml:space="preserve">  F</w:t>
      </w:r>
      <w:r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or </w:t>
      </w:r>
      <w:r w:rsidR="00FC4970" w:rsidRPr="009D50D2">
        <w:rPr>
          <w:rFonts w:ascii="Bookman Old Style" w:eastAsia="Times New Roman" w:hAnsi="Bookman Old Style" w:cs="Times New Roman"/>
          <w:sz w:val="24"/>
          <w:szCs w:val="24"/>
        </w:rPr>
        <w:t>example,</w:t>
      </w:r>
      <w:r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where music and theater industries are</w:t>
      </w:r>
      <w:r w:rsidR="00FC4970">
        <w:rPr>
          <w:rFonts w:ascii="Bookman Old Style" w:eastAsia="Times New Roman" w:hAnsi="Bookman Old Style" w:cs="Times New Roman"/>
          <w:sz w:val="24"/>
          <w:szCs w:val="24"/>
        </w:rPr>
        <w:t xml:space="preserve"> located</w:t>
      </w:r>
      <w:r w:rsidRPr="009D50D2">
        <w:rPr>
          <w:rFonts w:ascii="Bookman Old Style" w:eastAsia="Times New Roman" w:hAnsi="Bookman Old Style" w:cs="Times New Roman"/>
          <w:sz w:val="24"/>
          <w:szCs w:val="24"/>
        </w:rPr>
        <w:t>.</w:t>
      </w:r>
      <w:r w:rsidR="00376B28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4968ED" w:rsidRPr="009D50D2">
        <w:rPr>
          <w:rFonts w:ascii="Bookman Old Style" w:eastAsia="Times New Roman" w:hAnsi="Bookman Old Style" w:cs="Times New Roman"/>
          <w:sz w:val="24"/>
          <w:szCs w:val="24"/>
        </w:rPr>
        <w:t xml:space="preserve">Some additional ideas for presenting data could come from applying some of measures of </w:t>
      </w:r>
      <w:r w:rsidR="00FC4970">
        <w:rPr>
          <w:rFonts w:ascii="Bookman Old Style" w:eastAsia="Times New Roman" w:hAnsi="Bookman Old Style" w:cs="Times New Roman"/>
          <w:sz w:val="24"/>
          <w:szCs w:val="24"/>
        </w:rPr>
        <w:t xml:space="preserve">the </w:t>
      </w:r>
      <w:r w:rsidR="004968ED" w:rsidRPr="009D50D2">
        <w:rPr>
          <w:rFonts w:ascii="Bookman Old Style" w:eastAsia="Times New Roman" w:hAnsi="Bookman Old Style" w:cs="Times New Roman"/>
          <w:sz w:val="24"/>
          <w:szCs w:val="24"/>
        </w:rPr>
        <w:t>central tendency.</w:t>
      </w:r>
    </w:p>
    <w:p w14:paraId="4B1B63E0" w14:textId="77777777" w:rsidR="00376B28" w:rsidRPr="009D50D2" w:rsidRDefault="00376B28" w:rsidP="00376B28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27F0135B" w14:textId="77777777" w:rsidR="009C3693" w:rsidRPr="009D50D2" w:rsidRDefault="009C3693">
      <w:pPr>
        <w:rPr>
          <w:rFonts w:ascii="Bookman Old Style" w:hAnsi="Bookman Old Style"/>
          <w:sz w:val="24"/>
          <w:szCs w:val="24"/>
        </w:rPr>
      </w:pPr>
    </w:p>
    <w:p w14:paraId="40234554" w14:textId="0D4C68AF" w:rsidR="007C2B72" w:rsidRPr="009D50D2" w:rsidRDefault="007C2B72">
      <w:pPr>
        <w:rPr>
          <w:rFonts w:ascii="Bookman Old Style" w:hAnsi="Bookman Old Style"/>
          <w:sz w:val="24"/>
          <w:szCs w:val="24"/>
        </w:rPr>
      </w:pPr>
    </w:p>
    <w:p w14:paraId="4758C9D8" w14:textId="77777777" w:rsidR="00453866" w:rsidRPr="009D50D2" w:rsidRDefault="00453866">
      <w:pPr>
        <w:rPr>
          <w:rFonts w:ascii="Bookman Old Style" w:hAnsi="Bookman Old Style"/>
          <w:sz w:val="24"/>
          <w:szCs w:val="24"/>
        </w:rPr>
      </w:pPr>
    </w:p>
    <w:p w14:paraId="18C00712" w14:textId="6FE366C0" w:rsidR="00161FDA" w:rsidRPr="009D50D2" w:rsidRDefault="00161FDA" w:rsidP="009B5425">
      <w:pPr>
        <w:pStyle w:val="NormalWeb"/>
        <w:jc w:val="both"/>
        <w:rPr>
          <w:rFonts w:ascii="Bookman Old Style" w:hAnsi="Bookman Old Style" w:cstheme="majorHAnsi"/>
        </w:rPr>
      </w:pPr>
      <w:r w:rsidRPr="009D50D2">
        <w:rPr>
          <w:rFonts w:ascii="Bookman Old Style" w:hAnsi="Bookman Old Style" w:cstheme="majorHAnsi"/>
        </w:rPr>
        <w:t>Us</w:t>
      </w:r>
      <w:r w:rsidR="003C5F9D" w:rsidRPr="009D50D2">
        <w:rPr>
          <w:rFonts w:ascii="Bookman Old Style" w:hAnsi="Bookman Old Style" w:cstheme="majorHAnsi"/>
        </w:rPr>
        <w:t>e</w:t>
      </w:r>
      <w:r w:rsidRPr="009D50D2">
        <w:rPr>
          <w:rFonts w:ascii="Bookman Old Style" w:hAnsi="Bookman Old Style" w:cstheme="majorHAnsi"/>
        </w:rPr>
        <w:t xml:space="preserve"> data to determine whether the mean or the median summarizes the data more meaningfully.</w:t>
      </w:r>
    </w:p>
    <w:p w14:paraId="29D328EC" w14:textId="77777777" w:rsidR="00161FDA" w:rsidRPr="009D50D2" w:rsidRDefault="00161FDA" w:rsidP="009B5425">
      <w:pPr>
        <w:jc w:val="both"/>
        <w:rPr>
          <w:rFonts w:ascii="Bookman Old Style" w:hAnsi="Bookman Old Style" w:cstheme="majorHAnsi"/>
          <w:sz w:val="24"/>
          <w:szCs w:val="24"/>
        </w:rPr>
      </w:pPr>
    </w:p>
    <w:p w14:paraId="24D5B71C" w14:textId="1ED577F0" w:rsidR="00E4763E" w:rsidRPr="009D50D2" w:rsidRDefault="00DA2AF3" w:rsidP="009B5425">
      <w:pPr>
        <w:jc w:val="both"/>
        <w:rPr>
          <w:rFonts w:ascii="Bookman Old Style" w:hAnsi="Bookman Old Style" w:cstheme="majorHAnsi"/>
          <w:sz w:val="24"/>
          <w:szCs w:val="24"/>
          <w:shd w:val="clear" w:color="auto" w:fill="FFFFFF"/>
        </w:rPr>
      </w:pPr>
      <w:r w:rsidRPr="009D50D2">
        <w:rPr>
          <w:rFonts w:ascii="Bookman Old Style" w:hAnsi="Bookman Old Style" w:cstheme="majorHAnsi"/>
          <w:sz w:val="24"/>
          <w:szCs w:val="24"/>
          <w:shd w:val="clear" w:color="auto" w:fill="FFFFFF"/>
        </w:rPr>
        <w:t xml:space="preserve">If </w:t>
      </w:r>
      <w:r w:rsidR="00E4763E" w:rsidRPr="009D50D2">
        <w:rPr>
          <w:rFonts w:ascii="Bookman Old Style" w:hAnsi="Bookman Old Style" w:cstheme="majorHAnsi"/>
          <w:sz w:val="24"/>
          <w:szCs w:val="24"/>
          <w:shd w:val="clear" w:color="auto" w:fill="FFFFFF"/>
        </w:rPr>
        <w:t xml:space="preserve">the data </w:t>
      </w:r>
      <w:r w:rsidRPr="009D50D2">
        <w:rPr>
          <w:rFonts w:ascii="Bookman Old Style" w:hAnsi="Bookman Old Style" w:cstheme="majorHAnsi"/>
          <w:sz w:val="24"/>
          <w:szCs w:val="24"/>
          <w:shd w:val="clear" w:color="auto" w:fill="FFFFFF"/>
        </w:rPr>
        <w:t>is</w:t>
      </w:r>
      <w:r w:rsidR="00E4763E" w:rsidRPr="009D50D2">
        <w:rPr>
          <w:rFonts w:ascii="Bookman Old Style" w:hAnsi="Bookman Old Style" w:cstheme="majorHAnsi"/>
          <w:sz w:val="24"/>
          <w:szCs w:val="24"/>
          <w:shd w:val="clear" w:color="auto" w:fill="FFFFFF"/>
        </w:rPr>
        <w:t xml:space="preserve"> normally distributed the mean is </w:t>
      </w:r>
      <w:r w:rsidR="0058656E">
        <w:rPr>
          <w:rFonts w:ascii="Bookman Old Style" w:hAnsi="Bookman Old Style" w:cstheme="majorHAnsi"/>
          <w:sz w:val="24"/>
          <w:szCs w:val="24"/>
          <w:shd w:val="clear" w:color="auto" w:fill="FFFFFF"/>
        </w:rPr>
        <w:t xml:space="preserve">the </w:t>
      </w:r>
      <w:r w:rsidR="00E4763E" w:rsidRPr="009D50D2">
        <w:rPr>
          <w:rFonts w:ascii="Bookman Old Style" w:hAnsi="Bookman Old Style" w:cstheme="majorHAnsi"/>
          <w:sz w:val="24"/>
          <w:szCs w:val="24"/>
          <w:shd w:val="clear" w:color="auto" w:fill="FFFFFF"/>
        </w:rPr>
        <w:t xml:space="preserve">appropriate measure </w:t>
      </w:r>
      <w:r w:rsidR="00E51D15" w:rsidRPr="009D50D2">
        <w:rPr>
          <w:rFonts w:ascii="Bookman Old Style" w:hAnsi="Bookman Old Style" w:cstheme="majorHAnsi"/>
          <w:sz w:val="24"/>
          <w:szCs w:val="24"/>
          <w:shd w:val="clear" w:color="auto" w:fill="FFFFFF"/>
        </w:rPr>
        <w:t>o</w:t>
      </w:r>
      <w:r w:rsidR="00E4763E" w:rsidRPr="009D50D2">
        <w:rPr>
          <w:rFonts w:ascii="Bookman Old Style" w:hAnsi="Bookman Old Style" w:cstheme="majorHAnsi"/>
          <w:sz w:val="24"/>
          <w:szCs w:val="24"/>
          <w:shd w:val="clear" w:color="auto" w:fill="FFFFFF"/>
        </w:rPr>
        <w:t>f the central tendency</w:t>
      </w:r>
      <w:r w:rsidR="00E51D15" w:rsidRPr="009D50D2">
        <w:rPr>
          <w:rFonts w:ascii="Bookman Old Style" w:hAnsi="Bookman Old Style" w:cstheme="majorHAnsi"/>
          <w:sz w:val="24"/>
          <w:szCs w:val="24"/>
          <w:shd w:val="clear" w:color="auto" w:fill="FFFFFF"/>
        </w:rPr>
        <w:t xml:space="preserve">. In a symmetric distribution, the mean and median both find the center accurately. They are </w:t>
      </w:r>
      <w:r w:rsidR="00E51D15" w:rsidRPr="009D50D2">
        <w:rPr>
          <w:rFonts w:ascii="Bookman Old Style" w:hAnsi="Bookman Old Style" w:cstheme="majorHAnsi"/>
          <w:sz w:val="24"/>
          <w:szCs w:val="24"/>
          <w:shd w:val="clear" w:color="auto" w:fill="FFFFFF"/>
        </w:rPr>
        <w:lastRenderedPageBreak/>
        <w:t xml:space="preserve">approximately equal. If the distribution is not, we </w:t>
      </w:r>
      <w:r w:rsidR="00161FDA" w:rsidRPr="009D50D2">
        <w:rPr>
          <w:rFonts w:ascii="Bookman Old Style" w:hAnsi="Bookman Old Style" w:cstheme="majorHAnsi"/>
          <w:sz w:val="24"/>
          <w:szCs w:val="24"/>
          <w:shd w:val="clear" w:color="auto" w:fill="FFFFFF"/>
        </w:rPr>
        <w:t>could use the media</w:t>
      </w:r>
      <w:r w:rsidR="00163041" w:rsidRPr="009D50D2">
        <w:rPr>
          <w:rFonts w:ascii="Bookman Old Style" w:hAnsi="Bookman Old Style" w:cstheme="majorHAnsi"/>
          <w:sz w:val="24"/>
          <w:szCs w:val="24"/>
          <w:shd w:val="clear" w:color="auto" w:fill="FFFFFF"/>
        </w:rPr>
        <w:t>n</w:t>
      </w:r>
      <w:r w:rsidR="00E51D15" w:rsidRPr="009D50D2">
        <w:rPr>
          <w:rFonts w:ascii="Bookman Old Style" w:hAnsi="Bookman Old Style" w:cstheme="majorHAnsi"/>
          <w:sz w:val="24"/>
          <w:szCs w:val="24"/>
          <w:shd w:val="clear" w:color="auto" w:fill="FFFFFF"/>
        </w:rPr>
        <w:t>.</w:t>
      </w:r>
      <w:r w:rsidR="009C7F8C" w:rsidRPr="009D50D2">
        <w:rPr>
          <w:rFonts w:ascii="Bookman Old Style" w:hAnsi="Bookman Old Style" w:cstheme="majorHAnsi"/>
          <w:sz w:val="24"/>
          <w:szCs w:val="24"/>
          <w:shd w:val="clear" w:color="auto" w:fill="FFFFFF"/>
        </w:rPr>
        <w:t xml:space="preserve"> Mean seems to be more sensitive to outliners. For skewed data, the median is the best choice.</w:t>
      </w:r>
    </w:p>
    <w:p w14:paraId="35DE6AB0" w14:textId="77777777" w:rsidR="00741BA9" w:rsidRPr="009D50D2" w:rsidRDefault="00741BA9" w:rsidP="009B5425">
      <w:pPr>
        <w:jc w:val="both"/>
        <w:rPr>
          <w:rFonts w:ascii="Bookman Old Style" w:hAnsi="Bookman Old Style" w:cstheme="majorHAnsi"/>
          <w:sz w:val="24"/>
          <w:szCs w:val="24"/>
          <w:shd w:val="clear" w:color="auto" w:fill="FFFFFF"/>
        </w:rPr>
      </w:pPr>
    </w:p>
    <w:p w14:paraId="30AFC0A6" w14:textId="77777777" w:rsidR="00741BA9" w:rsidRPr="009D50D2" w:rsidRDefault="00741BA9" w:rsidP="009B5425">
      <w:pPr>
        <w:jc w:val="both"/>
        <w:rPr>
          <w:rFonts w:ascii="Bookman Old Style" w:hAnsi="Bookman Old Style" w:cstheme="majorHAnsi"/>
          <w:sz w:val="24"/>
          <w:szCs w:val="24"/>
          <w:shd w:val="clear" w:color="auto" w:fill="FFFFFF"/>
        </w:rPr>
      </w:pPr>
    </w:p>
    <w:p w14:paraId="617E6A8F" w14:textId="77777777" w:rsidR="00741BA9" w:rsidRPr="009D50D2" w:rsidRDefault="00741BA9" w:rsidP="009B5425">
      <w:pPr>
        <w:jc w:val="both"/>
        <w:rPr>
          <w:rFonts w:ascii="Bookman Old Style" w:hAnsi="Bookman Old Style" w:cstheme="majorHAnsi"/>
          <w:sz w:val="24"/>
          <w:szCs w:val="24"/>
        </w:rPr>
      </w:pPr>
      <w:r w:rsidRPr="009D50D2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77B4506" wp14:editId="0D7A5925">
            <wp:extent cx="3200400" cy="492778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131" cy="49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A9" w:rsidRPr="009D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1A10"/>
    <w:multiLevelType w:val="hybridMultilevel"/>
    <w:tmpl w:val="4648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A5E7E"/>
    <w:multiLevelType w:val="multilevel"/>
    <w:tmpl w:val="9748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16266"/>
    <w:multiLevelType w:val="hybridMultilevel"/>
    <w:tmpl w:val="90F6D7E4"/>
    <w:lvl w:ilvl="0" w:tplc="04090015">
      <w:start w:val="1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512A"/>
    <w:multiLevelType w:val="multilevel"/>
    <w:tmpl w:val="051E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C64E8"/>
    <w:multiLevelType w:val="hybridMultilevel"/>
    <w:tmpl w:val="4648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D54EA"/>
    <w:multiLevelType w:val="hybridMultilevel"/>
    <w:tmpl w:val="4648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B9"/>
    <w:rsid w:val="000305D1"/>
    <w:rsid w:val="000C1FEF"/>
    <w:rsid w:val="000C748E"/>
    <w:rsid w:val="00161FDA"/>
    <w:rsid w:val="00163041"/>
    <w:rsid w:val="001D3351"/>
    <w:rsid w:val="001F3004"/>
    <w:rsid w:val="00243FDC"/>
    <w:rsid w:val="002707AC"/>
    <w:rsid w:val="002C02B3"/>
    <w:rsid w:val="002F66EB"/>
    <w:rsid w:val="003635BD"/>
    <w:rsid w:val="00376B28"/>
    <w:rsid w:val="003C5F9D"/>
    <w:rsid w:val="00453866"/>
    <w:rsid w:val="004968ED"/>
    <w:rsid w:val="004E09ED"/>
    <w:rsid w:val="00515C75"/>
    <w:rsid w:val="0058656E"/>
    <w:rsid w:val="005D193D"/>
    <w:rsid w:val="00620841"/>
    <w:rsid w:val="00684E8C"/>
    <w:rsid w:val="00741BA9"/>
    <w:rsid w:val="007433EB"/>
    <w:rsid w:val="007A1A3F"/>
    <w:rsid w:val="007C2B72"/>
    <w:rsid w:val="007C5A8D"/>
    <w:rsid w:val="00836BC8"/>
    <w:rsid w:val="00842784"/>
    <w:rsid w:val="008836C4"/>
    <w:rsid w:val="008B44EE"/>
    <w:rsid w:val="00965460"/>
    <w:rsid w:val="009B5425"/>
    <w:rsid w:val="009C3693"/>
    <w:rsid w:val="009C7F8C"/>
    <w:rsid w:val="009D50D2"/>
    <w:rsid w:val="00A4785D"/>
    <w:rsid w:val="00A603B2"/>
    <w:rsid w:val="00AB4684"/>
    <w:rsid w:val="00AC3931"/>
    <w:rsid w:val="00B234A6"/>
    <w:rsid w:val="00B87FBC"/>
    <w:rsid w:val="00BA13EE"/>
    <w:rsid w:val="00BC6591"/>
    <w:rsid w:val="00CA03B4"/>
    <w:rsid w:val="00CA3752"/>
    <w:rsid w:val="00CE3567"/>
    <w:rsid w:val="00D73AA8"/>
    <w:rsid w:val="00DA2AF3"/>
    <w:rsid w:val="00DE3C47"/>
    <w:rsid w:val="00E17D4A"/>
    <w:rsid w:val="00E4763E"/>
    <w:rsid w:val="00E51D15"/>
    <w:rsid w:val="00E57524"/>
    <w:rsid w:val="00E74E94"/>
    <w:rsid w:val="00EF5AB9"/>
    <w:rsid w:val="00F34974"/>
    <w:rsid w:val="00FC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E92"/>
  <w15:chartTrackingRefBased/>
  <w15:docId w15:val="{0F3BC4F9-94BA-4CE6-AC2A-E7078587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4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s\OneDrive\Desktop\Class%20Files%20_without%20instructions\ku-edw-data-pt-04-2020-u-c-master\01-Excel\Homework\Instructions\StarterBook_PH_%20-%20PLA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s\OneDrive\Desktop\Class%20Files%20_without%20instructions\ku-edw-data-pt-04-2020-u-c-master\01-Excel\Homework\Instructions\StarterBook_PH_%20-%20PLA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s\OneDrive\Desktop\Class%20Files%20_without%20instructions\ku-edw-data-pt-04-2020-u-c-master\01-Excel\Homework\Instructions\StarterBook_PH_%20-%20PLA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s\OneDrive\Desktop\Class%20Files%20_without%20instructions\ku-edw-data-pt-04-2020-u-c-master\01-Excel\Homework\Instructions\StarterBook_PH_%20-%20PLA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[StarterBook_PH_ - PLAY.xlsx]Pivot by Category!PivotTable4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by 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by Category'!$A$6:$A$13</c:f>
              <c:strCache>
                <c:ptCount val="7"/>
                <c:pt idx="0">
                  <c:v>food</c:v>
                </c:pt>
                <c:pt idx="1">
                  <c:v>games</c:v>
                </c:pt>
                <c:pt idx="2">
                  <c:v>music</c:v>
                </c:pt>
                <c:pt idx="3">
                  <c:v>photography</c:v>
                </c:pt>
                <c:pt idx="4">
                  <c:v>publishing</c:v>
                </c:pt>
                <c:pt idx="5">
                  <c:v>technology</c:v>
                </c:pt>
                <c:pt idx="6">
                  <c:v>theater</c:v>
                </c:pt>
              </c:strCache>
            </c:strRef>
          </c:cat>
          <c:val>
            <c:numRef>
              <c:f>'Pivot by Category'!$B$6:$B$13</c:f>
              <c:numCache>
                <c:formatCode>General</c:formatCode>
                <c:ptCount val="7"/>
                <c:pt idx="0">
                  <c:v>34</c:v>
                </c:pt>
                <c:pt idx="1">
                  <c:v>80</c:v>
                </c:pt>
                <c:pt idx="2">
                  <c:v>440</c:v>
                </c:pt>
                <c:pt idx="3">
                  <c:v>103</c:v>
                </c:pt>
                <c:pt idx="4">
                  <c:v>40</c:v>
                </c:pt>
                <c:pt idx="5">
                  <c:v>189</c:v>
                </c:pt>
                <c:pt idx="6">
                  <c:v>819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ED-42C4-8374-3211534B2D6A}"/>
            </c:ext>
          </c:extLst>
        </c:ser>
        <c:ser>
          <c:idx val="1"/>
          <c:order val="1"/>
          <c:tx>
            <c:strRef>
              <c:f>'Pivot by Category'!$C$4:$C$5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by Category'!$A$6:$A$13</c:f>
              <c:strCache>
                <c:ptCount val="7"/>
                <c:pt idx="0">
                  <c:v>food</c:v>
                </c:pt>
                <c:pt idx="1">
                  <c:v>games</c:v>
                </c:pt>
                <c:pt idx="2">
                  <c:v>music</c:v>
                </c:pt>
                <c:pt idx="3">
                  <c:v>photography</c:v>
                </c:pt>
                <c:pt idx="4">
                  <c:v>publishing</c:v>
                </c:pt>
                <c:pt idx="5">
                  <c:v>technology</c:v>
                </c:pt>
                <c:pt idx="6">
                  <c:v>theater</c:v>
                </c:pt>
              </c:strCache>
            </c:strRef>
          </c:cat>
          <c:val>
            <c:numRef>
              <c:f>'Pivot by Category'!$C$6:$C$13</c:f>
              <c:numCache>
                <c:formatCode>General</c:formatCode>
                <c:ptCount val="7"/>
                <c:pt idx="0">
                  <c:v>6</c:v>
                </c:pt>
                <c:pt idx="2">
                  <c:v>20</c:v>
                </c:pt>
                <c:pt idx="6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ED-42C4-8374-3211534B2D6A}"/>
            </c:ext>
          </c:extLst>
        </c:ser>
        <c:ser>
          <c:idx val="2"/>
          <c:order val="2"/>
          <c:tx>
            <c:strRef>
              <c:f>'Pivot by Category'!$D$4:$D$5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by Category'!$A$6:$A$13</c:f>
              <c:strCache>
                <c:ptCount val="7"/>
                <c:pt idx="0">
                  <c:v>food</c:v>
                </c:pt>
                <c:pt idx="1">
                  <c:v>games</c:v>
                </c:pt>
                <c:pt idx="2">
                  <c:v>music</c:v>
                </c:pt>
                <c:pt idx="3">
                  <c:v>photography</c:v>
                </c:pt>
                <c:pt idx="4">
                  <c:v>publishing</c:v>
                </c:pt>
                <c:pt idx="5">
                  <c:v>technology</c:v>
                </c:pt>
                <c:pt idx="6">
                  <c:v>theater</c:v>
                </c:pt>
              </c:strCache>
            </c:strRef>
          </c:cat>
          <c:val>
            <c:numRef>
              <c:f>'Pivot by Category'!$D$6:$D$13</c:f>
              <c:numCache>
                <c:formatCode>General</c:formatCode>
                <c:ptCount val="7"/>
                <c:pt idx="0">
                  <c:v>140</c:v>
                </c:pt>
                <c:pt idx="1">
                  <c:v>128</c:v>
                </c:pt>
                <c:pt idx="2">
                  <c:v>40</c:v>
                </c:pt>
                <c:pt idx="3">
                  <c:v>117</c:v>
                </c:pt>
                <c:pt idx="4">
                  <c:v>107</c:v>
                </c:pt>
                <c:pt idx="5">
                  <c:v>33</c:v>
                </c:pt>
                <c:pt idx="6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ED-42C4-8374-3211534B2D6A}"/>
            </c:ext>
          </c:extLst>
        </c:ser>
        <c:ser>
          <c:idx val="3"/>
          <c:order val="3"/>
          <c:tx>
            <c:strRef>
              <c:f>'Pivot by Category'!$E$4:$E$5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by Category'!$A$6:$A$13</c:f>
              <c:strCache>
                <c:ptCount val="7"/>
                <c:pt idx="0">
                  <c:v>food</c:v>
                </c:pt>
                <c:pt idx="1">
                  <c:v>games</c:v>
                </c:pt>
                <c:pt idx="2">
                  <c:v>music</c:v>
                </c:pt>
                <c:pt idx="3">
                  <c:v>photography</c:v>
                </c:pt>
                <c:pt idx="4">
                  <c:v>publishing</c:v>
                </c:pt>
                <c:pt idx="5">
                  <c:v>technology</c:v>
                </c:pt>
                <c:pt idx="6">
                  <c:v>theater</c:v>
                </c:pt>
              </c:strCache>
            </c:strRef>
          </c:cat>
          <c:val>
            <c:numRef>
              <c:f>'Pivot by Category'!$E$6:$E$13</c:f>
              <c:numCache>
                <c:formatCode>General</c:formatCode>
                <c:ptCount val="7"/>
                <c:pt idx="0">
                  <c:v>20</c:v>
                </c:pt>
                <c:pt idx="2">
                  <c:v>20</c:v>
                </c:pt>
                <c:pt idx="4">
                  <c:v>30</c:v>
                </c:pt>
                <c:pt idx="5">
                  <c:v>118</c:v>
                </c:pt>
                <c:pt idx="6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CED-42C4-8374-3211534B2D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6349152"/>
        <c:axId val="416348496"/>
      </c:barChart>
      <c:catAx>
        <c:axId val="41634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348496"/>
        <c:crosses val="autoZero"/>
        <c:auto val="1"/>
        <c:lblAlgn val="ctr"/>
        <c:lblOffset val="100"/>
        <c:noMultiLvlLbl val="0"/>
      </c:catAx>
      <c:valAx>
        <c:axId val="41634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34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[StarterBook_PH_ - PLAY.xlsx]Sheet6!PivotTable17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Sheet6!$A$4:$A$8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Sheet6!$B$4:$B$8</c:f>
              <c:numCache>
                <c:formatCode>General</c:formatCode>
                <c:ptCount val="4"/>
                <c:pt idx="0">
                  <c:v>180776788</c:v>
                </c:pt>
                <c:pt idx="1">
                  <c:v>92651279</c:v>
                </c:pt>
                <c:pt idx="2">
                  <c:v>969039</c:v>
                </c:pt>
                <c:pt idx="3">
                  <c:v>21559363.810000002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0A-4723-B603-78E48FE8F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0746992"/>
        <c:axId val="580745352"/>
      </c:barChart>
      <c:catAx>
        <c:axId val="580746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745352"/>
        <c:crosses val="autoZero"/>
        <c:auto val="1"/>
        <c:lblAlgn val="ctr"/>
        <c:lblOffset val="100"/>
        <c:noMultiLvlLbl val="0"/>
      </c:catAx>
      <c:valAx>
        <c:axId val="580745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74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[StarterBook_PH_ - PLAY.xlsx]Sheet5!PivotTable15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Sum of backers_count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Sheet5!$A$4:$A$17</c:f>
              <c:strCache>
                <c:ptCount val="13"/>
                <c:pt idx="0">
                  <c:v>AUD</c:v>
                </c:pt>
                <c:pt idx="1">
                  <c:v>CAD</c:v>
                </c:pt>
                <c:pt idx="2">
                  <c:v>CHF</c:v>
                </c:pt>
                <c:pt idx="3">
                  <c:v>DKK</c:v>
                </c:pt>
                <c:pt idx="4">
                  <c:v>EUR</c:v>
                </c:pt>
                <c:pt idx="5">
                  <c:v>GBP</c:v>
                </c:pt>
                <c:pt idx="6">
                  <c:v>HKD</c:v>
                </c:pt>
                <c:pt idx="7">
                  <c:v>MXN</c:v>
                </c:pt>
                <c:pt idx="8">
                  <c:v>NOK</c:v>
                </c:pt>
                <c:pt idx="9">
                  <c:v>NZD</c:v>
                </c:pt>
                <c:pt idx="10">
                  <c:v>SEK</c:v>
                </c:pt>
                <c:pt idx="11">
                  <c:v>SGD</c:v>
                </c:pt>
                <c:pt idx="12">
                  <c:v>USD</c:v>
                </c:pt>
              </c:strCache>
            </c:strRef>
          </c:cat>
          <c:val>
            <c:numRef>
              <c:f>Sheet5!$B$4:$B$17</c:f>
              <c:numCache>
                <c:formatCode>General</c:formatCode>
                <c:ptCount val="13"/>
                <c:pt idx="0">
                  <c:v>6731</c:v>
                </c:pt>
                <c:pt idx="1">
                  <c:v>7312</c:v>
                </c:pt>
                <c:pt idx="2">
                  <c:v>69</c:v>
                </c:pt>
                <c:pt idx="3">
                  <c:v>451</c:v>
                </c:pt>
                <c:pt idx="4">
                  <c:v>24541</c:v>
                </c:pt>
                <c:pt idx="5">
                  <c:v>50975</c:v>
                </c:pt>
                <c:pt idx="6">
                  <c:v>71</c:v>
                </c:pt>
                <c:pt idx="7">
                  <c:v>106</c:v>
                </c:pt>
                <c:pt idx="8">
                  <c:v>625</c:v>
                </c:pt>
                <c:pt idx="9">
                  <c:v>381</c:v>
                </c:pt>
                <c:pt idx="10">
                  <c:v>752</c:v>
                </c:pt>
                <c:pt idx="11">
                  <c:v>72</c:v>
                </c:pt>
                <c:pt idx="12">
                  <c:v>371160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51-4A70-85EB-2EEDDD94588B}"/>
            </c:ext>
          </c:extLst>
        </c:ser>
        <c:ser>
          <c:idx val="1"/>
          <c:order val="1"/>
          <c:tx>
            <c:strRef>
              <c:f>Sheet5!$C$3</c:f>
              <c:strCache>
                <c:ptCount val="1"/>
                <c:pt idx="0">
                  <c:v>Sum of Percent Funded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Sheet5!$A$4:$A$17</c:f>
              <c:strCache>
                <c:ptCount val="13"/>
                <c:pt idx="0">
                  <c:v>AUD</c:v>
                </c:pt>
                <c:pt idx="1">
                  <c:v>CAD</c:v>
                </c:pt>
                <c:pt idx="2">
                  <c:v>CHF</c:v>
                </c:pt>
                <c:pt idx="3">
                  <c:v>DKK</c:v>
                </c:pt>
                <c:pt idx="4">
                  <c:v>EUR</c:v>
                </c:pt>
                <c:pt idx="5">
                  <c:v>GBP</c:v>
                </c:pt>
                <c:pt idx="6">
                  <c:v>HKD</c:v>
                </c:pt>
                <c:pt idx="7">
                  <c:v>MXN</c:v>
                </c:pt>
                <c:pt idx="8">
                  <c:v>NOK</c:v>
                </c:pt>
                <c:pt idx="9">
                  <c:v>NZD</c:v>
                </c:pt>
                <c:pt idx="10">
                  <c:v>SEK</c:v>
                </c:pt>
                <c:pt idx="11">
                  <c:v>SGD</c:v>
                </c:pt>
                <c:pt idx="12">
                  <c:v>USD</c:v>
                </c:pt>
              </c:strCache>
            </c:strRef>
          </c:cat>
          <c:val>
            <c:numRef>
              <c:f>Sheet5!$C$4:$C$17</c:f>
              <c:numCache>
                <c:formatCode>General</c:formatCode>
                <c:ptCount val="13"/>
                <c:pt idx="0">
                  <c:v>4137</c:v>
                </c:pt>
                <c:pt idx="1">
                  <c:v>9796</c:v>
                </c:pt>
                <c:pt idx="2">
                  <c:v>112</c:v>
                </c:pt>
                <c:pt idx="3">
                  <c:v>472</c:v>
                </c:pt>
                <c:pt idx="4">
                  <c:v>21053</c:v>
                </c:pt>
                <c:pt idx="5">
                  <c:v>67691</c:v>
                </c:pt>
                <c:pt idx="6">
                  <c:v>53</c:v>
                </c:pt>
                <c:pt idx="7">
                  <c:v>201</c:v>
                </c:pt>
                <c:pt idx="8">
                  <c:v>281</c:v>
                </c:pt>
                <c:pt idx="9">
                  <c:v>431</c:v>
                </c:pt>
                <c:pt idx="10">
                  <c:v>1133</c:v>
                </c:pt>
                <c:pt idx="11">
                  <c:v>101</c:v>
                </c:pt>
                <c:pt idx="12">
                  <c:v>3788055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51-4A70-85EB-2EEDDD94588B}"/>
            </c:ext>
          </c:extLst>
        </c:ser>
        <c:ser>
          <c:idx val="2"/>
          <c:order val="2"/>
          <c:tx>
            <c:strRef>
              <c:f>Sheet5!$D$3</c:f>
              <c:strCache>
                <c:ptCount val="1"/>
                <c:pt idx="0">
                  <c:v>Count of id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Sheet5!$A$4:$A$17</c:f>
              <c:strCache>
                <c:ptCount val="13"/>
                <c:pt idx="0">
                  <c:v>AUD</c:v>
                </c:pt>
                <c:pt idx="1">
                  <c:v>CAD</c:v>
                </c:pt>
                <c:pt idx="2">
                  <c:v>CHF</c:v>
                </c:pt>
                <c:pt idx="3">
                  <c:v>DKK</c:v>
                </c:pt>
                <c:pt idx="4">
                  <c:v>EUR</c:v>
                </c:pt>
                <c:pt idx="5">
                  <c:v>GBP</c:v>
                </c:pt>
                <c:pt idx="6">
                  <c:v>HKD</c:v>
                </c:pt>
                <c:pt idx="7">
                  <c:v>MXN</c:v>
                </c:pt>
                <c:pt idx="8">
                  <c:v>NOK</c:v>
                </c:pt>
                <c:pt idx="9">
                  <c:v>NZD</c:v>
                </c:pt>
                <c:pt idx="10">
                  <c:v>SEK</c:v>
                </c:pt>
                <c:pt idx="11">
                  <c:v>SGD</c:v>
                </c:pt>
                <c:pt idx="12">
                  <c:v>USD</c:v>
                </c:pt>
              </c:strCache>
            </c:strRef>
          </c:cat>
          <c:val>
            <c:numRef>
              <c:f>Sheet5!$D$4:$D$17</c:f>
              <c:numCache>
                <c:formatCode>General</c:formatCode>
                <c:ptCount val="13"/>
                <c:pt idx="0">
                  <c:v>74</c:v>
                </c:pt>
                <c:pt idx="1">
                  <c:v>146</c:v>
                </c:pt>
                <c:pt idx="2">
                  <c:v>6</c:v>
                </c:pt>
                <c:pt idx="3">
                  <c:v>14</c:v>
                </c:pt>
                <c:pt idx="4">
                  <c:v>176</c:v>
                </c:pt>
                <c:pt idx="5">
                  <c:v>604</c:v>
                </c:pt>
                <c:pt idx="6">
                  <c:v>3</c:v>
                </c:pt>
                <c:pt idx="7">
                  <c:v>12</c:v>
                </c:pt>
                <c:pt idx="8">
                  <c:v>7</c:v>
                </c:pt>
                <c:pt idx="9">
                  <c:v>12</c:v>
                </c:pt>
                <c:pt idx="10">
                  <c:v>21</c:v>
                </c:pt>
                <c:pt idx="11">
                  <c:v>1</c:v>
                </c:pt>
                <c:pt idx="12">
                  <c:v>3038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51-4A70-85EB-2EEDDD945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1233840"/>
        <c:axId val="421228920"/>
      </c:barChart>
      <c:catAx>
        <c:axId val="42123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228920"/>
        <c:crosses val="autoZero"/>
        <c:auto val="1"/>
        <c:lblAlgn val="ctr"/>
        <c:lblOffset val="100"/>
        <c:noMultiLvlLbl val="0"/>
      </c:catAx>
      <c:valAx>
        <c:axId val="421228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23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[StarterBook_PH_ - PLAY.xlsx]Sheet8!PivotTable3</c:name>
    <c:fmtId val="-1"/>
  </c:pivotSource>
  <c:chart>
    <c:title>
      <c:layout>
        <c:manualLayout>
          <c:xMode val="edge"/>
          <c:yMode val="edge"/>
          <c:x val="0.16908529726467114"/>
          <c:y val="6.91244239631336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Sheet8!$B$3</c:f>
              <c:strCache>
                <c:ptCount val="1"/>
                <c:pt idx="0">
                  <c:v>Count of spotlight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417-4353-B8D4-5EA7E7E761D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417-4353-B8D4-5EA7E7E761D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417-4353-B8D4-5EA7E7E761D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417-4353-B8D4-5EA7E7E761D3}"/>
              </c:ext>
            </c:extLst>
          </c:dPt>
          <c:cat>
            <c:strRef>
              <c:f>Sheet8!$A$4:$A$8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Sheet8!$B$4:$B$8</c:f>
              <c:numCache>
                <c:formatCode>General</c:formatCode>
                <c:ptCount val="4"/>
                <c:pt idx="0">
                  <c:v>349</c:v>
                </c:pt>
                <c:pt idx="1">
                  <c:v>1530</c:v>
                </c:pt>
                <c:pt idx="2">
                  <c:v>50</c:v>
                </c:pt>
                <c:pt idx="3">
                  <c:v>2185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417-4353-B8D4-5EA7E7E761D3}"/>
            </c:ext>
          </c:extLst>
        </c:ser>
        <c:ser>
          <c:idx val="1"/>
          <c:order val="1"/>
          <c:tx>
            <c:strRef>
              <c:f>Sheet8!$C$3</c:f>
              <c:strCache>
                <c:ptCount val="1"/>
                <c:pt idx="0">
                  <c:v>Count of state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8417-4353-B8D4-5EA7E7E761D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8417-4353-B8D4-5EA7E7E761D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8417-4353-B8D4-5EA7E7E761D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8417-4353-B8D4-5EA7E7E761D3}"/>
              </c:ext>
            </c:extLst>
          </c:dPt>
          <c:cat>
            <c:strRef>
              <c:f>Sheet8!$A$4:$A$8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Sheet8!$C$4:$C$8</c:f>
              <c:numCache>
                <c:formatCode>General</c:formatCode>
                <c:ptCount val="4"/>
                <c:pt idx="0">
                  <c:v>349</c:v>
                </c:pt>
                <c:pt idx="1">
                  <c:v>1530</c:v>
                </c:pt>
                <c:pt idx="2">
                  <c:v>50</c:v>
                </c:pt>
                <c:pt idx="3">
                  <c:v>2185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8417-4353-B8D4-5EA7E7E761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</dc:creator>
  <cp:keywords/>
  <dc:description/>
  <cp:lastModifiedBy>marksholland@gmail.com</cp:lastModifiedBy>
  <cp:revision>3</cp:revision>
  <dcterms:created xsi:type="dcterms:W3CDTF">2020-04-24T22:41:00Z</dcterms:created>
  <dcterms:modified xsi:type="dcterms:W3CDTF">2020-04-24T22:51:00Z</dcterms:modified>
</cp:coreProperties>
</file>